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5FA45" w14:textId="1EBC3CF9" w:rsidR="00F90ECA" w:rsidRPr="00344357" w:rsidRDefault="00745BB9" w:rsidP="00344357">
      <w:pPr>
        <w:pStyle w:val="Heading2"/>
        <w:spacing w:before="120" w:after="120"/>
        <w:ind w:left="1134" w:hanging="1134"/>
        <w:rPr>
          <w:rFonts w:ascii="Times New Roman" w:hAnsi="Times New Roman"/>
          <w:i w:val="0"/>
          <w:sz w:val="24"/>
          <w:szCs w:val="24"/>
          <w:lang w:val="en-US"/>
        </w:rPr>
      </w:pPr>
      <w:bookmarkStart w:id="0" w:name="_Toc88877618"/>
      <w:r w:rsidRPr="00344357">
        <w:rPr>
          <w:rFonts w:ascii="Times New Roman" w:hAnsi="Times New Roman"/>
          <w:i w:val="0"/>
          <w:sz w:val="24"/>
          <w:szCs w:val="24"/>
        </w:rPr>
        <w:t>AMP</w:t>
      </w:r>
      <w:r w:rsidR="00FE74AB" w:rsidRPr="00344357">
        <w:rPr>
          <w:rFonts w:ascii="Times New Roman" w:hAnsi="Times New Roman"/>
          <w:i w:val="0"/>
          <w:sz w:val="24"/>
          <w:szCs w:val="24"/>
          <w:lang w:val="en-GB"/>
        </w:rPr>
        <w:t xml:space="preserve"> </w:t>
      </w:r>
      <w:r w:rsidR="0002169D" w:rsidRPr="00344357">
        <w:rPr>
          <w:rFonts w:ascii="Times New Roman" w:hAnsi="Times New Roman"/>
          <w:i w:val="0"/>
          <w:sz w:val="24"/>
          <w:szCs w:val="24"/>
          <w:lang w:val="en-GB"/>
        </w:rPr>
        <w:t>1</w:t>
      </w:r>
      <w:r w:rsidRPr="00344357">
        <w:rPr>
          <w:rFonts w:ascii="Times New Roman" w:hAnsi="Times New Roman"/>
          <w:i w:val="0"/>
          <w:sz w:val="24"/>
          <w:szCs w:val="24"/>
        </w:rPr>
        <w:t>12</w:t>
      </w:r>
      <w:r w:rsidR="00D71D4A" w:rsidRPr="00344357">
        <w:rPr>
          <w:rFonts w:ascii="Times New Roman" w:hAnsi="Times New Roman"/>
          <w:i w:val="0"/>
          <w:sz w:val="24"/>
          <w:szCs w:val="24"/>
          <w:lang w:val="en-US"/>
        </w:rPr>
        <w:t xml:space="preserve"> </w:t>
      </w:r>
      <w:r w:rsidR="00D71D4A" w:rsidRPr="00344357">
        <w:rPr>
          <w:rFonts w:ascii="Times New Roman" w:hAnsi="Times New Roman"/>
          <w:i w:val="0"/>
          <w:sz w:val="24"/>
          <w:szCs w:val="24"/>
          <w:lang w:val="en-US"/>
        </w:rPr>
        <w:tab/>
      </w:r>
      <w:r w:rsidR="00D71D4A" w:rsidRPr="00344357">
        <w:rPr>
          <w:rFonts w:ascii="Times New Roman" w:hAnsi="Times New Roman"/>
          <w:i w:val="0"/>
          <w:sz w:val="24"/>
          <w:szCs w:val="24"/>
        </w:rPr>
        <w:t xml:space="preserve">THERMAL AGEING EMBRITTLEMENT </w:t>
      </w:r>
      <w:bookmarkEnd w:id="0"/>
      <w:r w:rsidR="00D71D4A" w:rsidRPr="00344357">
        <w:rPr>
          <w:rFonts w:ascii="Times New Roman" w:hAnsi="Times New Roman"/>
          <w:i w:val="0"/>
          <w:sz w:val="24"/>
          <w:szCs w:val="24"/>
        </w:rPr>
        <w:t>OF CAST A</w:t>
      </w:r>
      <w:bookmarkStart w:id="1" w:name="_Toc88877619"/>
      <w:r w:rsidR="00883876" w:rsidRPr="00344357">
        <w:rPr>
          <w:rFonts w:ascii="Times New Roman" w:hAnsi="Times New Roman"/>
          <w:i w:val="0"/>
          <w:sz w:val="24"/>
          <w:szCs w:val="24"/>
        </w:rPr>
        <w:t>USTENITIC STAINLESS STEEL</w:t>
      </w:r>
      <w:r w:rsidR="00111B47" w:rsidRPr="00344357">
        <w:rPr>
          <w:rFonts w:ascii="Times New Roman" w:hAnsi="Times New Roman"/>
          <w:i w:val="0"/>
          <w:sz w:val="24"/>
          <w:szCs w:val="24"/>
          <w:lang w:val="en-US"/>
        </w:rPr>
        <w:t xml:space="preserve"> (VERSION 20</w:t>
      </w:r>
      <w:r w:rsidR="00D90BC0">
        <w:rPr>
          <w:rFonts w:ascii="Times New Roman" w:hAnsi="Times New Roman"/>
          <w:i w:val="0"/>
          <w:sz w:val="24"/>
          <w:szCs w:val="24"/>
          <w:lang w:val="en-US"/>
        </w:rPr>
        <w:t>20</w:t>
      </w:r>
      <w:r w:rsidR="00111B47" w:rsidRPr="00344357">
        <w:rPr>
          <w:rFonts w:ascii="Times New Roman" w:hAnsi="Times New Roman"/>
          <w:i w:val="0"/>
          <w:sz w:val="24"/>
          <w:szCs w:val="24"/>
          <w:lang w:val="en-US"/>
        </w:rPr>
        <w:t>)</w:t>
      </w:r>
    </w:p>
    <w:p w14:paraId="09DEDCFF" w14:textId="77777777" w:rsidR="00F90ECA" w:rsidRPr="00344357" w:rsidRDefault="00F90ECA" w:rsidP="00344357">
      <w:pPr>
        <w:pStyle w:val="Body"/>
        <w:rPr>
          <w:rFonts w:ascii="Times New Roman" w:hAnsi="Times New Roman"/>
          <w:b/>
          <w:sz w:val="24"/>
          <w:szCs w:val="24"/>
        </w:rPr>
      </w:pPr>
      <w:r w:rsidRPr="00344357">
        <w:rPr>
          <w:rFonts w:ascii="Times New Roman" w:hAnsi="Times New Roman"/>
          <w:b/>
          <w:sz w:val="24"/>
          <w:szCs w:val="24"/>
        </w:rPr>
        <w:t>Program</w:t>
      </w:r>
      <w:r w:rsidR="00533858" w:rsidRPr="00344357">
        <w:rPr>
          <w:rFonts w:ascii="Times New Roman" w:hAnsi="Times New Roman"/>
          <w:b/>
          <w:sz w:val="24"/>
          <w:szCs w:val="24"/>
        </w:rPr>
        <w:t>me</w:t>
      </w:r>
      <w:r w:rsidRPr="00344357">
        <w:rPr>
          <w:rFonts w:ascii="Times New Roman" w:hAnsi="Times New Roman"/>
          <w:b/>
          <w:sz w:val="24"/>
          <w:szCs w:val="24"/>
        </w:rPr>
        <w:t xml:space="preserve"> Description</w:t>
      </w:r>
      <w:bookmarkEnd w:id="1"/>
      <w:r w:rsidR="000C2C42" w:rsidRPr="00344357">
        <w:rPr>
          <w:rFonts w:ascii="Times New Roman" w:hAnsi="Times New Roman"/>
          <w:b/>
          <w:sz w:val="24"/>
          <w:szCs w:val="24"/>
        </w:rPr>
        <w:t xml:space="preserve"> </w:t>
      </w:r>
    </w:p>
    <w:p w14:paraId="45D0D164" w14:textId="77777777" w:rsidR="00965EF8" w:rsidRPr="00344357" w:rsidRDefault="00BA467E" w:rsidP="00344357">
      <w:pPr>
        <w:pStyle w:val="Body"/>
        <w:jc w:val="both"/>
        <w:rPr>
          <w:rFonts w:ascii="Times New Roman" w:eastAsia="Times New Roman" w:hAnsi="Times New Roman"/>
          <w:sz w:val="24"/>
          <w:szCs w:val="24"/>
        </w:rPr>
      </w:pPr>
      <w:r w:rsidRPr="00344357">
        <w:rPr>
          <w:rFonts w:ascii="Times New Roman" w:eastAsia="Times New Roman" w:hAnsi="Times New Roman"/>
          <w:sz w:val="24"/>
          <w:szCs w:val="24"/>
        </w:rPr>
        <w:t xml:space="preserve">Thermal ageing embrittlement decreases the fracture toughness of cast austenitic stainless steel (CASS) </w:t>
      </w:r>
      <w:r w:rsidR="00C7019F" w:rsidRPr="00344357">
        <w:rPr>
          <w:rFonts w:ascii="Times New Roman" w:eastAsia="Times New Roman" w:hAnsi="Times New Roman"/>
          <w:sz w:val="24"/>
          <w:szCs w:val="24"/>
        </w:rPr>
        <w:t xml:space="preserve">reactor coolant pressure boundary components </w:t>
      </w:r>
      <w:r w:rsidRPr="00344357">
        <w:rPr>
          <w:rFonts w:ascii="Times New Roman" w:eastAsia="Times New Roman" w:hAnsi="Times New Roman"/>
          <w:sz w:val="24"/>
          <w:szCs w:val="24"/>
        </w:rPr>
        <w:t xml:space="preserve">that </w:t>
      </w:r>
      <w:r w:rsidR="00C7019F" w:rsidRPr="00344357">
        <w:rPr>
          <w:rFonts w:ascii="Times New Roman" w:eastAsia="Times New Roman" w:hAnsi="Times New Roman"/>
          <w:sz w:val="24"/>
          <w:szCs w:val="24"/>
        </w:rPr>
        <w:t>are</w:t>
      </w:r>
      <w:r w:rsidRPr="00344357">
        <w:rPr>
          <w:rFonts w:ascii="Times New Roman" w:eastAsia="Times New Roman" w:hAnsi="Times New Roman"/>
          <w:sz w:val="24"/>
          <w:szCs w:val="24"/>
        </w:rPr>
        <w:t xml:space="preserve"> exposed to temperatures above 250</w:t>
      </w:r>
      <w:r w:rsidR="00FE74AB" w:rsidRPr="00344357">
        <w:rPr>
          <w:rFonts w:ascii="Times New Roman" w:eastAsia="Times New Roman" w:hAnsi="Times New Roman"/>
          <w:sz w:val="24"/>
          <w:szCs w:val="24"/>
        </w:rPr>
        <w:t xml:space="preserve"> °</w:t>
      </w:r>
      <w:r w:rsidRPr="00344357">
        <w:rPr>
          <w:rFonts w:ascii="Times New Roman" w:eastAsia="Times New Roman" w:hAnsi="Times New Roman"/>
          <w:sz w:val="24"/>
          <w:szCs w:val="24"/>
        </w:rPr>
        <w:t xml:space="preserve">C. However, not all CASS material has the same susceptibility to experiencing a </w:t>
      </w:r>
      <w:r w:rsidR="00654691" w:rsidRPr="00344357">
        <w:rPr>
          <w:rFonts w:ascii="Times New Roman" w:eastAsia="Times New Roman" w:hAnsi="Times New Roman"/>
          <w:sz w:val="24"/>
          <w:szCs w:val="24"/>
        </w:rPr>
        <w:t>“</w:t>
      </w:r>
      <w:r w:rsidRPr="00344357">
        <w:rPr>
          <w:rFonts w:ascii="Times New Roman" w:eastAsia="Times New Roman" w:hAnsi="Times New Roman"/>
          <w:sz w:val="24"/>
          <w:szCs w:val="24"/>
        </w:rPr>
        <w:t>significant</w:t>
      </w:r>
      <w:r w:rsidR="00654691" w:rsidRPr="00344357">
        <w:rPr>
          <w:rFonts w:ascii="Times New Roman" w:eastAsia="Times New Roman" w:hAnsi="Times New Roman"/>
          <w:sz w:val="24"/>
          <w:szCs w:val="24"/>
        </w:rPr>
        <w:t>”</w:t>
      </w:r>
      <w:r w:rsidRPr="00344357">
        <w:rPr>
          <w:rFonts w:ascii="Times New Roman" w:eastAsia="Times New Roman" w:hAnsi="Times New Roman"/>
          <w:sz w:val="24"/>
          <w:szCs w:val="24"/>
        </w:rPr>
        <w:t xml:space="preserve"> loss of fracture toughness due to thermal ageing embrittlement. A significant loss of fracture toughness is a decrease that could potentially challenge the structural integrity of a component or exceeds a generic bounding value established by requirements or guidance documents for the plant. </w:t>
      </w:r>
      <w:r w:rsidR="00654691" w:rsidRPr="00344357">
        <w:rPr>
          <w:rFonts w:ascii="Times New Roman" w:eastAsia="Times New Roman" w:hAnsi="Times New Roman"/>
          <w:sz w:val="24"/>
          <w:szCs w:val="24"/>
        </w:rPr>
        <w:t xml:space="preserve">A CASS component that retains </w:t>
      </w:r>
      <w:r w:rsidR="00DF1839" w:rsidRPr="00344357">
        <w:rPr>
          <w:rFonts w:ascii="Times New Roman" w:eastAsia="Times New Roman" w:hAnsi="Times New Roman"/>
          <w:sz w:val="24"/>
          <w:szCs w:val="24"/>
        </w:rPr>
        <w:t>adequate</w:t>
      </w:r>
      <w:r w:rsidR="00654691" w:rsidRPr="00344357">
        <w:rPr>
          <w:rFonts w:ascii="Times New Roman" w:eastAsia="Times New Roman" w:hAnsi="Times New Roman"/>
          <w:sz w:val="24"/>
          <w:szCs w:val="24"/>
        </w:rPr>
        <w:t xml:space="preserve"> fracture toughness to </w:t>
      </w:r>
      <w:r w:rsidR="00DF1839" w:rsidRPr="00344357">
        <w:rPr>
          <w:rFonts w:ascii="Times New Roman" w:eastAsia="Times New Roman" w:hAnsi="Times New Roman"/>
          <w:sz w:val="24"/>
          <w:szCs w:val="24"/>
        </w:rPr>
        <w:t xml:space="preserve">ensure </w:t>
      </w:r>
      <w:r w:rsidR="00654691" w:rsidRPr="00344357">
        <w:rPr>
          <w:rFonts w:ascii="Times New Roman" w:eastAsia="Times New Roman" w:hAnsi="Times New Roman"/>
          <w:sz w:val="24"/>
          <w:szCs w:val="24"/>
        </w:rPr>
        <w:t>its intended function(s)</w:t>
      </w:r>
      <w:r w:rsidR="00DF1839" w:rsidRPr="00344357">
        <w:rPr>
          <w:rFonts w:ascii="Times New Roman" w:eastAsia="Times New Roman" w:hAnsi="Times New Roman"/>
          <w:sz w:val="24"/>
          <w:szCs w:val="24"/>
        </w:rPr>
        <w:t xml:space="preserve"> will be performed</w:t>
      </w:r>
      <w:r w:rsidR="00654691" w:rsidRPr="00344357">
        <w:rPr>
          <w:rFonts w:ascii="Times New Roman" w:eastAsia="Times New Roman" w:hAnsi="Times New Roman"/>
          <w:sz w:val="24"/>
          <w:szCs w:val="24"/>
        </w:rPr>
        <w:t>, after experiencing th</w:t>
      </w:r>
      <w:r w:rsidR="00A448E7" w:rsidRPr="00344357">
        <w:rPr>
          <w:rFonts w:ascii="Times New Roman" w:eastAsia="Times New Roman" w:hAnsi="Times New Roman"/>
          <w:sz w:val="24"/>
          <w:szCs w:val="24"/>
        </w:rPr>
        <w:t>ermal ag</w:t>
      </w:r>
      <w:r w:rsidR="00533858" w:rsidRPr="00344357">
        <w:rPr>
          <w:rFonts w:ascii="Times New Roman" w:eastAsia="Times New Roman" w:hAnsi="Times New Roman"/>
          <w:sz w:val="24"/>
          <w:szCs w:val="24"/>
        </w:rPr>
        <w:t>e</w:t>
      </w:r>
      <w:r w:rsidR="00A448E7" w:rsidRPr="00344357">
        <w:rPr>
          <w:rFonts w:ascii="Times New Roman" w:eastAsia="Times New Roman" w:hAnsi="Times New Roman"/>
          <w:sz w:val="24"/>
          <w:szCs w:val="24"/>
        </w:rPr>
        <w:t xml:space="preserve">ing embrittlement, </w:t>
      </w:r>
      <w:r w:rsidR="00654691" w:rsidRPr="00344357">
        <w:rPr>
          <w:rFonts w:ascii="Times New Roman" w:eastAsia="Times New Roman" w:hAnsi="Times New Roman"/>
          <w:sz w:val="24"/>
          <w:szCs w:val="24"/>
        </w:rPr>
        <w:t xml:space="preserve">can be screened out as not susceptible to a “significant” loss of fracture toughness. </w:t>
      </w:r>
      <w:r w:rsidRPr="00344357">
        <w:rPr>
          <w:rFonts w:ascii="Times New Roman" w:eastAsia="Times New Roman" w:hAnsi="Times New Roman"/>
          <w:sz w:val="24"/>
          <w:szCs w:val="24"/>
        </w:rPr>
        <w:t xml:space="preserve">If it is determined that a CASS component is not </w:t>
      </w:r>
      <w:r w:rsidR="00B341C5" w:rsidRPr="00344357">
        <w:rPr>
          <w:rFonts w:ascii="Times New Roman" w:eastAsia="Times New Roman" w:hAnsi="Times New Roman"/>
          <w:sz w:val="24"/>
          <w:szCs w:val="24"/>
        </w:rPr>
        <w:t xml:space="preserve">susceptible to a </w:t>
      </w:r>
      <w:r w:rsidRPr="00344357">
        <w:rPr>
          <w:rFonts w:ascii="Times New Roman" w:eastAsia="Times New Roman" w:hAnsi="Times New Roman"/>
          <w:sz w:val="24"/>
          <w:szCs w:val="24"/>
        </w:rPr>
        <w:t xml:space="preserve">significant loss of fracture toughness, then the </w:t>
      </w:r>
      <w:r w:rsidR="00B341C5" w:rsidRPr="00344357">
        <w:rPr>
          <w:rFonts w:ascii="Times New Roman" w:eastAsia="Times New Roman" w:hAnsi="Times New Roman"/>
          <w:sz w:val="24"/>
          <w:szCs w:val="24"/>
        </w:rPr>
        <w:t xml:space="preserve">additional inspection or evaluations </w:t>
      </w:r>
      <w:r w:rsidR="001B36AE" w:rsidRPr="00344357">
        <w:rPr>
          <w:rFonts w:ascii="Times New Roman" w:eastAsia="Times New Roman" w:hAnsi="Times New Roman"/>
          <w:sz w:val="24"/>
          <w:szCs w:val="24"/>
        </w:rPr>
        <w:t>contained</w:t>
      </w:r>
      <w:r w:rsidR="00B341C5" w:rsidRPr="00344357">
        <w:rPr>
          <w:rFonts w:ascii="Times New Roman" w:eastAsia="Times New Roman" w:hAnsi="Times New Roman"/>
          <w:sz w:val="24"/>
          <w:szCs w:val="24"/>
        </w:rPr>
        <w:t xml:space="preserve"> in this AMP are not needed</w:t>
      </w:r>
      <w:r w:rsidR="00733984" w:rsidRPr="00344357">
        <w:rPr>
          <w:rFonts w:ascii="Times New Roman" w:eastAsia="Times New Roman" w:hAnsi="Times New Roman"/>
          <w:sz w:val="24"/>
          <w:szCs w:val="24"/>
        </w:rPr>
        <w:t xml:space="preserve"> (i.e., screened out)</w:t>
      </w:r>
      <w:r w:rsidR="00B341C5" w:rsidRPr="00344357">
        <w:rPr>
          <w:rFonts w:ascii="Times New Roman" w:eastAsia="Times New Roman" w:hAnsi="Times New Roman"/>
          <w:sz w:val="24"/>
          <w:szCs w:val="24"/>
        </w:rPr>
        <w:t xml:space="preserve">. </w:t>
      </w:r>
    </w:p>
    <w:p w14:paraId="76FDD05A" w14:textId="77777777" w:rsidR="00F90ECA"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t>This</w:t>
      </w:r>
      <w:r w:rsidR="00E42E13" w:rsidRPr="00344357">
        <w:rPr>
          <w:rFonts w:ascii="Times New Roman" w:hAnsi="Times New Roman"/>
          <w:sz w:val="24"/>
          <w:szCs w:val="24"/>
        </w:rPr>
        <w:t xml:space="preserve"> ageing</w:t>
      </w:r>
      <w:r w:rsidRPr="00344357">
        <w:rPr>
          <w:rFonts w:ascii="Times New Roman" w:hAnsi="Times New Roman"/>
          <w:sz w:val="24"/>
          <w:szCs w:val="24"/>
        </w:rPr>
        <w:t xml:space="preserve"> management program</w:t>
      </w:r>
      <w:r w:rsidR="00EE23EF" w:rsidRPr="00344357">
        <w:rPr>
          <w:rFonts w:ascii="Times New Roman" w:hAnsi="Times New Roman"/>
          <w:sz w:val="24"/>
          <w:szCs w:val="24"/>
        </w:rPr>
        <w:t>me</w:t>
      </w:r>
      <w:r w:rsidRPr="00344357">
        <w:rPr>
          <w:rFonts w:ascii="Times New Roman" w:hAnsi="Times New Roman"/>
          <w:sz w:val="24"/>
          <w:szCs w:val="24"/>
        </w:rPr>
        <w:t xml:space="preserve"> (AMP) </w:t>
      </w:r>
      <w:r w:rsidR="00964FED" w:rsidRPr="00344357">
        <w:rPr>
          <w:rFonts w:ascii="Times New Roman" w:hAnsi="Times New Roman"/>
          <w:sz w:val="24"/>
          <w:szCs w:val="24"/>
        </w:rPr>
        <w:t xml:space="preserve">provides guidance on </w:t>
      </w:r>
      <w:r w:rsidR="00EC28F7" w:rsidRPr="00344357">
        <w:rPr>
          <w:rFonts w:ascii="Times New Roman" w:hAnsi="Times New Roman"/>
          <w:sz w:val="24"/>
          <w:szCs w:val="24"/>
        </w:rPr>
        <w:t xml:space="preserve">(a) a process to screen out components that are not susceptible to significant loss of fracture toughness and (b) inspections </w:t>
      </w:r>
      <w:r w:rsidR="00182769" w:rsidRPr="00344357">
        <w:rPr>
          <w:rFonts w:ascii="Times New Roman" w:hAnsi="Times New Roman"/>
          <w:sz w:val="24"/>
          <w:szCs w:val="24"/>
        </w:rPr>
        <w:t>and flaw tolerance evaluations</w:t>
      </w:r>
      <w:r w:rsidR="0026039F" w:rsidRPr="00344357">
        <w:rPr>
          <w:rFonts w:ascii="Times New Roman" w:hAnsi="Times New Roman"/>
          <w:sz w:val="24"/>
          <w:szCs w:val="24"/>
        </w:rPr>
        <w:t xml:space="preserve"> for components that are susceptible to significant loss of fracture toughness</w:t>
      </w:r>
      <w:r w:rsidR="00182769" w:rsidRPr="00344357">
        <w:rPr>
          <w:rFonts w:ascii="Times New Roman" w:hAnsi="Times New Roman"/>
          <w:sz w:val="24"/>
          <w:szCs w:val="24"/>
        </w:rPr>
        <w:t>.</w:t>
      </w:r>
      <w:r w:rsidR="00EC28F7" w:rsidRPr="00344357">
        <w:rPr>
          <w:rFonts w:ascii="Times New Roman" w:hAnsi="Times New Roman"/>
          <w:sz w:val="24"/>
          <w:szCs w:val="24"/>
        </w:rPr>
        <w:t xml:space="preserve"> A screening method is used to </w:t>
      </w:r>
      <w:r w:rsidRPr="00344357">
        <w:rPr>
          <w:rFonts w:ascii="Times New Roman" w:hAnsi="Times New Roman"/>
          <w:sz w:val="24"/>
          <w:szCs w:val="24"/>
        </w:rPr>
        <w:t>determin</w:t>
      </w:r>
      <w:r w:rsidR="00EC28F7" w:rsidRPr="00344357">
        <w:rPr>
          <w:rFonts w:ascii="Times New Roman" w:hAnsi="Times New Roman"/>
          <w:sz w:val="24"/>
          <w:szCs w:val="24"/>
        </w:rPr>
        <w:t>e</w:t>
      </w:r>
      <w:r w:rsidRPr="00344357">
        <w:rPr>
          <w:rFonts w:ascii="Times New Roman" w:hAnsi="Times New Roman"/>
          <w:sz w:val="24"/>
          <w:szCs w:val="24"/>
        </w:rPr>
        <w:t xml:space="preserve"> the susceptibility of</w:t>
      </w:r>
      <w:r w:rsidR="00EE23EF" w:rsidRPr="00344357">
        <w:rPr>
          <w:rFonts w:ascii="Times New Roman" w:hAnsi="Times New Roman"/>
          <w:sz w:val="24"/>
          <w:szCs w:val="24"/>
        </w:rPr>
        <w:t xml:space="preserve"> </w:t>
      </w:r>
      <w:r w:rsidRPr="00344357">
        <w:rPr>
          <w:rFonts w:ascii="Times New Roman" w:hAnsi="Times New Roman"/>
          <w:sz w:val="24"/>
          <w:szCs w:val="24"/>
        </w:rPr>
        <w:t xml:space="preserve">CASS </w:t>
      </w:r>
      <w:r w:rsidR="007B6DEB" w:rsidRPr="00344357">
        <w:rPr>
          <w:rFonts w:ascii="Times New Roman" w:hAnsi="Times New Roman"/>
          <w:sz w:val="24"/>
          <w:szCs w:val="24"/>
        </w:rPr>
        <w:t>piping</w:t>
      </w:r>
      <w:r w:rsidR="00C7019F" w:rsidRPr="00344357">
        <w:rPr>
          <w:rFonts w:ascii="Times New Roman" w:hAnsi="Times New Roman"/>
          <w:sz w:val="24"/>
          <w:szCs w:val="24"/>
        </w:rPr>
        <w:t>,</w:t>
      </w:r>
      <w:r w:rsidR="007B6DEB" w:rsidRPr="00344357">
        <w:rPr>
          <w:rFonts w:ascii="Times New Roman" w:hAnsi="Times New Roman"/>
          <w:sz w:val="24"/>
          <w:szCs w:val="24"/>
        </w:rPr>
        <w:t xml:space="preserve"> piping components, pump casing</w:t>
      </w:r>
      <w:r w:rsidR="00C7019F" w:rsidRPr="00344357">
        <w:rPr>
          <w:rFonts w:ascii="Times New Roman" w:hAnsi="Times New Roman"/>
          <w:sz w:val="24"/>
          <w:szCs w:val="24"/>
        </w:rPr>
        <w:t>,</w:t>
      </w:r>
      <w:r w:rsidR="007B6DEB" w:rsidRPr="00344357">
        <w:rPr>
          <w:rFonts w:ascii="Times New Roman" w:hAnsi="Times New Roman"/>
          <w:sz w:val="24"/>
          <w:szCs w:val="24"/>
        </w:rPr>
        <w:t xml:space="preserve"> and valve bodies </w:t>
      </w:r>
      <w:r w:rsidR="001B36AE" w:rsidRPr="00344357">
        <w:rPr>
          <w:rFonts w:ascii="Times New Roman" w:hAnsi="Times New Roman"/>
          <w:sz w:val="24"/>
          <w:szCs w:val="24"/>
        </w:rPr>
        <w:t>to experiencing</w:t>
      </w:r>
      <w:r w:rsidR="0070675F" w:rsidRPr="00344357">
        <w:rPr>
          <w:rFonts w:ascii="Times New Roman" w:hAnsi="Times New Roman"/>
          <w:sz w:val="24"/>
          <w:szCs w:val="24"/>
        </w:rPr>
        <w:t xml:space="preserve"> a significant loss of fracture toughness due </w:t>
      </w:r>
      <w:r w:rsidRPr="00344357">
        <w:rPr>
          <w:rFonts w:ascii="Times New Roman" w:hAnsi="Times New Roman"/>
          <w:sz w:val="24"/>
          <w:szCs w:val="24"/>
        </w:rPr>
        <w:t>to thermal</w:t>
      </w:r>
      <w:r w:rsidR="00E42E13" w:rsidRPr="00344357">
        <w:rPr>
          <w:rFonts w:ascii="Times New Roman" w:hAnsi="Times New Roman"/>
          <w:sz w:val="24"/>
          <w:szCs w:val="24"/>
        </w:rPr>
        <w:t xml:space="preserve"> ageing</w:t>
      </w:r>
      <w:r w:rsidRPr="00344357">
        <w:rPr>
          <w:rFonts w:ascii="Times New Roman" w:hAnsi="Times New Roman"/>
          <w:sz w:val="24"/>
          <w:szCs w:val="24"/>
        </w:rPr>
        <w:t xml:space="preserve"> embrittlement</w:t>
      </w:r>
      <w:r w:rsidR="00961926" w:rsidRPr="00344357">
        <w:rPr>
          <w:rFonts w:ascii="Times New Roman" w:hAnsi="Times New Roman"/>
          <w:sz w:val="24"/>
          <w:szCs w:val="24"/>
        </w:rPr>
        <w:t xml:space="preserve">. The screening criteria used to </w:t>
      </w:r>
      <w:r w:rsidR="00EB2BCF" w:rsidRPr="00344357">
        <w:rPr>
          <w:rFonts w:ascii="Times New Roman" w:hAnsi="Times New Roman"/>
          <w:sz w:val="24"/>
          <w:szCs w:val="24"/>
        </w:rPr>
        <w:t>determine</w:t>
      </w:r>
      <w:r w:rsidR="00961926" w:rsidRPr="00344357">
        <w:rPr>
          <w:rFonts w:ascii="Times New Roman" w:hAnsi="Times New Roman"/>
          <w:sz w:val="24"/>
          <w:szCs w:val="24"/>
        </w:rPr>
        <w:t xml:space="preserve"> if the CASS material is susceptible to</w:t>
      </w:r>
      <w:r w:rsidRPr="00344357">
        <w:rPr>
          <w:rFonts w:ascii="Times New Roman" w:hAnsi="Times New Roman"/>
          <w:sz w:val="24"/>
          <w:szCs w:val="24"/>
        </w:rPr>
        <w:t xml:space="preserve"> </w:t>
      </w:r>
      <w:r w:rsidR="00961926" w:rsidRPr="00344357">
        <w:rPr>
          <w:rFonts w:ascii="Times New Roman" w:hAnsi="Times New Roman"/>
          <w:sz w:val="24"/>
          <w:szCs w:val="24"/>
        </w:rPr>
        <w:t xml:space="preserve">a significant loss of fracture toughness due to thermal ageing embrittlement is </w:t>
      </w:r>
      <w:r w:rsidRPr="00344357">
        <w:rPr>
          <w:rFonts w:ascii="Times New Roman" w:hAnsi="Times New Roman"/>
          <w:sz w:val="24"/>
          <w:szCs w:val="24"/>
        </w:rPr>
        <w:t xml:space="preserve">based on </w:t>
      </w:r>
      <w:r w:rsidR="00A448E7" w:rsidRPr="00344357">
        <w:rPr>
          <w:rFonts w:ascii="Times New Roman" w:hAnsi="Times New Roman"/>
          <w:sz w:val="24"/>
          <w:szCs w:val="24"/>
        </w:rPr>
        <w:t xml:space="preserve">the </w:t>
      </w:r>
      <w:r w:rsidRPr="00344357">
        <w:rPr>
          <w:rFonts w:ascii="Times New Roman" w:hAnsi="Times New Roman"/>
          <w:sz w:val="24"/>
          <w:szCs w:val="24"/>
        </w:rPr>
        <w:t xml:space="preserve">casting method, molybdenum (Mo) content, </w:t>
      </w:r>
      <w:r w:rsidR="00DD3CBE" w:rsidRPr="00344357">
        <w:rPr>
          <w:rFonts w:ascii="Times New Roman" w:hAnsi="Times New Roman"/>
          <w:sz w:val="24"/>
          <w:szCs w:val="24"/>
        </w:rPr>
        <w:t>chromium equivalent value (Cr</w:t>
      </w:r>
      <w:r w:rsidR="00DD3CBE" w:rsidRPr="00344357">
        <w:rPr>
          <w:rFonts w:ascii="Times New Roman" w:hAnsi="Times New Roman"/>
          <w:sz w:val="24"/>
          <w:szCs w:val="24"/>
          <w:vertAlign w:val="subscript"/>
        </w:rPr>
        <w:t>eq</w:t>
      </w:r>
      <w:r w:rsidR="00DD3CBE" w:rsidRPr="00344357">
        <w:rPr>
          <w:rFonts w:ascii="Times New Roman" w:hAnsi="Times New Roman"/>
          <w:sz w:val="24"/>
          <w:szCs w:val="24"/>
        </w:rPr>
        <w:t xml:space="preserve">), </w:t>
      </w:r>
      <w:r w:rsidRPr="00344357">
        <w:rPr>
          <w:rFonts w:ascii="Times New Roman" w:hAnsi="Times New Roman"/>
          <w:sz w:val="24"/>
          <w:szCs w:val="24"/>
        </w:rPr>
        <w:t>and percent ferrite</w:t>
      </w:r>
      <w:r w:rsidR="00E7676C" w:rsidRPr="00344357">
        <w:rPr>
          <w:rFonts w:ascii="Times New Roman" w:hAnsi="Times New Roman"/>
          <w:sz w:val="24"/>
          <w:szCs w:val="24"/>
        </w:rPr>
        <w:t xml:space="preserve"> [1</w:t>
      </w:r>
      <w:r w:rsidR="00253B10" w:rsidRPr="00344357">
        <w:rPr>
          <w:rFonts w:ascii="Times New Roman" w:hAnsi="Times New Roman"/>
          <w:sz w:val="24"/>
          <w:szCs w:val="24"/>
        </w:rPr>
        <w:t>, 2</w:t>
      </w:r>
      <w:r w:rsidR="00E7676C" w:rsidRPr="00344357">
        <w:rPr>
          <w:rFonts w:ascii="Times New Roman" w:hAnsi="Times New Roman"/>
          <w:sz w:val="24"/>
          <w:szCs w:val="24"/>
        </w:rPr>
        <w:t>]</w:t>
      </w:r>
      <w:r w:rsidRPr="00344357">
        <w:rPr>
          <w:rFonts w:ascii="Times New Roman" w:hAnsi="Times New Roman"/>
          <w:sz w:val="24"/>
          <w:szCs w:val="24"/>
        </w:rPr>
        <w:t>.</w:t>
      </w:r>
      <w:r w:rsidR="0070675F" w:rsidRPr="00344357">
        <w:rPr>
          <w:rFonts w:ascii="Times New Roman" w:hAnsi="Times New Roman"/>
          <w:sz w:val="24"/>
          <w:szCs w:val="24"/>
        </w:rPr>
        <w:t xml:space="preserve"> CASS components determined to be susceptible to a significant loss of fracture toughness are subjected to additional ageing management actives, as described in this AMP. </w:t>
      </w:r>
    </w:p>
    <w:p w14:paraId="022F0389" w14:textId="77777777" w:rsidR="00F90ECA"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t xml:space="preserve">The reactor coolant system components are inspected in accordance </w:t>
      </w:r>
      <w:r w:rsidR="004C6C3B" w:rsidRPr="00344357">
        <w:rPr>
          <w:rFonts w:ascii="Times New Roman" w:hAnsi="Times New Roman"/>
          <w:sz w:val="24"/>
          <w:szCs w:val="24"/>
        </w:rPr>
        <w:t>with the pertinent governing requirements or guidance documents for the plant</w:t>
      </w:r>
      <w:r w:rsidR="00961926" w:rsidRPr="00344357">
        <w:rPr>
          <w:rFonts w:ascii="Times New Roman" w:hAnsi="Times New Roman"/>
          <w:sz w:val="24"/>
          <w:szCs w:val="24"/>
        </w:rPr>
        <w:t xml:space="preserve"> (e.g.</w:t>
      </w:r>
      <w:r w:rsidR="00C45A64" w:rsidRPr="00344357">
        <w:rPr>
          <w:rFonts w:ascii="Times New Roman" w:hAnsi="Times New Roman"/>
          <w:sz w:val="24"/>
          <w:szCs w:val="24"/>
        </w:rPr>
        <w:t xml:space="preserve"> </w:t>
      </w:r>
      <w:r w:rsidR="00961926" w:rsidRPr="00344357">
        <w:rPr>
          <w:rFonts w:ascii="Times New Roman" w:hAnsi="Times New Roman"/>
          <w:sz w:val="24"/>
          <w:szCs w:val="24"/>
        </w:rPr>
        <w:t>[</w:t>
      </w:r>
      <w:r w:rsidR="00253B10" w:rsidRPr="00344357">
        <w:rPr>
          <w:rFonts w:ascii="Times New Roman" w:hAnsi="Times New Roman"/>
          <w:sz w:val="24"/>
          <w:szCs w:val="24"/>
        </w:rPr>
        <w:t xml:space="preserve">2, </w:t>
      </w:r>
      <w:r w:rsidR="00C02CE8" w:rsidRPr="00344357">
        <w:rPr>
          <w:rFonts w:ascii="Times New Roman" w:hAnsi="Times New Roman"/>
          <w:sz w:val="24"/>
          <w:szCs w:val="24"/>
        </w:rPr>
        <w:t>3</w:t>
      </w:r>
      <w:r w:rsidR="008C5685" w:rsidRPr="00344357">
        <w:rPr>
          <w:rFonts w:ascii="Times New Roman" w:hAnsi="Times New Roman"/>
          <w:sz w:val="24"/>
          <w:szCs w:val="24"/>
        </w:rPr>
        <w:t>]</w:t>
      </w:r>
      <w:r w:rsidR="00961926" w:rsidRPr="00344357">
        <w:rPr>
          <w:rFonts w:ascii="Times New Roman" w:hAnsi="Times New Roman"/>
          <w:sz w:val="24"/>
          <w:szCs w:val="24"/>
        </w:rPr>
        <w:t>)</w:t>
      </w:r>
      <w:r w:rsidRPr="00344357">
        <w:rPr>
          <w:rFonts w:ascii="Times New Roman" w:hAnsi="Times New Roman"/>
          <w:sz w:val="24"/>
          <w:szCs w:val="24"/>
        </w:rPr>
        <w:t xml:space="preserve">. </w:t>
      </w:r>
      <w:r w:rsidR="003D2FDA" w:rsidRPr="00344357">
        <w:rPr>
          <w:rFonts w:ascii="Times New Roman" w:hAnsi="Times New Roman"/>
          <w:sz w:val="24"/>
          <w:szCs w:val="24"/>
        </w:rPr>
        <w:t xml:space="preserve">Because the effects of loss of fracture toughness due to thermal ageing embrittlement of CASS piping components can decrease the critical flaw size in susceptible components, </w:t>
      </w:r>
      <w:r w:rsidRPr="00344357">
        <w:rPr>
          <w:rFonts w:ascii="Times New Roman" w:hAnsi="Times New Roman"/>
          <w:sz w:val="24"/>
          <w:szCs w:val="24"/>
        </w:rPr>
        <w:t>augmented</w:t>
      </w:r>
      <w:r w:rsidR="003D2FDA" w:rsidRPr="00344357">
        <w:rPr>
          <w:rFonts w:ascii="Times New Roman" w:hAnsi="Times New Roman"/>
          <w:sz w:val="24"/>
          <w:szCs w:val="24"/>
        </w:rPr>
        <w:t xml:space="preserve"> inspection maybe necessary to confirm the absence of flaws which could approach the critical flaw size.</w:t>
      </w:r>
      <w:r w:rsidRPr="00344357">
        <w:rPr>
          <w:rFonts w:ascii="Times New Roman" w:hAnsi="Times New Roman"/>
          <w:sz w:val="24"/>
          <w:szCs w:val="24"/>
        </w:rPr>
        <w:t xml:space="preserve"> For components</w:t>
      </w:r>
      <w:r w:rsidR="00961926" w:rsidRPr="00344357">
        <w:rPr>
          <w:rFonts w:ascii="Times New Roman" w:hAnsi="Times New Roman"/>
          <w:sz w:val="24"/>
          <w:szCs w:val="24"/>
        </w:rPr>
        <w:t xml:space="preserve"> determined to be susceptible to a significant loss of fracture toughness</w:t>
      </w:r>
      <w:r w:rsidRPr="00344357">
        <w:rPr>
          <w:rFonts w:ascii="Times New Roman" w:hAnsi="Times New Roman"/>
          <w:sz w:val="24"/>
          <w:szCs w:val="24"/>
        </w:rPr>
        <w:t xml:space="preserve">, </w:t>
      </w:r>
      <w:r w:rsidR="00E42E13" w:rsidRPr="00344357">
        <w:rPr>
          <w:rFonts w:ascii="Times New Roman" w:hAnsi="Times New Roman"/>
          <w:sz w:val="24"/>
          <w:szCs w:val="24"/>
        </w:rPr>
        <w:t>ageing</w:t>
      </w:r>
      <w:r w:rsidRPr="00344357">
        <w:rPr>
          <w:rFonts w:ascii="Times New Roman" w:hAnsi="Times New Roman"/>
          <w:sz w:val="24"/>
          <w:szCs w:val="24"/>
        </w:rPr>
        <w:t xml:space="preserve"> management is accomplished through either</w:t>
      </w:r>
      <w:r w:rsidR="00DF1839" w:rsidRPr="00344357">
        <w:rPr>
          <w:rFonts w:ascii="Times New Roman" w:hAnsi="Times New Roman"/>
          <w:sz w:val="24"/>
          <w:szCs w:val="24"/>
        </w:rPr>
        <w:t>:</w:t>
      </w:r>
      <w:r w:rsidRPr="00344357">
        <w:rPr>
          <w:rFonts w:ascii="Times New Roman" w:hAnsi="Times New Roman"/>
          <w:sz w:val="24"/>
          <w:szCs w:val="24"/>
        </w:rPr>
        <w:t xml:space="preserve"> (a) qualified visual inspections, such as enhanced visual examination (EVT-1); (b) a</w:t>
      </w:r>
      <w:r w:rsidR="00791661" w:rsidRPr="00344357">
        <w:rPr>
          <w:rFonts w:ascii="Times New Roman" w:hAnsi="Times New Roman"/>
          <w:sz w:val="24"/>
          <w:szCs w:val="24"/>
        </w:rPr>
        <w:t xml:space="preserve"> </w:t>
      </w:r>
      <w:r w:rsidRPr="00344357">
        <w:rPr>
          <w:rFonts w:ascii="Times New Roman" w:hAnsi="Times New Roman"/>
          <w:sz w:val="24"/>
          <w:szCs w:val="24"/>
        </w:rPr>
        <w:t xml:space="preserve">qualified ultrasonic testing (UT) methodology; or (c) a component-specific flaw tolerance evaluation in accordance </w:t>
      </w:r>
      <w:r w:rsidR="004C6C3B" w:rsidRPr="00344357">
        <w:rPr>
          <w:rFonts w:ascii="Times New Roman" w:hAnsi="Times New Roman"/>
          <w:sz w:val="24"/>
          <w:szCs w:val="24"/>
        </w:rPr>
        <w:t>with the pertinent governing requirements or guidance documents for the plant</w:t>
      </w:r>
      <w:r w:rsidRPr="00344357">
        <w:rPr>
          <w:rFonts w:ascii="Times New Roman" w:hAnsi="Times New Roman"/>
          <w:sz w:val="24"/>
          <w:szCs w:val="24"/>
        </w:rPr>
        <w:t xml:space="preserve">. Additional inspection or evaluations to demonstrate that the material has adequate fracture toughness are not required for components that are not susceptible to </w:t>
      </w:r>
      <w:r w:rsidR="00C03C55" w:rsidRPr="00344357">
        <w:rPr>
          <w:rFonts w:ascii="Times New Roman" w:hAnsi="Times New Roman"/>
          <w:sz w:val="24"/>
          <w:szCs w:val="24"/>
        </w:rPr>
        <w:t xml:space="preserve">a significant loss of fracture toughness due </w:t>
      </w:r>
      <w:r w:rsidR="00EC28F7" w:rsidRPr="00344357">
        <w:rPr>
          <w:rFonts w:ascii="Times New Roman" w:hAnsi="Times New Roman"/>
          <w:sz w:val="24"/>
          <w:szCs w:val="24"/>
        </w:rPr>
        <w:t xml:space="preserve">to </w:t>
      </w:r>
      <w:r w:rsidRPr="00344357">
        <w:rPr>
          <w:rFonts w:ascii="Times New Roman" w:hAnsi="Times New Roman"/>
          <w:sz w:val="24"/>
          <w:szCs w:val="24"/>
        </w:rPr>
        <w:t>thermal</w:t>
      </w:r>
      <w:r w:rsidR="00E42E13" w:rsidRPr="00344357">
        <w:rPr>
          <w:rFonts w:ascii="Times New Roman" w:hAnsi="Times New Roman"/>
          <w:sz w:val="24"/>
          <w:szCs w:val="24"/>
        </w:rPr>
        <w:t xml:space="preserve"> ageing</w:t>
      </w:r>
      <w:r w:rsidRPr="00344357">
        <w:rPr>
          <w:rFonts w:ascii="Times New Roman" w:hAnsi="Times New Roman"/>
          <w:sz w:val="24"/>
          <w:szCs w:val="24"/>
        </w:rPr>
        <w:t xml:space="preserve"> embrittlement.</w:t>
      </w:r>
    </w:p>
    <w:p w14:paraId="60A7558A" w14:textId="77777777" w:rsidR="00F90ECA" w:rsidRPr="00344357" w:rsidRDefault="00C03C55" w:rsidP="00344357">
      <w:pPr>
        <w:pStyle w:val="Body"/>
        <w:jc w:val="both"/>
        <w:rPr>
          <w:rFonts w:ascii="Times New Roman" w:hAnsi="Times New Roman"/>
          <w:sz w:val="24"/>
          <w:szCs w:val="24"/>
          <w:lang w:val="en-GB"/>
        </w:rPr>
      </w:pPr>
      <w:r w:rsidRPr="00344357">
        <w:rPr>
          <w:rFonts w:ascii="Times New Roman" w:hAnsi="Times New Roman"/>
          <w:sz w:val="24"/>
          <w:szCs w:val="24"/>
        </w:rPr>
        <w:t>B</w:t>
      </w:r>
      <w:r w:rsidR="00F90ECA" w:rsidRPr="00344357">
        <w:rPr>
          <w:rFonts w:ascii="Times New Roman" w:hAnsi="Times New Roman"/>
          <w:sz w:val="24"/>
          <w:szCs w:val="24"/>
        </w:rPr>
        <w:t xml:space="preserve">ased on the results of the assessment documented in </w:t>
      </w:r>
      <w:r w:rsidR="00EE23EF" w:rsidRPr="00344357">
        <w:rPr>
          <w:rFonts w:ascii="Times New Roman" w:hAnsi="Times New Roman"/>
          <w:sz w:val="24"/>
          <w:szCs w:val="24"/>
        </w:rPr>
        <w:t>[1]</w:t>
      </w:r>
      <w:r w:rsidR="00216E4A" w:rsidRPr="00344357">
        <w:rPr>
          <w:rFonts w:ascii="Times New Roman" w:hAnsi="Times New Roman"/>
          <w:sz w:val="24"/>
          <w:szCs w:val="24"/>
        </w:rPr>
        <w:t xml:space="preserve">, </w:t>
      </w:r>
      <w:r w:rsidR="00F90ECA" w:rsidRPr="00344357">
        <w:rPr>
          <w:rFonts w:ascii="Times New Roman" w:hAnsi="Times New Roman"/>
          <w:sz w:val="24"/>
          <w:szCs w:val="24"/>
        </w:rPr>
        <w:t xml:space="preserve">screening for </w:t>
      </w:r>
      <w:r w:rsidR="00E7676C" w:rsidRPr="00344357">
        <w:rPr>
          <w:rFonts w:ascii="Times New Roman" w:hAnsi="Times New Roman"/>
          <w:sz w:val="24"/>
          <w:szCs w:val="24"/>
        </w:rPr>
        <w:t>a significant</w:t>
      </w:r>
      <w:r w:rsidR="00EB2BCF" w:rsidRPr="00344357">
        <w:rPr>
          <w:rFonts w:ascii="Times New Roman" w:hAnsi="Times New Roman"/>
          <w:sz w:val="24"/>
          <w:szCs w:val="24"/>
        </w:rPr>
        <w:t xml:space="preserve"> loss of fracture toughness due</w:t>
      </w:r>
      <w:r w:rsidR="00F90ECA" w:rsidRPr="00344357">
        <w:rPr>
          <w:rFonts w:ascii="Times New Roman" w:hAnsi="Times New Roman"/>
          <w:sz w:val="24"/>
          <w:szCs w:val="24"/>
        </w:rPr>
        <w:t xml:space="preserve"> to thermal</w:t>
      </w:r>
      <w:r w:rsidR="00E42E13" w:rsidRPr="00344357">
        <w:rPr>
          <w:rFonts w:ascii="Times New Roman" w:hAnsi="Times New Roman"/>
          <w:sz w:val="24"/>
          <w:szCs w:val="24"/>
        </w:rPr>
        <w:t xml:space="preserve"> ageing</w:t>
      </w:r>
      <w:r w:rsidR="00F90ECA" w:rsidRPr="00344357">
        <w:rPr>
          <w:rFonts w:ascii="Times New Roman" w:hAnsi="Times New Roman"/>
          <w:sz w:val="24"/>
          <w:szCs w:val="24"/>
        </w:rPr>
        <w:t xml:space="preserve"> embrittlement is not required</w:t>
      </w:r>
      <w:r w:rsidRPr="00344357">
        <w:rPr>
          <w:rFonts w:ascii="Times New Roman" w:hAnsi="Times New Roman"/>
          <w:sz w:val="24"/>
          <w:szCs w:val="24"/>
        </w:rPr>
        <w:t xml:space="preserve"> for valve bodies</w:t>
      </w:r>
      <w:r w:rsidR="007B6DEB" w:rsidRPr="00344357">
        <w:rPr>
          <w:rFonts w:ascii="Times New Roman" w:hAnsi="Times New Roman"/>
          <w:sz w:val="24"/>
          <w:szCs w:val="24"/>
        </w:rPr>
        <w:t xml:space="preserve"> in the United States</w:t>
      </w:r>
      <w:r w:rsidR="00F90ECA" w:rsidRPr="00344357">
        <w:rPr>
          <w:rFonts w:ascii="Times New Roman" w:hAnsi="Times New Roman"/>
          <w:sz w:val="24"/>
          <w:szCs w:val="24"/>
        </w:rPr>
        <w:t xml:space="preserve">. </w:t>
      </w:r>
      <w:r w:rsidR="00E7676C" w:rsidRPr="00344357">
        <w:rPr>
          <w:rFonts w:ascii="Times New Roman" w:hAnsi="Times New Roman"/>
          <w:sz w:val="24"/>
          <w:szCs w:val="24"/>
        </w:rPr>
        <w:t>T</w:t>
      </w:r>
      <w:r w:rsidR="00F90ECA" w:rsidRPr="00344357">
        <w:rPr>
          <w:rFonts w:ascii="Times New Roman" w:hAnsi="Times New Roman"/>
          <w:sz w:val="24"/>
          <w:szCs w:val="24"/>
        </w:rPr>
        <w:t xml:space="preserve">he existing ASME Code, Section XI inspection requirements are adequate for </w:t>
      </w:r>
      <w:r w:rsidR="00EE23EF" w:rsidRPr="00344357">
        <w:rPr>
          <w:rFonts w:ascii="Times New Roman" w:hAnsi="Times New Roman"/>
          <w:sz w:val="24"/>
          <w:szCs w:val="24"/>
        </w:rPr>
        <w:t>valve bodies</w:t>
      </w:r>
      <w:r w:rsidR="00F90ECA" w:rsidRPr="00344357">
        <w:rPr>
          <w:rFonts w:ascii="Times New Roman" w:hAnsi="Times New Roman"/>
          <w:sz w:val="24"/>
          <w:szCs w:val="24"/>
        </w:rPr>
        <w:t xml:space="preserve"> </w:t>
      </w:r>
      <w:r w:rsidR="008632E1" w:rsidRPr="00344357">
        <w:rPr>
          <w:rStyle w:val="CommentReference"/>
          <w:rFonts w:ascii="Times New Roman" w:hAnsi="Times New Roman"/>
          <w:sz w:val="24"/>
          <w:szCs w:val="24"/>
        </w:rPr>
        <w:t>[</w:t>
      </w:r>
      <w:r w:rsidR="0054067F" w:rsidRPr="00344357">
        <w:rPr>
          <w:rStyle w:val="CommentReference"/>
          <w:rFonts w:ascii="Times New Roman" w:hAnsi="Times New Roman"/>
          <w:sz w:val="24"/>
          <w:szCs w:val="24"/>
        </w:rPr>
        <w:t>3</w:t>
      </w:r>
      <w:r w:rsidR="008632E1" w:rsidRPr="00344357">
        <w:rPr>
          <w:rStyle w:val="CommentReference"/>
          <w:rFonts w:ascii="Times New Roman" w:hAnsi="Times New Roman"/>
          <w:sz w:val="24"/>
          <w:szCs w:val="24"/>
        </w:rPr>
        <w:t>]</w:t>
      </w:r>
      <w:r w:rsidR="00EE23EF" w:rsidRPr="00344357">
        <w:rPr>
          <w:rStyle w:val="CommentReference"/>
          <w:rFonts w:ascii="Times New Roman" w:hAnsi="Times New Roman"/>
          <w:sz w:val="24"/>
          <w:szCs w:val="24"/>
        </w:rPr>
        <w:t>.</w:t>
      </w:r>
      <w:r w:rsidR="00EC7851" w:rsidRPr="00344357">
        <w:rPr>
          <w:rStyle w:val="CommentReference"/>
          <w:rFonts w:ascii="Times New Roman" w:hAnsi="Times New Roman"/>
          <w:sz w:val="24"/>
          <w:szCs w:val="24"/>
        </w:rPr>
        <w:t xml:space="preserve"> </w:t>
      </w:r>
      <w:r w:rsidR="00F90ECA" w:rsidRPr="00344357">
        <w:rPr>
          <w:rFonts w:ascii="Times New Roman" w:hAnsi="Times New Roman"/>
          <w:sz w:val="24"/>
          <w:szCs w:val="24"/>
        </w:rPr>
        <w:t>Ag</w:t>
      </w:r>
      <w:r w:rsidR="00EF2DC1" w:rsidRPr="00344357">
        <w:rPr>
          <w:rFonts w:ascii="Times New Roman" w:hAnsi="Times New Roman"/>
          <w:sz w:val="24"/>
          <w:szCs w:val="24"/>
        </w:rPr>
        <w:t>e</w:t>
      </w:r>
      <w:r w:rsidR="00F90ECA" w:rsidRPr="00344357">
        <w:rPr>
          <w:rFonts w:ascii="Times New Roman" w:hAnsi="Times New Roman"/>
          <w:sz w:val="24"/>
          <w:szCs w:val="24"/>
        </w:rPr>
        <w:t>ing management of CASS reactor internal components of PWRs are discussed in AMP</w:t>
      </w:r>
      <w:r w:rsidR="00FE74AB" w:rsidRPr="00344357">
        <w:rPr>
          <w:rFonts w:ascii="Times New Roman" w:hAnsi="Times New Roman"/>
          <w:sz w:val="24"/>
          <w:szCs w:val="24"/>
        </w:rPr>
        <w:t xml:space="preserve"> </w:t>
      </w:r>
      <w:r w:rsidR="00031E47" w:rsidRPr="00344357">
        <w:rPr>
          <w:rFonts w:ascii="Times New Roman" w:hAnsi="Times New Roman"/>
          <w:sz w:val="24"/>
          <w:szCs w:val="24"/>
        </w:rPr>
        <w:t>113</w:t>
      </w:r>
      <w:r w:rsidR="00F90ECA" w:rsidRPr="00344357">
        <w:rPr>
          <w:rFonts w:ascii="Times New Roman" w:hAnsi="Times New Roman"/>
          <w:sz w:val="24"/>
          <w:szCs w:val="24"/>
        </w:rPr>
        <w:t xml:space="preserve"> </w:t>
      </w:r>
      <w:r w:rsidR="00FE74AB" w:rsidRPr="00344357">
        <w:rPr>
          <w:rFonts w:ascii="Times New Roman" w:hAnsi="Times New Roman"/>
          <w:sz w:val="24"/>
          <w:szCs w:val="24"/>
        </w:rPr>
        <w:t xml:space="preserve">and </w:t>
      </w:r>
      <w:r w:rsidR="00F90ECA" w:rsidRPr="00344357">
        <w:rPr>
          <w:rFonts w:ascii="Times New Roman" w:hAnsi="Times New Roman"/>
          <w:sz w:val="24"/>
          <w:szCs w:val="24"/>
        </w:rPr>
        <w:t>BWRs in AMP</w:t>
      </w:r>
      <w:r w:rsidR="00FE74AB" w:rsidRPr="00344357">
        <w:rPr>
          <w:rFonts w:ascii="Times New Roman" w:hAnsi="Times New Roman"/>
          <w:sz w:val="24"/>
          <w:szCs w:val="24"/>
        </w:rPr>
        <w:t xml:space="preserve"> </w:t>
      </w:r>
      <w:r w:rsidR="00031E47" w:rsidRPr="00344357">
        <w:rPr>
          <w:rFonts w:ascii="Times New Roman" w:hAnsi="Times New Roman"/>
          <w:sz w:val="24"/>
          <w:szCs w:val="24"/>
        </w:rPr>
        <w:t>109</w:t>
      </w:r>
      <w:r w:rsidR="00FE74AB" w:rsidRPr="00344357">
        <w:rPr>
          <w:rFonts w:ascii="Times New Roman" w:hAnsi="Times New Roman"/>
          <w:sz w:val="24"/>
          <w:szCs w:val="24"/>
          <w:lang w:val="en-GB"/>
        </w:rPr>
        <w:t>.</w:t>
      </w:r>
    </w:p>
    <w:p w14:paraId="0E8986E0" w14:textId="77777777" w:rsidR="00544135" w:rsidRPr="00344357" w:rsidRDefault="00544135" w:rsidP="00344357">
      <w:pPr>
        <w:pStyle w:val="Body"/>
        <w:rPr>
          <w:rFonts w:ascii="Times New Roman" w:hAnsi="Times New Roman"/>
          <w:sz w:val="24"/>
          <w:szCs w:val="24"/>
        </w:rPr>
      </w:pPr>
    </w:p>
    <w:p w14:paraId="4D07ED88" w14:textId="77777777" w:rsidR="00F90ECA" w:rsidRPr="00344357" w:rsidRDefault="00F90ECA" w:rsidP="00344357">
      <w:pPr>
        <w:pStyle w:val="Heading3"/>
        <w:spacing w:before="120"/>
        <w:rPr>
          <w:rFonts w:ascii="Times New Roman" w:hAnsi="Times New Roman"/>
          <w:sz w:val="24"/>
          <w:szCs w:val="24"/>
        </w:rPr>
      </w:pPr>
      <w:bookmarkStart w:id="2" w:name="_Toc88877620"/>
      <w:r w:rsidRPr="00344357">
        <w:rPr>
          <w:rFonts w:ascii="Times New Roman" w:hAnsi="Times New Roman"/>
          <w:sz w:val="24"/>
          <w:szCs w:val="24"/>
        </w:rPr>
        <w:lastRenderedPageBreak/>
        <w:t>Evaluation and Technical Basis</w:t>
      </w:r>
      <w:bookmarkEnd w:id="2"/>
    </w:p>
    <w:p w14:paraId="4430500D" w14:textId="77777777" w:rsidR="00D71D4A" w:rsidRPr="00344357" w:rsidRDefault="004E647F"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Scope of the ageing management programme</w:t>
      </w:r>
      <w:r w:rsidR="00F90ECA" w:rsidRPr="00344357">
        <w:rPr>
          <w:rFonts w:ascii="Times New Roman" w:hAnsi="Times New Roman"/>
          <w:b/>
          <w:i/>
          <w:sz w:val="24"/>
          <w:szCs w:val="24"/>
        </w:rPr>
        <w:t xml:space="preserve">: </w:t>
      </w:r>
    </w:p>
    <w:p w14:paraId="0C7BCDCE" w14:textId="77777777" w:rsidR="00F90ECA"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t>This program</w:t>
      </w:r>
      <w:r w:rsidR="009C2C30" w:rsidRPr="00344357">
        <w:rPr>
          <w:rFonts w:ascii="Times New Roman" w:hAnsi="Times New Roman"/>
          <w:sz w:val="24"/>
          <w:szCs w:val="24"/>
        </w:rPr>
        <w:t>me</w:t>
      </w:r>
      <w:r w:rsidRPr="00344357">
        <w:rPr>
          <w:rFonts w:ascii="Times New Roman" w:hAnsi="Times New Roman"/>
          <w:sz w:val="24"/>
          <w:szCs w:val="24"/>
        </w:rPr>
        <w:t xml:space="preserve"> manages loss of fracture toughness in Class 1 piping </w:t>
      </w:r>
      <w:r w:rsidR="00621331" w:rsidRPr="00344357">
        <w:rPr>
          <w:rFonts w:ascii="Times New Roman" w:hAnsi="Times New Roman"/>
          <w:sz w:val="24"/>
          <w:szCs w:val="24"/>
        </w:rPr>
        <w:t xml:space="preserve">and piping </w:t>
      </w:r>
      <w:r w:rsidRPr="00344357">
        <w:rPr>
          <w:rFonts w:ascii="Times New Roman" w:hAnsi="Times New Roman"/>
          <w:sz w:val="24"/>
          <w:szCs w:val="24"/>
        </w:rPr>
        <w:t>components made from CASS. The program</w:t>
      </w:r>
      <w:r w:rsidR="002C7281" w:rsidRPr="00344357">
        <w:rPr>
          <w:rFonts w:ascii="Times New Roman" w:hAnsi="Times New Roman"/>
          <w:sz w:val="24"/>
          <w:szCs w:val="24"/>
        </w:rPr>
        <w:t>me</w:t>
      </w:r>
      <w:r w:rsidRPr="00344357">
        <w:rPr>
          <w:rFonts w:ascii="Times New Roman" w:hAnsi="Times New Roman"/>
          <w:sz w:val="24"/>
          <w:szCs w:val="24"/>
        </w:rPr>
        <w:t xml:space="preserve"> includes screening criteria to determine which CASS components are susceptible </w:t>
      </w:r>
      <w:r w:rsidR="00B767A4" w:rsidRPr="00344357">
        <w:rPr>
          <w:rFonts w:ascii="Times New Roman" w:hAnsi="Times New Roman"/>
          <w:sz w:val="24"/>
          <w:szCs w:val="24"/>
        </w:rPr>
        <w:t xml:space="preserve">to experiencing a significant loss of fracture toughness due </w:t>
      </w:r>
      <w:r w:rsidRPr="00344357">
        <w:rPr>
          <w:rFonts w:ascii="Times New Roman" w:hAnsi="Times New Roman"/>
          <w:sz w:val="24"/>
          <w:szCs w:val="24"/>
        </w:rPr>
        <w:t>to thermal</w:t>
      </w:r>
      <w:r w:rsidR="00E42E13" w:rsidRPr="00344357">
        <w:rPr>
          <w:rFonts w:ascii="Times New Roman" w:hAnsi="Times New Roman"/>
          <w:sz w:val="24"/>
          <w:szCs w:val="24"/>
        </w:rPr>
        <w:t xml:space="preserve"> ageing</w:t>
      </w:r>
      <w:r w:rsidRPr="00344357">
        <w:rPr>
          <w:rFonts w:ascii="Times New Roman" w:hAnsi="Times New Roman"/>
          <w:sz w:val="24"/>
          <w:szCs w:val="24"/>
        </w:rPr>
        <w:t xml:space="preserve"> embrittlement and require augmented inspection. The screening criteria are applicable to all primary pressure boundary components constructed from </w:t>
      </w:r>
      <w:r w:rsidR="000324D1" w:rsidRPr="00344357">
        <w:rPr>
          <w:rFonts w:ascii="Times New Roman" w:hAnsi="Times New Roman"/>
          <w:sz w:val="24"/>
          <w:szCs w:val="24"/>
        </w:rPr>
        <w:t xml:space="preserve">CASS </w:t>
      </w:r>
      <w:r w:rsidRPr="00344357">
        <w:rPr>
          <w:rFonts w:ascii="Times New Roman" w:hAnsi="Times New Roman"/>
          <w:sz w:val="24"/>
          <w:szCs w:val="24"/>
        </w:rPr>
        <w:t>with service conditions above 250</w:t>
      </w:r>
      <w:r w:rsidR="00FE74AB" w:rsidRPr="00344357">
        <w:rPr>
          <w:rFonts w:ascii="Times New Roman" w:hAnsi="Times New Roman"/>
          <w:sz w:val="24"/>
          <w:szCs w:val="24"/>
        </w:rPr>
        <w:t xml:space="preserve"> °</w:t>
      </w:r>
      <w:r w:rsidRPr="00344357">
        <w:rPr>
          <w:rFonts w:ascii="Times New Roman" w:hAnsi="Times New Roman"/>
          <w:sz w:val="24"/>
          <w:szCs w:val="24"/>
        </w:rPr>
        <w:t xml:space="preserve">C. </w:t>
      </w:r>
    </w:p>
    <w:p w14:paraId="04930B77" w14:textId="77777777" w:rsidR="004E647F" w:rsidRPr="00344357" w:rsidRDefault="004E647F" w:rsidP="00344357">
      <w:pPr>
        <w:pStyle w:val="Body"/>
        <w:jc w:val="both"/>
        <w:rPr>
          <w:rFonts w:ascii="Times New Roman" w:hAnsi="Times New Roman"/>
          <w:sz w:val="24"/>
          <w:szCs w:val="24"/>
        </w:rPr>
      </w:pPr>
      <w:r w:rsidRPr="00344357">
        <w:rPr>
          <w:rFonts w:ascii="Times New Roman" w:hAnsi="Times New Roman"/>
          <w:sz w:val="24"/>
          <w:szCs w:val="24"/>
        </w:rPr>
        <w:t xml:space="preserve">The </w:t>
      </w:r>
      <w:r w:rsidR="004631E2" w:rsidRPr="00344357">
        <w:rPr>
          <w:rFonts w:ascii="Times New Roman" w:hAnsi="Times New Roman"/>
          <w:sz w:val="24"/>
          <w:szCs w:val="24"/>
        </w:rPr>
        <w:t>potential to experience a significant loss of fracture toughness due</w:t>
      </w:r>
      <w:r w:rsidRPr="00344357">
        <w:rPr>
          <w:rFonts w:ascii="Times New Roman" w:hAnsi="Times New Roman"/>
          <w:sz w:val="24"/>
          <w:szCs w:val="24"/>
        </w:rPr>
        <w:t xml:space="preserve"> to thermal ageing embrittlement of CASS materials is determined </w:t>
      </w:r>
      <w:r w:rsidR="00AF5D85" w:rsidRPr="00344357">
        <w:rPr>
          <w:rFonts w:ascii="Times New Roman" w:hAnsi="Times New Roman"/>
          <w:sz w:val="24"/>
          <w:szCs w:val="24"/>
        </w:rPr>
        <w:t xml:space="preserve">in a manner </w:t>
      </w:r>
      <w:r w:rsidRPr="00344357">
        <w:rPr>
          <w:rFonts w:ascii="Times New Roman" w:hAnsi="Times New Roman"/>
          <w:sz w:val="24"/>
          <w:szCs w:val="24"/>
        </w:rPr>
        <w:t>consistent with the pertinent governing requirements or guidance documents for the plant.</w:t>
      </w:r>
    </w:p>
    <w:p w14:paraId="182B8D7A" w14:textId="77777777" w:rsidR="00A53512" w:rsidRPr="00344357" w:rsidRDefault="004C6C3B" w:rsidP="00344357">
      <w:pPr>
        <w:pStyle w:val="Body"/>
        <w:jc w:val="both"/>
        <w:rPr>
          <w:rFonts w:ascii="Times New Roman" w:hAnsi="Times New Roman"/>
          <w:sz w:val="24"/>
          <w:szCs w:val="24"/>
        </w:rPr>
      </w:pPr>
      <w:r w:rsidRPr="00344357">
        <w:rPr>
          <w:rFonts w:ascii="Times New Roman" w:hAnsi="Times New Roman"/>
          <w:sz w:val="24"/>
          <w:szCs w:val="24"/>
        </w:rPr>
        <w:t>In the U</w:t>
      </w:r>
      <w:r w:rsidR="00EA1493" w:rsidRPr="00344357">
        <w:rPr>
          <w:rFonts w:ascii="Times New Roman" w:hAnsi="Times New Roman"/>
          <w:sz w:val="24"/>
          <w:szCs w:val="24"/>
        </w:rPr>
        <w:t xml:space="preserve">nited </w:t>
      </w:r>
      <w:r w:rsidRPr="00344357">
        <w:rPr>
          <w:rFonts w:ascii="Times New Roman" w:hAnsi="Times New Roman"/>
          <w:sz w:val="24"/>
          <w:szCs w:val="24"/>
        </w:rPr>
        <w:t>S</w:t>
      </w:r>
      <w:r w:rsidR="00EA1493" w:rsidRPr="00344357">
        <w:rPr>
          <w:rFonts w:ascii="Times New Roman" w:hAnsi="Times New Roman"/>
          <w:sz w:val="24"/>
          <w:szCs w:val="24"/>
        </w:rPr>
        <w:t>tates</w:t>
      </w:r>
      <w:r w:rsidRPr="00344357">
        <w:rPr>
          <w:rFonts w:ascii="Times New Roman" w:hAnsi="Times New Roman"/>
          <w:sz w:val="24"/>
          <w:szCs w:val="24"/>
        </w:rPr>
        <w:t xml:space="preserve">, </w:t>
      </w:r>
      <w:r w:rsidR="00F90ECA" w:rsidRPr="00344357">
        <w:rPr>
          <w:rFonts w:ascii="Times New Roman" w:hAnsi="Times New Roman"/>
          <w:sz w:val="24"/>
          <w:szCs w:val="24"/>
        </w:rPr>
        <w:t xml:space="preserve">the </w:t>
      </w:r>
      <w:r w:rsidR="00EA1493" w:rsidRPr="00344357">
        <w:rPr>
          <w:rFonts w:ascii="Times New Roman" w:hAnsi="Times New Roman"/>
          <w:sz w:val="24"/>
          <w:szCs w:val="24"/>
        </w:rPr>
        <w:t>potential significance of</w:t>
      </w:r>
      <w:r w:rsidR="00F90ECA" w:rsidRPr="00344357">
        <w:rPr>
          <w:rFonts w:ascii="Times New Roman" w:hAnsi="Times New Roman"/>
          <w:sz w:val="24"/>
          <w:szCs w:val="24"/>
        </w:rPr>
        <w:t xml:space="preserve"> thermal</w:t>
      </w:r>
      <w:r w:rsidR="00E42E13" w:rsidRPr="00344357">
        <w:rPr>
          <w:rFonts w:ascii="Times New Roman" w:hAnsi="Times New Roman"/>
          <w:sz w:val="24"/>
          <w:szCs w:val="24"/>
        </w:rPr>
        <w:t xml:space="preserve"> ageing</w:t>
      </w:r>
      <w:r w:rsidR="00F90ECA" w:rsidRPr="00344357">
        <w:rPr>
          <w:rFonts w:ascii="Times New Roman" w:hAnsi="Times New Roman"/>
          <w:sz w:val="24"/>
          <w:szCs w:val="24"/>
        </w:rPr>
        <w:t xml:space="preserve"> embrittlement of CASS materials is determined </w:t>
      </w:r>
      <w:r w:rsidR="00EA1493" w:rsidRPr="00344357">
        <w:rPr>
          <w:rFonts w:ascii="Times New Roman" w:hAnsi="Times New Roman"/>
          <w:sz w:val="24"/>
          <w:szCs w:val="24"/>
        </w:rPr>
        <w:t>using criteria based on</w:t>
      </w:r>
      <w:r w:rsidR="00F832A2" w:rsidRPr="00344357">
        <w:rPr>
          <w:rFonts w:ascii="Times New Roman" w:hAnsi="Times New Roman"/>
          <w:sz w:val="24"/>
          <w:szCs w:val="24"/>
        </w:rPr>
        <w:t xml:space="preserve"> the</w:t>
      </w:r>
      <w:r w:rsidR="00F90ECA" w:rsidRPr="00344357">
        <w:rPr>
          <w:rFonts w:ascii="Times New Roman" w:hAnsi="Times New Roman"/>
          <w:sz w:val="24"/>
          <w:szCs w:val="24"/>
        </w:rPr>
        <w:t xml:space="preserve"> casting method, </w:t>
      </w:r>
      <w:r w:rsidR="005B068C" w:rsidRPr="00344357">
        <w:rPr>
          <w:rFonts w:ascii="Times New Roman" w:hAnsi="Times New Roman"/>
          <w:sz w:val="24"/>
          <w:szCs w:val="24"/>
        </w:rPr>
        <w:t>Mo</w:t>
      </w:r>
      <w:r w:rsidR="002F2925" w:rsidRPr="00344357">
        <w:rPr>
          <w:rFonts w:ascii="Times New Roman" w:hAnsi="Times New Roman"/>
          <w:sz w:val="24"/>
          <w:szCs w:val="24"/>
        </w:rPr>
        <w:t xml:space="preserve"> </w:t>
      </w:r>
      <w:r w:rsidR="00F90ECA" w:rsidRPr="00344357">
        <w:rPr>
          <w:rFonts w:ascii="Times New Roman" w:hAnsi="Times New Roman"/>
          <w:sz w:val="24"/>
          <w:szCs w:val="24"/>
        </w:rPr>
        <w:t>content, and ferrite content</w:t>
      </w:r>
      <w:r w:rsidR="00EA1493" w:rsidRPr="00344357">
        <w:rPr>
          <w:rFonts w:ascii="Times New Roman" w:hAnsi="Times New Roman"/>
          <w:sz w:val="24"/>
          <w:szCs w:val="24"/>
        </w:rPr>
        <w:t>.</w:t>
      </w:r>
      <w:r w:rsidRPr="00344357">
        <w:rPr>
          <w:rFonts w:ascii="Times New Roman" w:hAnsi="Times New Roman"/>
          <w:sz w:val="24"/>
          <w:szCs w:val="24"/>
        </w:rPr>
        <w:t xml:space="preserve"> </w:t>
      </w:r>
      <w:r w:rsidR="00EA1493" w:rsidRPr="00344357">
        <w:rPr>
          <w:rFonts w:ascii="Times New Roman" w:hAnsi="Times New Roman"/>
          <w:sz w:val="24"/>
          <w:szCs w:val="24"/>
        </w:rPr>
        <w:t>T</w:t>
      </w:r>
      <w:r w:rsidRPr="00344357">
        <w:rPr>
          <w:rFonts w:ascii="Times New Roman" w:hAnsi="Times New Roman"/>
          <w:sz w:val="24"/>
          <w:szCs w:val="24"/>
        </w:rPr>
        <w:t xml:space="preserve">he </w:t>
      </w:r>
      <w:r w:rsidR="006C0FAE" w:rsidRPr="00344357">
        <w:rPr>
          <w:rFonts w:ascii="Times New Roman" w:hAnsi="Times New Roman"/>
          <w:sz w:val="24"/>
          <w:szCs w:val="24"/>
        </w:rPr>
        <w:t xml:space="preserve">screening </w:t>
      </w:r>
      <w:r w:rsidRPr="00344357">
        <w:rPr>
          <w:rFonts w:ascii="Times New Roman" w:hAnsi="Times New Roman"/>
          <w:sz w:val="24"/>
          <w:szCs w:val="24"/>
        </w:rPr>
        <w:t xml:space="preserve">criteria </w:t>
      </w:r>
      <w:r w:rsidR="00EA1493" w:rsidRPr="00344357">
        <w:rPr>
          <w:rFonts w:ascii="Times New Roman" w:hAnsi="Times New Roman"/>
          <w:sz w:val="24"/>
          <w:szCs w:val="24"/>
        </w:rPr>
        <w:t xml:space="preserve">are </w:t>
      </w:r>
      <w:r w:rsidRPr="00344357">
        <w:rPr>
          <w:rFonts w:ascii="Times New Roman" w:hAnsi="Times New Roman"/>
          <w:sz w:val="24"/>
          <w:szCs w:val="24"/>
        </w:rPr>
        <w:t>set forth in the May 19, 2000, NRC letter</w:t>
      </w:r>
      <w:r w:rsidR="00F90ECA" w:rsidRPr="00344357">
        <w:rPr>
          <w:rFonts w:ascii="Times New Roman" w:hAnsi="Times New Roman"/>
          <w:color w:val="FF0000"/>
          <w:sz w:val="24"/>
          <w:szCs w:val="24"/>
        </w:rPr>
        <w:t xml:space="preserve"> </w:t>
      </w:r>
      <w:r w:rsidR="00EA1493" w:rsidRPr="00344357">
        <w:rPr>
          <w:rFonts w:ascii="Times New Roman" w:hAnsi="Times New Roman"/>
          <w:sz w:val="24"/>
          <w:szCs w:val="24"/>
        </w:rPr>
        <w:t>[1]</w:t>
      </w:r>
      <w:r w:rsidR="00F90ECA" w:rsidRPr="00344357">
        <w:rPr>
          <w:rFonts w:ascii="Times New Roman" w:hAnsi="Times New Roman"/>
          <w:sz w:val="24"/>
          <w:szCs w:val="24"/>
        </w:rPr>
        <w:t xml:space="preserve">. For low-molybdenum content steels (SA-351 Grades CF3, CF3A, CF8, CF8A or other steels with </w:t>
      </w:r>
      <w:r w:rsidR="001A36C4" w:rsidRPr="00344357">
        <w:rPr>
          <w:rFonts w:ascii="Times New Roman" w:hAnsi="Times New Roman"/>
          <w:sz w:val="24"/>
          <w:szCs w:val="24"/>
        </w:rPr>
        <w:t xml:space="preserve">less than or equal to </w:t>
      </w:r>
      <w:r w:rsidR="00F90ECA" w:rsidRPr="00344357">
        <w:rPr>
          <w:rFonts w:ascii="Times New Roman" w:hAnsi="Times New Roman"/>
          <w:sz w:val="24"/>
          <w:szCs w:val="24"/>
        </w:rPr>
        <w:t xml:space="preserve">0.5 weight percent [wt.%] Mo), only static-cast steels with </w:t>
      </w:r>
      <w:r w:rsidR="001A36C4" w:rsidRPr="00344357">
        <w:rPr>
          <w:rFonts w:ascii="Times New Roman" w:hAnsi="Times New Roman"/>
          <w:sz w:val="24"/>
          <w:szCs w:val="24"/>
        </w:rPr>
        <w:t xml:space="preserve">greater than </w:t>
      </w:r>
      <w:r w:rsidR="00F90ECA" w:rsidRPr="00344357">
        <w:rPr>
          <w:rFonts w:ascii="Times New Roman" w:hAnsi="Times New Roman"/>
          <w:sz w:val="24"/>
          <w:szCs w:val="24"/>
        </w:rPr>
        <w:t>20</w:t>
      </w:r>
      <w:r w:rsidR="00A94121" w:rsidRPr="00344357">
        <w:rPr>
          <w:rFonts w:ascii="Times New Roman" w:hAnsi="Times New Roman"/>
          <w:sz w:val="24"/>
          <w:szCs w:val="24"/>
        </w:rPr>
        <w:t xml:space="preserve"> </w:t>
      </w:r>
      <w:r w:rsidR="00F90ECA" w:rsidRPr="00344357">
        <w:rPr>
          <w:rFonts w:ascii="Times New Roman" w:hAnsi="Times New Roman"/>
          <w:sz w:val="24"/>
          <w:szCs w:val="24"/>
        </w:rPr>
        <w:t>% ferrite are susceptible to</w:t>
      </w:r>
      <w:r w:rsidR="00B767A4" w:rsidRPr="00344357">
        <w:rPr>
          <w:rFonts w:ascii="Times New Roman" w:hAnsi="Times New Roman"/>
          <w:sz w:val="24"/>
          <w:szCs w:val="24"/>
        </w:rPr>
        <w:t xml:space="preserve"> a</w:t>
      </w:r>
      <w:r w:rsidR="00F90ECA" w:rsidRPr="00344357">
        <w:rPr>
          <w:rFonts w:ascii="Times New Roman" w:hAnsi="Times New Roman"/>
          <w:sz w:val="24"/>
          <w:szCs w:val="24"/>
        </w:rPr>
        <w:t xml:space="preserve"> </w:t>
      </w:r>
      <w:r w:rsidR="004631E2" w:rsidRPr="00344357">
        <w:rPr>
          <w:rFonts w:ascii="Times New Roman" w:hAnsi="Times New Roman"/>
          <w:sz w:val="24"/>
          <w:szCs w:val="24"/>
        </w:rPr>
        <w:t xml:space="preserve">significant loss of fracture toughness due to </w:t>
      </w:r>
      <w:r w:rsidR="00F90ECA" w:rsidRPr="00344357">
        <w:rPr>
          <w:rFonts w:ascii="Times New Roman" w:hAnsi="Times New Roman"/>
          <w:sz w:val="24"/>
          <w:szCs w:val="24"/>
        </w:rPr>
        <w:t xml:space="preserve">thermal embrittlement. Static-cast low-molybdenum steels with </w:t>
      </w:r>
      <w:r w:rsidR="001A36C4" w:rsidRPr="00344357">
        <w:rPr>
          <w:rFonts w:ascii="Times New Roman" w:hAnsi="Times New Roman"/>
          <w:sz w:val="24"/>
          <w:szCs w:val="24"/>
        </w:rPr>
        <w:t xml:space="preserve">less than or equal to </w:t>
      </w:r>
      <w:r w:rsidR="00F90ECA" w:rsidRPr="00344357">
        <w:rPr>
          <w:rFonts w:ascii="Times New Roman" w:hAnsi="Times New Roman"/>
          <w:sz w:val="24"/>
          <w:szCs w:val="24"/>
        </w:rPr>
        <w:t>20</w:t>
      </w:r>
      <w:r w:rsidR="00FE74AB" w:rsidRPr="00344357">
        <w:rPr>
          <w:rFonts w:ascii="Times New Roman" w:hAnsi="Times New Roman"/>
          <w:sz w:val="24"/>
          <w:szCs w:val="24"/>
        </w:rPr>
        <w:t xml:space="preserve"> </w:t>
      </w:r>
      <w:r w:rsidR="00F90ECA" w:rsidRPr="00344357">
        <w:rPr>
          <w:rFonts w:ascii="Times New Roman" w:hAnsi="Times New Roman"/>
          <w:sz w:val="24"/>
          <w:szCs w:val="24"/>
        </w:rPr>
        <w:t>% ferrite and all centrifugal-cast low-molybdenum steels are not susceptible</w:t>
      </w:r>
      <w:r w:rsidR="006C0FAE" w:rsidRPr="00344357">
        <w:rPr>
          <w:rFonts w:ascii="Times New Roman" w:hAnsi="Times New Roman"/>
          <w:sz w:val="24"/>
          <w:szCs w:val="24"/>
        </w:rPr>
        <w:t xml:space="preserve"> </w:t>
      </w:r>
      <w:r w:rsidR="004631E2" w:rsidRPr="00344357">
        <w:rPr>
          <w:rFonts w:ascii="Times New Roman" w:hAnsi="Times New Roman"/>
          <w:sz w:val="24"/>
          <w:szCs w:val="24"/>
        </w:rPr>
        <w:t xml:space="preserve">to a significant loss of fracture toughness </w:t>
      </w:r>
      <w:r w:rsidR="006C0FAE" w:rsidRPr="00344357">
        <w:rPr>
          <w:rFonts w:ascii="Times New Roman" w:hAnsi="Times New Roman"/>
          <w:sz w:val="24"/>
          <w:szCs w:val="24"/>
        </w:rPr>
        <w:t>(i.e., screen</w:t>
      </w:r>
      <w:r w:rsidR="006165F9" w:rsidRPr="00344357">
        <w:rPr>
          <w:rFonts w:ascii="Times New Roman" w:hAnsi="Times New Roman"/>
          <w:sz w:val="24"/>
          <w:szCs w:val="24"/>
        </w:rPr>
        <w:t>s</w:t>
      </w:r>
      <w:r w:rsidR="006C0FAE" w:rsidRPr="00344357">
        <w:rPr>
          <w:rFonts w:ascii="Times New Roman" w:hAnsi="Times New Roman"/>
          <w:sz w:val="24"/>
          <w:szCs w:val="24"/>
        </w:rPr>
        <w:t xml:space="preserve"> out)</w:t>
      </w:r>
      <w:r w:rsidR="00F90ECA" w:rsidRPr="00344357">
        <w:rPr>
          <w:rFonts w:ascii="Times New Roman" w:hAnsi="Times New Roman"/>
          <w:sz w:val="24"/>
          <w:szCs w:val="24"/>
        </w:rPr>
        <w:t xml:space="preserve">. For high-molybdenum content steels (SA-351 Grades CF3M, CF3MA, and CF8M or other steels with 2.0 to 3.0 wt.% Mo), static-cast steels with </w:t>
      </w:r>
      <w:r w:rsidR="001A36C4" w:rsidRPr="00344357">
        <w:rPr>
          <w:rFonts w:ascii="Times New Roman" w:hAnsi="Times New Roman"/>
          <w:sz w:val="24"/>
          <w:szCs w:val="24"/>
        </w:rPr>
        <w:t xml:space="preserve">greater than </w:t>
      </w:r>
      <w:r w:rsidR="00F90ECA" w:rsidRPr="00344357">
        <w:rPr>
          <w:rFonts w:ascii="Times New Roman" w:hAnsi="Times New Roman"/>
          <w:sz w:val="24"/>
          <w:szCs w:val="24"/>
        </w:rPr>
        <w:t>14</w:t>
      </w:r>
      <w:r w:rsidR="00A94121" w:rsidRPr="00344357">
        <w:rPr>
          <w:rFonts w:ascii="Times New Roman" w:hAnsi="Times New Roman"/>
          <w:sz w:val="24"/>
          <w:szCs w:val="24"/>
        </w:rPr>
        <w:t xml:space="preserve"> </w:t>
      </w:r>
      <w:r w:rsidR="00F90ECA" w:rsidRPr="00344357">
        <w:rPr>
          <w:rFonts w:ascii="Times New Roman" w:hAnsi="Times New Roman"/>
          <w:sz w:val="24"/>
          <w:szCs w:val="24"/>
        </w:rPr>
        <w:t xml:space="preserve">% ferrite and centrifugal-cast steels with </w:t>
      </w:r>
      <w:r w:rsidR="001A36C4" w:rsidRPr="00344357">
        <w:rPr>
          <w:rFonts w:ascii="Times New Roman" w:hAnsi="Times New Roman"/>
          <w:sz w:val="24"/>
          <w:szCs w:val="24"/>
        </w:rPr>
        <w:t xml:space="preserve">greater than </w:t>
      </w:r>
      <w:r w:rsidR="00F90ECA" w:rsidRPr="00344357">
        <w:rPr>
          <w:rFonts w:ascii="Times New Roman" w:hAnsi="Times New Roman"/>
          <w:sz w:val="24"/>
          <w:szCs w:val="24"/>
        </w:rPr>
        <w:t>20</w:t>
      </w:r>
      <w:r w:rsidR="00FE74AB" w:rsidRPr="00344357">
        <w:rPr>
          <w:rFonts w:ascii="Times New Roman" w:hAnsi="Times New Roman"/>
          <w:sz w:val="24"/>
          <w:szCs w:val="24"/>
        </w:rPr>
        <w:t xml:space="preserve"> </w:t>
      </w:r>
      <w:r w:rsidR="00F90ECA" w:rsidRPr="00344357">
        <w:rPr>
          <w:rFonts w:ascii="Times New Roman" w:hAnsi="Times New Roman"/>
          <w:sz w:val="24"/>
          <w:szCs w:val="24"/>
        </w:rPr>
        <w:t xml:space="preserve">% ferrite are susceptible to </w:t>
      </w:r>
      <w:r w:rsidR="004631E2" w:rsidRPr="00344357">
        <w:rPr>
          <w:rFonts w:ascii="Times New Roman" w:hAnsi="Times New Roman"/>
          <w:sz w:val="24"/>
          <w:szCs w:val="24"/>
        </w:rPr>
        <w:t>a significant loss of fracture toughness</w:t>
      </w:r>
      <w:r w:rsidR="00F90ECA" w:rsidRPr="00344357">
        <w:rPr>
          <w:rFonts w:ascii="Times New Roman" w:hAnsi="Times New Roman"/>
          <w:sz w:val="24"/>
          <w:szCs w:val="24"/>
        </w:rPr>
        <w:t xml:space="preserve">. Static-cast high-molybdenum steels with </w:t>
      </w:r>
      <w:r w:rsidR="001A36C4" w:rsidRPr="00344357">
        <w:rPr>
          <w:rFonts w:ascii="Times New Roman" w:hAnsi="Times New Roman"/>
          <w:sz w:val="24"/>
          <w:szCs w:val="24"/>
        </w:rPr>
        <w:t xml:space="preserve">less than or equal to </w:t>
      </w:r>
      <w:r w:rsidR="00F90ECA" w:rsidRPr="00344357">
        <w:rPr>
          <w:rFonts w:ascii="Times New Roman" w:hAnsi="Times New Roman"/>
          <w:sz w:val="24"/>
          <w:szCs w:val="24"/>
        </w:rPr>
        <w:t>14</w:t>
      </w:r>
      <w:r w:rsidR="00A94121" w:rsidRPr="00344357">
        <w:rPr>
          <w:rFonts w:ascii="Times New Roman" w:hAnsi="Times New Roman"/>
          <w:sz w:val="24"/>
          <w:szCs w:val="24"/>
        </w:rPr>
        <w:t xml:space="preserve"> </w:t>
      </w:r>
      <w:r w:rsidR="00F90ECA" w:rsidRPr="00344357">
        <w:rPr>
          <w:rFonts w:ascii="Times New Roman" w:hAnsi="Times New Roman"/>
          <w:sz w:val="24"/>
          <w:szCs w:val="24"/>
        </w:rPr>
        <w:t xml:space="preserve">% ferrite and centrifugal-cast high-molybdenum steels with </w:t>
      </w:r>
      <w:r w:rsidR="001A36C4" w:rsidRPr="00344357">
        <w:rPr>
          <w:rFonts w:ascii="Times New Roman" w:hAnsi="Times New Roman"/>
          <w:sz w:val="24"/>
          <w:szCs w:val="24"/>
        </w:rPr>
        <w:t xml:space="preserve">less than or equal to </w:t>
      </w:r>
      <w:r w:rsidR="00F90ECA" w:rsidRPr="00344357">
        <w:rPr>
          <w:rFonts w:ascii="Times New Roman" w:hAnsi="Times New Roman"/>
          <w:sz w:val="24"/>
          <w:szCs w:val="24"/>
        </w:rPr>
        <w:t>20</w:t>
      </w:r>
      <w:r w:rsidR="00A94121" w:rsidRPr="00344357">
        <w:rPr>
          <w:rFonts w:ascii="Times New Roman" w:hAnsi="Times New Roman"/>
          <w:sz w:val="24"/>
          <w:szCs w:val="24"/>
        </w:rPr>
        <w:t xml:space="preserve"> </w:t>
      </w:r>
      <w:r w:rsidR="00F90ECA" w:rsidRPr="00344357">
        <w:rPr>
          <w:rFonts w:ascii="Times New Roman" w:hAnsi="Times New Roman"/>
          <w:sz w:val="24"/>
          <w:szCs w:val="24"/>
        </w:rPr>
        <w:t xml:space="preserve">% ferrite are not </w:t>
      </w:r>
      <w:r w:rsidR="004631E2" w:rsidRPr="00344357">
        <w:rPr>
          <w:rFonts w:ascii="Times New Roman" w:hAnsi="Times New Roman"/>
          <w:sz w:val="24"/>
          <w:szCs w:val="24"/>
        </w:rPr>
        <w:t>expected to experience a significant loss of fracture toughness</w:t>
      </w:r>
      <w:r w:rsidR="00B767A4" w:rsidRPr="00344357">
        <w:rPr>
          <w:rFonts w:ascii="Times New Roman" w:hAnsi="Times New Roman"/>
          <w:sz w:val="24"/>
          <w:szCs w:val="24"/>
        </w:rPr>
        <w:t xml:space="preserve"> (i.e., screens out)</w:t>
      </w:r>
      <w:r w:rsidR="00F90ECA" w:rsidRPr="00344357">
        <w:rPr>
          <w:rFonts w:ascii="Times New Roman" w:hAnsi="Times New Roman"/>
          <w:sz w:val="24"/>
          <w:szCs w:val="24"/>
        </w:rPr>
        <w:t xml:space="preserve">. </w:t>
      </w:r>
      <w:r w:rsidR="00FB768E" w:rsidRPr="00344357">
        <w:rPr>
          <w:rFonts w:ascii="Times New Roman" w:hAnsi="Times New Roman"/>
          <w:sz w:val="24"/>
          <w:szCs w:val="24"/>
        </w:rPr>
        <w:t>The screening criteria are</w:t>
      </w:r>
      <w:r w:rsidR="00B767A4" w:rsidRPr="00344357">
        <w:rPr>
          <w:rFonts w:ascii="Times New Roman" w:hAnsi="Times New Roman"/>
          <w:sz w:val="24"/>
          <w:szCs w:val="24"/>
        </w:rPr>
        <w:t xml:space="preserve"> summarized in Table 1 below.</w:t>
      </w:r>
      <w:r w:rsidR="00C30E3B" w:rsidRPr="00344357">
        <w:rPr>
          <w:rFonts w:ascii="Times New Roman" w:hAnsi="Times New Roman"/>
          <w:sz w:val="24"/>
          <w:szCs w:val="24"/>
        </w:rPr>
        <w:t xml:space="preserve"> This screening criteria is not applicable to niobium-containing steels; such steels require evaluation on a case-by-case basis.</w:t>
      </w:r>
      <w:r w:rsidR="00A53512" w:rsidRPr="00344357">
        <w:rPr>
          <w:rFonts w:ascii="Times New Roman" w:hAnsi="Times New Roman"/>
          <w:sz w:val="24"/>
          <w:szCs w:val="24"/>
        </w:rPr>
        <w:t xml:space="preserve"> </w:t>
      </w:r>
    </w:p>
    <w:p w14:paraId="59DF5277" w14:textId="77777777" w:rsidR="00344357" w:rsidRPr="00344357" w:rsidRDefault="00344357" w:rsidP="00344357">
      <w:pPr>
        <w:pStyle w:val="Body"/>
        <w:jc w:val="both"/>
        <w:rPr>
          <w:rFonts w:ascii="Times New Roman" w:hAnsi="Times New Roman"/>
          <w:sz w:val="24"/>
          <w:szCs w:val="24"/>
        </w:rPr>
      </w:pPr>
      <w:r w:rsidRPr="00344357">
        <w:rPr>
          <w:rFonts w:ascii="Times New Roman" w:hAnsi="Times New Roman"/>
          <w:sz w:val="24"/>
          <w:szCs w:val="24"/>
        </w:rPr>
        <w:t>In the United States, the ferrite content is calculated by using the Hull’s equivalent factors (as described in NUREG/CR-4513, Revision 1 [4]) or a staff-approved method for calculating delta ferrite in CASS materials. An ambient temperature fracture toughness value of 255 kilojoules per square meter (kJ/m</w:t>
      </w:r>
      <w:r w:rsidRPr="00344357">
        <w:rPr>
          <w:rFonts w:ascii="Times New Roman" w:hAnsi="Times New Roman"/>
          <w:sz w:val="24"/>
          <w:szCs w:val="24"/>
          <w:vertAlign w:val="superscript"/>
        </w:rPr>
        <w:t>2</w:t>
      </w:r>
      <w:r w:rsidRPr="00344357">
        <w:rPr>
          <w:rFonts w:ascii="Times New Roman" w:hAnsi="Times New Roman"/>
          <w:sz w:val="24"/>
          <w:szCs w:val="24"/>
        </w:rPr>
        <w:t>) (1,450 inch-pounds per square inch) at a crack extension of 2.5 millimeters (0.1 inch) is used to differentiate between CASS materials that may potentially experience a significant loss of fracture toughness and those that are not susceptible to a significant loss of fracture toughness due to thermal embrittlement. Extensive research data indicate that the saturated lower-bound fracture toughness is greater than 255 kJ/m</w:t>
      </w:r>
      <w:r w:rsidRPr="00344357">
        <w:rPr>
          <w:rFonts w:ascii="Times New Roman" w:hAnsi="Times New Roman"/>
          <w:sz w:val="24"/>
          <w:szCs w:val="24"/>
          <w:vertAlign w:val="superscript"/>
        </w:rPr>
        <w:t>2</w:t>
      </w:r>
      <w:r w:rsidRPr="00344357">
        <w:rPr>
          <w:rFonts w:ascii="Times New Roman" w:hAnsi="Times New Roman"/>
          <w:sz w:val="24"/>
          <w:szCs w:val="24"/>
        </w:rPr>
        <w:t xml:space="preserve"> for CASS materials not susceptible to a significant loss of fracture toughness due to thermal ageing embrittlement [5].</w:t>
      </w:r>
    </w:p>
    <w:p w14:paraId="676B9491" w14:textId="77777777" w:rsidR="00344357" w:rsidRPr="00344357" w:rsidRDefault="00344357" w:rsidP="00344357">
      <w:pPr>
        <w:pStyle w:val="Body"/>
        <w:jc w:val="both"/>
        <w:rPr>
          <w:rFonts w:ascii="Times New Roman" w:hAnsi="Times New Roman"/>
          <w:sz w:val="24"/>
          <w:szCs w:val="24"/>
        </w:rPr>
      </w:pPr>
      <w:r w:rsidRPr="00344357">
        <w:rPr>
          <w:rFonts w:ascii="Times New Roman" w:hAnsi="Times New Roman"/>
          <w:sz w:val="24"/>
          <w:szCs w:val="24"/>
        </w:rPr>
        <w:t>Screening for susceptibility to a significant loss of fracture toughness is not needed for valve bodies, in the United States. For valve bodies greater than 100 millimeters (4 inches) nominal pipe size (NPS), the existing inspection requirements from the pertinent governing requirements or guidance documents for the plant are adequate. If the pertinent governing requirements or guidance documents require only surface examinations for valve bodies less than 100 millimeters (4 inches) NPS, the adequacy of inservice inspection (ISI) according to these requirements or guidance has been demonstrated by a bounding integrity analysis [1].</w:t>
      </w:r>
    </w:p>
    <w:p w14:paraId="252F69C0" w14:textId="77777777" w:rsidR="00B767A4" w:rsidRPr="00344357" w:rsidRDefault="00B767A4" w:rsidP="00344357">
      <w:pPr>
        <w:pStyle w:val="Body"/>
        <w:jc w:val="both"/>
        <w:rPr>
          <w:rFonts w:ascii="Times New Roman" w:hAnsi="Times New Roman"/>
          <w:sz w:val="24"/>
          <w:szCs w:val="24"/>
        </w:rPr>
      </w:pPr>
    </w:p>
    <w:p w14:paraId="26F8B3E2" w14:textId="77777777" w:rsidR="0050395A" w:rsidRPr="00344357" w:rsidRDefault="00FE74AB" w:rsidP="00344357">
      <w:pPr>
        <w:pStyle w:val="Body"/>
        <w:jc w:val="both"/>
        <w:rPr>
          <w:rFonts w:ascii="Times New Roman" w:hAnsi="Times New Roman"/>
          <w:sz w:val="24"/>
          <w:szCs w:val="24"/>
        </w:rPr>
      </w:pPr>
      <w:r w:rsidRPr="00344357">
        <w:rPr>
          <w:rFonts w:ascii="Times New Roman" w:hAnsi="Times New Roman"/>
          <w:sz w:val="24"/>
          <w:szCs w:val="24"/>
        </w:rPr>
        <w:br w:type="page"/>
      </w:r>
      <w:r w:rsidR="0050395A" w:rsidRPr="00344357">
        <w:rPr>
          <w:rFonts w:ascii="Times New Roman" w:hAnsi="Times New Roman"/>
          <w:sz w:val="24"/>
          <w:szCs w:val="24"/>
        </w:rPr>
        <w:lastRenderedPageBreak/>
        <w:t>Table 1. Screeni</w:t>
      </w:r>
      <w:r w:rsidR="00AA6019" w:rsidRPr="00344357">
        <w:rPr>
          <w:rFonts w:ascii="Times New Roman" w:hAnsi="Times New Roman"/>
          <w:sz w:val="24"/>
          <w:szCs w:val="24"/>
        </w:rPr>
        <w:t>ng criteria used to determine whether</w:t>
      </w:r>
      <w:r w:rsidR="0050395A" w:rsidRPr="00344357">
        <w:rPr>
          <w:rFonts w:ascii="Times New Roman" w:hAnsi="Times New Roman"/>
          <w:sz w:val="24"/>
          <w:szCs w:val="24"/>
        </w:rPr>
        <w:t xml:space="preserve"> CASS is susceptible to a significant loss of fracture toughness due to thermal ageing embrittlement.</w:t>
      </w:r>
    </w:p>
    <w:tbl>
      <w:tblPr>
        <w:tblW w:w="8320" w:type="dxa"/>
        <w:jc w:val="center"/>
        <w:tblLook w:val="04A0" w:firstRow="1" w:lastRow="0" w:firstColumn="1" w:lastColumn="0" w:noHBand="0" w:noVBand="1"/>
      </w:tblPr>
      <w:tblGrid>
        <w:gridCol w:w="2240"/>
        <w:gridCol w:w="1640"/>
        <w:gridCol w:w="1324"/>
        <w:gridCol w:w="1530"/>
        <w:gridCol w:w="1586"/>
      </w:tblGrid>
      <w:tr w:rsidR="0050395A" w:rsidRPr="00344357" w14:paraId="069690AA" w14:textId="77777777" w:rsidTr="009D7B60">
        <w:trPr>
          <w:trHeight w:val="285"/>
          <w:jc w:val="center"/>
        </w:trPr>
        <w:tc>
          <w:tcPr>
            <w:tcW w:w="2240" w:type="dxa"/>
            <w:vMerge w:val="restart"/>
            <w:tcBorders>
              <w:top w:val="single" w:sz="4" w:space="0" w:color="auto"/>
              <w:left w:val="single" w:sz="4" w:space="0" w:color="auto"/>
              <w:bottom w:val="double" w:sz="6" w:space="0" w:color="000000"/>
              <w:right w:val="single" w:sz="4" w:space="0" w:color="auto"/>
            </w:tcBorders>
            <w:shd w:val="clear" w:color="000000" w:fill="FFFFFF"/>
            <w:vAlign w:val="center"/>
            <w:hideMark/>
          </w:tcPr>
          <w:p w14:paraId="2E19A35E"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Molybdenum (Mo) Content</w:t>
            </w:r>
          </w:p>
        </w:tc>
        <w:tc>
          <w:tcPr>
            <w:tcW w:w="1640" w:type="dxa"/>
            <w:vMerge w:val="restart"/>
            <w:tcBorders>
              <w:top w:val="single" w:sz="4" w:space="0" w:color="auto"/>
              <w:left w:val="single" w:sz="4" w:space="0" w:color="auto"/>
              <w:bottom w:val="double" w:sz="6" w:space="0" w:color="000000"/>
              <w:right w:val="single" w:sz="4" w:space="0" w:color="auto"/>
            </w:tcBorders>
            <w:shd w:val="clear" w:color="000000" w:fill="FFFFFF"/>
            <w:vAlign w:val="center"/>
            <w:hideMark/>
          </w:tcPr>
          <w:p w14:paraId="289D24D1"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Casting Method</w:t>
            </w:r>
          </w:p>
        </w:tc>
        <w:tc>
          <w:tcPr>
            <w:tcW w:w="1324" w:type="dxa"/>
            <w:vMerge w:val="restart"/>
            <w:tcBorders>
              <w:top w:val="single" w:sz="4" w:space="0" w:color="auto"/>
              <w:left w:val="single" w:sz="4" w:space="0" w:color="auto"/>
              <w:bottom w:val="double" w:sz="6" w:space="0" w:color="000000"/>
              <w:right w:val="single" w:sz="4" w:space="0" w:color="auto"/>
            </w:tcBorders>
            <w:shd w:val="clear" w:color="000000" w:fill="FFFFFF"/>
            <w:vAlign w:val="center"/>
            <w:hideMark/>
          </w:tcPr>
          <w:p w14:paraId="2F9A2D55"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Ferrite Content (wt.%)</w:t>
            </w:r>
          </w:p>
        </w:tc>
        <w:tc>
          <w:tcPr>
            <w:tcW w:w="3116" w:type="dxa"/>
            <w:gridSpan w:val="2"/>
            <w:tcBorders>
              <w:top w:val="single" w:sz="4" w:space="0" w:color="auto"/>
              <w:left w:val="nil"/>
              <w:bottom w:val="single" w:sz="4" w:space="0" w:color="auto"/>
              <w:right w:val="single" w:sz="4" w:space="0" w:color="auto"/>
            </w:tcBorders>
            <w:shd w:val="clear" w:color="000000" w:fill="FFFFFF"/>
            <w:vAlign w:val="center"/>
            <w:hideMark/>
          </w:tcPr>
          <w:p w14:paraId="48C9F3B0"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Loss of Fracture Toughness</w:t>
            </w:r>
          </w:p>
        </w:tc>
      </w:tr>
      <w:tr w:rsidR="0050395A" w:rsidRPr="00344357" w14:paraId="01B96C6E" w14:textId="77777777" w:rsidTr="009D7B60">
        <w:trPr>
          <w:trHeight w:val="828"/>
          <w:jc w:val="center"/>
        </w:trPr>
        <w:tc>
          <w:tcPr>
            <w:tcW w:w="2240" w:type="dxa"/>
            <w:vMerge/>
            <w:tcBorders>
              <w:top w:val="single" w:sz="4" w:space="0" w:color="auto"/>
              <w:left w:val="single" w:sz="4" w:space="0" w:color="auto"/>
              <w:bottom w:val="double" w:sz="6" w:space="0" w:color="000000"/>
              <w:right w:val="single" w:sz="4" w:space="0" w:color="auto"/>
            </w:tcBorders>
            <w:vAlign w:val="center"/>
            <w:hideMark/>
          </w:tcPr>
          <w:p w14:paraId="5938888C"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640" w:type="dxa"/>
            <w:vMerge/>
            <w:tcBorders>
              <w:top w:val="single" w:sz="4" w:space="0" w:color="auto"/>
              <w:left w:val="single" w:sz="4" w:space="0" w:color="auto"/>
              <w:bottom w:val="double" w:sz="6" w:space="0" w:color="000000"/>
              <w:right w:val="single" w:sz="4" w:space="0" w:color="auto"/>
            </w:tcBorders>
            <w:vAlign w:val="center"/>
            <w:hideMark/>
          </w:tcPr>
          <w:p w14:paraId="68DB44F0"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324" w:type="dxa"/>
            <w:vMerge/>
            <w:tcBorders>
              <w:top w:val="single" w:sz="4" w:space="0" w:color="auto"/>
              <w:left w:val="single" w:sz="4" w:space="0" w:color="auto"/>
              <w:bottom w:val="double" w:sz="6" w:space="0" w:color="000000"/>
              <w:right w:val="single" w:sz="4" w:space="0" w:color="auto"/>
            </w:tcBorders>
            <w:vAlign w:val="center"/>
            <w:hideMark/>
          </w:tcPr>
          <w:p w14:paraId="3EF0A279"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530" w:type="dxa"/>
            <w:tcBorders>
              <w:top w:val="nil"/>
              <w:left w:val="nil"/>
              <w:bottom w:val="double" w:sz="6" w:space="0" w:color="auto"/>
              <w:right w:val="single" w:sz="4" w:space="0" w:color="auto"/>
            </w:tcBorders>
            <w:shd w:val="clear" w:color="000000" w:fill="FFFFFF"/>
            <w:vAlign w:val="center"/>
            <w:hideMark/>
          </w:tcPr>
          <w:p w14:paraId="3095DC64"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Potentially Significant </w:t>
            </w:r>
          </w:p>
        </w:tc>
        <w:tc>
          <w:tcPr>
            <w:tcW w:w="1586" w:type="dxa"/>
            <w:tcBorders>
              <w:top w:val="nil"/>
              <w:left w:val="nil"/>
              <w:bottom w:val="double" w:sz="6" w:space="0" w:color="auto"/>
              <w:right w:val="single" w:sz="4" w:space="0" w:color="auto"/>
            </w:tcBorders>
            <w:shd w:val="clear" w:color="000000" w:fill="FFFFFF"/>
            <w:vAlign w:val="center"/>
            <w:hideMark/>
          </w:tcPr>
          <w:p w14:paraId="0034B968"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Not Significant (Screens Out)</w:t>
            </w:r>
          </w:p>
        </w:tc>
      </w:tr>
      <w:tr w:rsidR="0050395A" w:rsidRPr="00344357" w14:paraId="0291F789" w14:textId="77777777" w:rsidTr="009D7B60">
        <w:trPr>
          <w:trHeight w:val="300"/>
          <w:jc w:val="center"/>
        </w:trPr>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41815A6E"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Low or ≤ 0.5 wt.%</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1A770518"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Static</w:t>
            </w:r>
          </w:p>
        </w:tc>
        <w:tc>
          <w:tcPr>
            <w:tcW w:w="1324" w:type="dxa"/>
            <w:tcBorders>
              <w:top w:val="nil"/>
              <w:left w:val="nil"/>
              <w:bottom w:val="single" w:sz="4" w:space="0" w:color="auto"/>
              <w:right w:val="single" w:sz="4" w:space="0" w:color="auto"/>
            </w:tcBorders>
            <w:shd w:val="clear" w:color="auto" w:fill="auto"/>
            <w:vAlign w:val="center"/>
            <w:hideMark/>
          </w:tcPr>
          <w:p w14:paraId="630B26C9"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&gt; 20</w:t>
            </w:r>
          </w:p>
        </w:tc>
        <w:tc>
          <w:tcPr>
            <w:tcW w:w="1530" w:type="dxa"/>
            <w:tcBorders>
              <w:top w:val="nil"/>
              <w:left w:val="nil"/>
              <w:bottom w:val="single" w:sz="4" w:space="0" w:color="auto"/>
              <w:right w:val="single" w:sz="4" w:space="0" w:color="auto"/>
            </w:tcBorders>
            <w:shd w:val="clear" w:color="auto" w:fill="auto"/>
            <w:vAlign w:val="center"/>
            <w:hideMark/>
          </w:tcPr>
          <w:p w14:paraId="3DDBC848"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c>
          <w:tcPr>
            <w:tcW w:w="1586" w:type="dxa"/>
            <w:tcBorders>
              <w:top w:val="nil"/>
              <w:left w:val="nil"/>
              <w:bottom w:val="single" w:sz="4" w:space="0" w:color="auto"/>
              <w:right w:val="single" w:sz="4" w:space="0" w:color="auto"/>
            </w:tcBorders>
            <w:shd w:val="clear" w:color="auto" w:fill="auto"/>
            <w:vAlign w:val="center"/>
            <w:hideMark/>
          </w:tcPr>
          <w:p w14:paraId="339F5523"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r>
      <w:tr w:rsidR="0050395A" w:rsidRPr="00344357" w14:paraId="4EF49110" w14:textId="77777777" w:rsidTr="009D7B60">
        <w:trPr>
          <w:trHeight w:val="285"/>
          <w:jc w:val="center"/>
        </w:trPr>
        <w:tc>
          <w:tcPr>
            <w:tcW w:w="2240" w:type="dxa"/>
            <w:vMerge/>
            <w:tcBorders>
              <w:top w:val="nil"/>
              <w:left w:val="single" w:sz="4" w:space="0" w:color="auto"/>
              <w:bottom w:val="single" w:sz="4" w:space="0" w:color="auto"/>
              <w:right w:val="single" w:sz="4" w:space="0" w:color="auto"/>
            </w:tcBorders>
            <w:vAlign w:val="center"/>
            <w:hideMark/>
          </w:tcPr>
          <w:p w14:paraId="34D1F1C0"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640" w:type="dxa"/>
            <w:vMerge/>
            <w:tcBorders>
              <w:top w:val="nil"/>
              <w:left w:val="single" w:sz="4" w:space="0" w:color="auto"/>
              <w:bottom w:val="single" w:sz="4" w:space="0" w:color="auto"/>
              <w:right w:val="single" w:sz="4" w:space="0" w:color="auto"/>
            </w:tcBorders>
            <w:vAlign w:val="center"/>
            <w:hideMark/>
          </w:tcPr>
          <w:p w14:paraId="75342851"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324" w:type="dxa"/>
            <w:tcBorders>
              <w:top w:val="nil"/>
              <w:left w:val="nil"/>
              <w:bottom w:val="single" w:sz="4" w:space="0" w:color="auto"/>
              <w:right w:val="single" w:sz="4" w:space="0" w:color="auto"/>
            </w:tcBorders>
            <w:shd w:val="clear" w:color="auto" w:fill="auto"/>
            <w:vAlign w:val="center"/>
            <w:hideMark/>
          </w:tcPr>
          <w:p w14:paraId="6CFBACE6"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20</w:t>
            </w:r>
          </w:p>
        </w:tc>
        <w:tc>
          <w:tcPr>
            <w:tcW w:w="1530" w:type="dxa"/>
            <w:tcBorders>
              <w:top w:val="nil"/>
              <w:left w:val="nil"/>
              <w:bottom w:val="single" w:sz="4" w:space="0" w:color="auto"/>
              <w:right w:val="single" w:sz="4" w:space="0" w:color="auto"/>
            </w:tcBorders>
            <w:shd w:val="clear" w:color="auto" w:fill="auto"/>
            <w:vAlign w:val="center"/>
            <w:hideMark/>
          </w:tcPr>
          <w:p w14:paraId="0E24EEF7"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c>
          <w:tcPr>
            <w:tcW w:w="1586" w:type="dxa"/>
            <w:tcBorders>
              <w:top w:val="nil"/>
              <w:left w:val="nil"/>
              <w:bottom w:val="single" w:sz="4" w:space="0" w:color="auto"/>
              <w:right w:val="single" w:sz="4" w:space="0" w:color="auto"/>
            </w:tcBorders>
            <w:shd w:val="clear" w:color="auto" w:fill="auto"/>
            <w:vAlign w:val="center"/>
            <w:hideMark/>
          </w:tcPr>
          <w:p w14:paraId="39F03380"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r>
      <w:tr w:rsidR="0050395A" w:rsidRPr="00344357" w14:paraId="5F85450E" w14:textId="77777777" w:rsidTr="009D7B60">
        <w:trPr>
          <w:trHeight w:val="285"/>
          <w:jc w:val="center"/>
        </w:trPr>
        <w:tc>
          <w:tcPr>
            <w:tcW w:w="2240" w:type="dxa"/>
            <w:vMerge/>
            <w:tcBorders>
              <w:top w:val="nil"/>
              <w:left w:val="single" w:sz="4" w:space="0" w:color="auto"/>
              <w:bottom w:val="single" w:sz="4" w:space="0" w:color="auto"/>
              <w:right w:val="single" w:sz="4" w:space="0" w:color="auto"/>
            </w:tcBorders>
            <w:vAlign w:val="center"/>
            <w:hideMark/>
          </w:tcPr>
          <w:p w14:paraId="176DEB4E"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640" w:type="dxa"/>
            <w:tcBorders>
              <w:top w:val="nil"/>
              <w:left w:val="nil"/>
              <w:bottom w:val="single" w:sz="4" w:space="0" w:color="auto"/>
              <w:right w:val="single" w:sz="4" w:space="0" w:color="auto"/>
            </w:tcBorders>
            <w:shd w:val="clear" w:color="auto" w:fill="auto"/>
            <w:vAlign w:val="center"/>
            <w:hideMark/>
          </w:tcPr>
          <w:p w14:paraId="6EE8D6AA"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Centrifugal</w:t>
            </w:r>
          </w:p>
        </w:tc>
        <w:tc>
          <w:tcPr>
            <w:tcW w:w="1324" w:type="dxa"/>
            <w:tcBorders>
              <w:top w:val="nil"/>
              <w:left w:val="nil"/>
              <w:bottom w:val="single" w:sz="4" w:space="0" w:color="auto"/>
              <w:right w:val="single" w:sz="4" w:space="0" w:color="auto"/>
            </w:tcBorders>
            <w:shd w:val="clear" w:color="auto" w:fill="auto"/>
            <w:vAlign w:val="center"/>
            <w:hideMark/>
          </w:tcPr>
          <w:p w14:paraId="758034F6"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Any</w:t>
            </w:r>
          </w:p>
        </w:tc>
        <w:tc>
          <w:tcPr>
            <w:tcW w:w="1530" w:type="dxa"/>
            <w:tcBorders>
              <w:top w:val="nil"/>
              <w:left w:val="nil"/>
              <w:bottom w:val="single" w:sz="4" w:space="0" w:color="auto"/>
              <w:right w:val="single" w:sz="4" w:space="0" w:color="auto"/>
            </w:tcBorders>
            <w:shd w:val="clear" w:color="auto" w:fill="auto"/>
            <w:vAlign w:val="center"/>
            <w:hideMark/>
          </w:tcPr>
          <w:p w14:paraId="527CAF49"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c>
          <w:tcPr>
            <w:tcW w:w="1586" w:type="dxa"/>
            <w:tcBorders>
              <w:top w:val="nil"/>
              <w:left w:val="nil"/>
              <w:bottom w:val="single" w:sz="4" w:space="0" w:color="auto"/>
              <w:right w:val="single" w:sz="4" w:space="0" w:color="auto"/>
            </w:tcBorders>
            <w:shd w:val="clear" w:color="auto" w:fill="auto"/>
            <w:vAlign w:val="center"/>
            <w:hideMark/>
          </w:tcPr>
          <w:p w14:paraId="145D6F58"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r>
      <w:tr w:rsidR="0050395A" w:rsidRPr="00344357" w14:paraId="1E1A631D" w14:textId="77777777" w:rsidTr="009D7B60">
        <w:trPr>
          <w:trHeight w:val="285"/>
          <w:jc w:val="center"/>
        </w:trPr>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16B70BDF"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High or 2.0-3.0 wt.%</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074F1F11"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Static</w:t>
            </w:r>
          </w:p>
        </w:tc>
        <w:tc>
          <w:tcPr>
            <w:tcW w:w="1324" w:type="dxa"/>
            <w:tcBorders>
              <w:top w:val="nil"/>
              <w:left w:val="nil"/>
              <w:bottom w:val="single" w:sz="4" w:space="0" w:color="auto"/>
              <w:right w:val="single" w:sz="4" w:space="0" w:color="auto"/>
            </w:tcBorders>
            <w:shd w:val="clear" w:color="auto" w:fill="auto"/>
            <w:vAlign w:val="center"/>
            <w:hideMark/>
          </w:tcPr>
          <w:p w14:paraId="0167735F"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&gt; 14</w:t>
            </w:r>
          </w:p>
        </w:tc>
        <w:tc>
          <w:tcPr>
            <w:tcW w:w="1530" w:type="dxa"/>
            <w:tcBorders>
              <w:top w:val="nil"/>
              <w:left w:val="nil"/>
              <w:bottom w:val="single" w:sz="4" w:space="0" w:color="auto"/>
              <w:right w:val="single" w:sz="4" w:space="0" w:color="auto"/>
            </w:tcBorders>
            <w:shd w:val="clear" w:color="auto" w:fill="auto"/>
            <w:vAlign w:val="center"/>
            <w:hideMark/>
          </w:tcPr>
          <w:p w14:paraId="78C1ACB8"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c>
          <w:tcPr>
            <w:tcW w:w="1586" w:type="dxa"/>
            <w:tcBorders>
              <w:top w:val="nil"/>
              <w:left w:val="nil"/>
              <w:bottom w:val="single" w:sz="4" w:space="0" w:color="auto"/>
              <w:right w:val="single" w:sz="4" w:space="0" w:color="auto"/>
            </w:tcBorders>
            <w:shd w:val="clear" w:color="auto" w:fill="auto"/>
            <w:vAlign w:val="center"/>
            <w:hideMark/>
          </w:tcPr>
          <w:p w14:paraId="390C0B4D"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r>
      <w:tr w:rsidR="0050395A" w:rsidRPr="00344357" w14:paraId="00A56946" w14:textId="77777777" w:rsidTr="009D7B60">
        <w:trPr>
          <w:trHeight w:val="285"/>
          <w:jc w:val="center"/>
        </w:trPr>
        <w:tc>
          <w:tcPr>
            <w:tcW w:w="2240" w:type="dxa"/>
            <w:vMerge/>
            <w:tcBorders>
              <w:top w:val="nil"/>
              <w:left w:val="single" w:sz="4" w:space="0" w:color="auto"/>
              <w:bottom w:val="single" w:sz="4" w:space="0" w:color="auto"/>
              <w:right w:val="single" w:sz="4" w:space="0" w:color="auto"/>
            </w:tcBorders>
            <w:vAlign w:val="center"/>
            <w:hideMark/>
          </w:tcPr>
          <w:p w14:paraId="755916B7"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640" w:type="dxa"/>
            <w:vMerge/>
            <w:tcBorders>
              <w:top w:val="nil"/>
              <w:left w:val="single" w:sz="4" w:space="0" w:color="auto"/>
              <w:bottom w:val="single" w:sz="4" w:space="0" w:color="auto"/>
              <w:right w:val="single" w:sz="4" w:space="0" w:color="auto"/>
            </w:tcBorders>
            <w:vAlign w:val="center"/>
            <w:hideMark/>
          </w:tcPr>
          <w:p w14:paraId="75C959BF"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324" w:type="dxa"/>
            <w:tcBorders>
              <w:top w:val="nil"/>
              <w:left w:val="nil"/>
              <w:bottom w:val="single" w:sz="4" w:space="0" w:color="auto"/>
              <w:right w:val="single" w:sz="4" w:space="0" w:color="auto"/>
            </w:tcBorders>
            <w:shd w:val="clear" w:color="auto" w:fill="auto"/>
            <w:vAlign w:val="center"/>
            <w:hideMark/>
          </w:tcPr>
          <w:p w14:paraId="4884EA8C"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14</w:t>
            </w:r>
          </w:p>
        </w:tc>
        <w:tc>
          <w:tcPr>
            <w:tcW w:w="1530" w:type="dxa"/>
            <w:tcBorders>
              <w:top w:val="nil"/>
              <w:left w:val="nil"/>
              <w:bottom w:val="single" w:sz="4" w:space="0" w:color="auto"/>
              <w:right w:val="single" w:sz="4" w:space="0" w:color="auto"/>
            </w:tcBorders>
            <w:shd w:val="clear" w:color="auto" w:fill="auto"/>
            <w:vAlign w:val="center"/>
            <w:hideMark/>
          </w:tcPr>
          <w:p w14:paraId="2E26E7EF"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c>
          <w:tcPr>
            <w:tcW w:w="1586" w:type="dxa"/>
            <w:tcBorders>
              <w:top w:val="nil"/>
              <w:left w:val="nil"/>
              <w:bottom w:val="single" w:sz="4" w:space="0" w:color="auto"/>
              <w:right w:val="single" w:sz="4" w:space="0" w:color="auto"/>
            </w:tcBorders>
            <w:shd w:val="clear" w:color="auto" w:fill="auto"/>
            <w:vAlign w:val="center"/>
            <w:hideMark/>
          </w:tcPr>
          <w:p w14:paraId="259C84F5"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r>
      <w:tr w:rsidR="0050395A" w:rsidRPr="00344357" w14:paraId="66EC3786" w14:textId="77777777" w:rsidTr="009D7B60">
        <w:trPr>
          <w:trHeight w:val="285"/>
          <w:jc w:val="center"/>
        </w:trPr>
        <w:tc>
          <w:tcPr>
            <w:tcW w:w="2240" w:type="dxa"/>
            <w:vMerge/>
            <w:tcBorders>
              <w:top w:val="nil"/>
              <w:left w:val="single" w:sz="4" w:space="0" w:color="auto"/>
              <w:bottom w:val="single" w:sz="4" w:space="0" w:color="auto"/>
              <w:right w:val="single" w:sz="4" w:space="0" w:color="auto"/>
            </w:tcBorders>
            <w:vAlign w:val="center"/>
            <w:hideMark/>
          </w:tcPr>
          <w:p w14:paraId="64C453BB"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5ACD1AB4"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Centrifugal</w:t>
            </w:r>
          </w:p>
        </w:tc>
        <w:tc>
          <w:tcPr>
            <w:tcW w:w="1324" w:type="dxa"/>
            <w:tcBorders>
              <w:top w:val="nil"/>
              <w:left w:val="nil"/>
              <w:bottom w:val="single" w:sz="4" w:space="0" w:color="auto"/>
              <w:right w:val="single" w:sz="4" w:space="0" w:color="auto"/>
            </w:tcBorders>
            <w:shd w:val="clear" w:color="auto" w:fill="auto"/>
            <w:vAlign w:val="center"/>
            <w:hideMark/>
          </w:tcPr>
          <w:p w14:paraId="098654AB"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&gt; 20</w:t>
            </w:r>
          </w:p>
        </w:tc>
        <w:tc>
          <w:tcPr>
            <w:tcW w:w="1530" w:type="dxa"/>
            <w:tcBorders>
              <w:top w:val="nil"/>
              <w:left w:val="nil"/>
              <w:bottom w:val="single" w:sz="4" w:space="0" w:color="auto"/>
              <w:right w:val="single" w:sz="4" w:space="0" w:color="auto"/>
            </w:tcBorders>
            <w:shd w:val="clear" w:color="auto" w:fill="auto"/>
            <w:vAlign w:val="center"/>
            <w:hideMark/>
          </w:tcPr>
          <w:p w14:paraId="016ADF78"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c>
          <w:tcPr>
            <w:tcW w:w="1586" w:type="dxa"/>
            <w:tcBorders>
              <w:top w:val="nil"/>
              <w:left w:val="nil"/>
              <w:bottom w:val="single" w:sz="4" w:space="0" w:color="auto"/>
              <w:right w:val="single" w:sz="4" w:space="0" w:color="auto"/>
            </w:tcBorders>
            <w:shd w:val="clear" w:color="auto" w:fill="auto"/>
            <w:vAlign w:val="center"/>
            <w:hideMark/>
          </w:tcPr>
          <w:p w14:paraId="7C0BACAC"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r>
      <w:tr w:rsidR="0050395A" w:rsidRPr="00344357" w14:paraId="7EF4F402" w14:textId="77777777" w:rsidTr="009D7B60">
        <w:trPr>
          <w:trHeight w:val="285"/>
          <w:jc w:val="center"/>
        </w:trPr>
        <w:tc>
          <w:tcPr>
            <w:tcW w:w="2240" w:type="dxa"/>
            <w:vMerge/>
            <w:tcBorders>
              <w:top w:val="nil"/>
              <w:left w:val="single" w:sz="4" w:space="0" w:color="auto"/>
              <w:bottom w:val="single" w:sz="4" w:space="0" w:color="auto"/>
              <w:right w:val="single" w:sz="4" w:space="0" w:color="auto"/>
            </w:tcBorders>
            <w:vAlign w:val="center"/>
            <w:hideMark/>
          </w:tcPr>
          <w:p w14:paraId="0F1AEA6C"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640" w:type="dxa"/>
            <w:vMerge/>
            <w:tcBorders>
              <w:top w:val="nil"/>
              <w:left w:val="single" w:sz="4" w:space="0" w:color="auto"/>
              <w:bottom w:val="single" w:sz="4" w:space="0" w:color="auto"/>
              <w:right w:val="single" w:sz="4" w:space="0" w:color="auto"/>
            </w:tcBorders>
            <w:vAlign w:val="center"/>
            <w:hideMark/>
          </w:tcPr>
          <w:p w14:paraId="169FE370" w14:textId="77777777" w:rsidR="0050395A" w:rsidRPr="00344357" w:rsidRDefault="0050395A" w:rsidP="00344357">
            <w:pPr>
              <w:spacing w:before="120" w:after="120"/>
              <w:rPr>
                <w:rFonts w:ascii="Times New Roman" w:eastAsia="Times New Roman" w:hAnsi="Times New Roman"/>
                <w:color w:val="000000"/>
                <w:sz w:val="24"/>
                <w:szCs w:val="24"/>
              </w:rPr>
            </w:pPr>
          </w:p>
        </w:tc>
        <w:tc>
          <w:tcPr>
            <w:tcW w:w="1324" w:type="dxa"/>
            <w:tcBorders>
              <w:top w:val="nil"/>
              <w:left w:val="nil"/>
              <w:bottom w:val="single" w:sz="4" w:space="0" w:color="auto"/>
              <w:right w:val="single" w:sz="4" w:space="0" w:color="auto"/>
            </w:tcBorders>
            <w:shd w:val="clear" w:color="auto" w:fill="auto"/>
            <w:vAlign w:val="center"/>
            <w:hideMark/>
          </w:tcPr>
          <w:p w14:paraId="0EE50DFE"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20</w:t>
            </w:r>
          </w:p>
        </w:tc>
        <w:tc>
          <w:tcPr>
            <w:tcW w:w="1530" w:type="dxa"/>
            <w:tcBorders>
              <w:top w:val="nil"/>
              <w:left w:val="nil"/>
              <w:bottom w:val="single" w:sz="4" w:space="0" w:color="auto"/>
              <w:right w:val="single" w:sz="4" w:space="0" w:color="auto"/>
            </w:tcBorders>
            <w:shd w:val="clear" w:color="auto" w:fill="auto"/>
            <w:vAlign w:val="center"/>
            <w:hideMark/>
          </w:tcPr>
          <w:p w14:paraId="045675A3"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 xml:space="preserve"> -- </w:t>
            </w:r>
          </w:p>
        </w:tc>
        <w:tc>
          <w:tcPr>
            <w:tcW w:w="1586" w:type="dxa"/>
            <w:tcBorders>
              <w:top w:val="nil"/>
              <w:left w:val="nil"/>
              <w:bottom w:val="single" w:sz="4" w:space="0" w:color="auto"/>
              <w:right w:val="single" w:sz="4" w:space="0" w:color="auto"/>
            </w:tcBorders>
            <w:shd w:val="clear" w:color="auto" w:fill="auto"/>
            <w:vAlign w:val="center"/>
            <w:hideMark/>
          </w:tcPr>
          <w:p w14:paraId="03EB8FB6" w14:textId="77777777" w:rsidR="0050395A" w:rsidRPr="00344357" w:rsidRDefault="0050395A" w:rsidP="00344357">
            <w:pPr>
              <w:spacing w:before="120" w:after="120"/>
              <w:jc w:val="center"/>
              <w:rPr>
                <w:rFonts w:ascii="Times New Roman" w:eastAsia="Times New Roman" w:hAnsi="Times New Roman"/>
                <w:color w:val="000000"/>
                <w:sz w:val="24"/>
                <w:szCs w:val="24"/>
              </w:rPr>
            </w:pPr>
            <w:r w:rsidRPr="00344357">
              <w:rPr>
                <w:rFonts w:ascii="Times New Roman" w:eastAsia="Times New Roman" w:hAnsi="Times New Roman"/>
                <w:color w:val="000000"/>
                <w:sz w:val="24"/>
                <w:szCs w:val="24"/>
              </w:rPr>
              <w:t>X</w:t>
            </w:r>
          </w:p>
        </w:tc>
      </w:tr>
    </w:tbl>
    <w:p w14:paraId="1641E817" w14:textId="77777777" w:rsidR="003A4BA6" w:rsidRPr="00344357" w:rsidRDefault="003A4BA6" w:rsidP="00344357">
      <w:pPr>
        <w:pStyle w:val="Body"/>
        <w:jc w:val="center"/>
        <w:rPr>
          <w:rFonts w:ascii="Times New Roman" w:hAnsi="Times New Roman"/>
          <w:sz w:val="24"/>
          <w:szCs w:val="24"/>
        </w:rPr>
      </w:pPr>
    </w:p>
    <w:p w14:paraId="79717B77" w14:textId="77777777" w:rsidR="00D71D4A" w:rsidRPr="00344357" w:rsidRDefault="004E647F"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Preventive actions to minimize and control ageing degradation</w:t>
      </w:r>
      <w:r w:rsidR="00F90ECA" w:rsidRPr="00344357">
        <w:rPr>
          <w:rFonts w:ascii="Times New Roman" w:hAnsi="Times New Roman"/>
          <w:b/>
          <w:i/>
          <w:sz w:val="24"/>
          <w:szCs w:val="24"/>
        </w:rPr>
        <w:t xml:space="preserve">: </w:t>
      </w:r>
    </w:p>
    <w:p w14:paraId="119A7E84" w14:textId="77777777" w:rsidR="00F90ECA"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t>This program</w:t>
      </w:r>
      <w:r w:rsidR="0056603A" w:rsidRPr="00344357">
        <w:rPr>
          <w:rFonts w:ascii="Times New Roman" w:hAnsi="Times New Roman"/>
          <w:sz w:val="24"/>
          <w:szCs w:val="24"/>
        </w:rPr>
        <w:t>me</w:t>
      </w:r>
      <w:r w:rsidRPr="00344357">
        <w:rPr>
          <w:rFonts w:ascii="Times New Roman" w:hAnsi="Times New Roman"/>
          <w:sz w:val="24"/>
          <w:szCs w:val="24"/>
        </w:rPr>
        <w:t xml:space="preserve"> is a condition monitoring program</w:t>
      </w:r>
      <w:r w:rsidR="0056603A" w:rsidRPr="00344357">
        <w:rPr>
          <w:rFonts w:ascii="Times New Roman" w:hAnsi="Times New Roman"/>
          <w:sz w:val="24"/>
          <w:szCs w:val="24"/>
        </w:rPr>
        <w:t>me</w:t>
      </w:r>
      <w:r w:rsidRPr="00344357">
        <w:rPr>
          <w:rFonts w:ascii="Times New Roman" w:hAnsi="Times New Roman"/>
          <w:sz w:val="24"/>
          <w:szCs w:val="24"/>
        </w:rPr>
        <w:t xml:space="preserve"> and </w:t>
      </w:r>
      <w:r w:rsidR="00FF0344" w:rsidRPr="00344357">
        <w:rPr>
          <w:rFonts w:ascii="Times New Roman" w:hAnsi="Times New Roman"/>
          <w:sz w:val="24"/>
          <w:szCs w:val="24"/>
        </w:rPr>
        <w:t>contains no</w:t>
      </w:r>
      <w:r w:rsidRPr="00344357">
        <w:rPr>
          <w:rFonts w:ascii="Times New Roman" w:hAnsi="Times New Roman"/>
          <w:sz w:val="24"/>
          <w:szCs w:val="24"/>
        </w:rPr>
        <w:t xml:space="preserve"> </w:t>
      </w:r>
      <w:r w:rsidR="008632E1" w:rsidRPr="00344357">
        <w:rPr>
          <w:rFonts w:ascii="Times New Roman" w:hAnsi="Times New Roman"/>
          <w:sz w:val="24"/>
          <w:szCs w:val="24"/>
        </w:rPr>
        <w:t>preven</w:t>
      </w:r>
      <w:r w:rsidR="00FF0344" w:rsidRPr="00344357">
        <w:rPr>
          <w:rFonts w:ascii="Times New Roman" w:hAnsi="Times New Roman"/>
          <w:sz w:val="24"/>
          <w:szCs w:val="24"/>
        </w:rPr>
        <w:t>tive actions</w:t>
      </w:r>
      <w:r w:rsidRPr="00344357">
        <w:rPr>
          <w:rFonts w:ascii="Times New Roman" w:hAnsi="Times New Roman"/>
          <w:sz w:val="24"/>
          <w:szCs w:val="24"/>
        </w:rPr>
        <w:t>.</w:t>
      </w:r>
    </w:p>
    <w:p w14:paraId="6EF45236" w14:textId="77777777" w:rsidR="00544135" w:rsidRPr="00344357" w:rsidRDefault="00544135" w:rsidP="00344357">
      <w:pPr>
        <w:pStyle w:val="Body"/>
        <w:ind w:left="360"/>
        <w:rPr>
          <w:rFonts w:ascii="Times New Roman" w:hAnsi="Times New Roman"/>
          <w:sz w:val="24"/>
          <w:szCs w:val="24"/>
        </w:rPr>
      </w:pPr>
    </w:p>
    <w:p w14:paraId="2E02CDAA" w14:textId="77777777" w:rsidR="00D71D4A" w:rsidRPr="00344357" w:rsidRDefault="00F90ECA"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 xml:space="preserve">Detection </w:t>
      </w:r>
      <w:r w:rsidR="00E41316" w:rsidRPr="00344357">
        <w:rPr>
          <w:rFonts w:ascii="Times New Roman" w:hAnsi="Times New Roman"/>
          <w:b/>
          <w:i/>
          <w:sz w:val="24"/>
          <w:szCs w:val="24"/>
        </w:rPr>
        <w:t xml:space="preserve">of </w:t>
      </w:r>
      <w:r w:rsidR="00B77A14" w:rsidRPr="00344357">
        <w:rPr>
          <w:rFonts w:ascii="Times New Roman" w:hAnsi="Times New Roman"/>
          <w:b/>
          <w:i/>
          <w:sz w:val="24"/>
          <w:szCs w:val="24"/>
        </w:rPr>
        <w:t>a</w:t>
      </w:r>
      <w:r w:rsidRPr="00344357">
        <w:rPr>
          <w:rFonts w:ascii="Times New Roman" w:hAnsi="Times New Roman"/>
          <w:b/>
          <w:i/>
          <w:sz w:val="24"/>
          <w:szCs w:val="24"/>
        </w:rPr>
        <w:t>g</w:t>
      </w:r>
      <w:r w:rsidR="00B77A14" w:rsidRPr="00344357">
        <w:rPr>
          <w:rFonts w:ascii="Times New Roman" w:hAnsi="Times New Roman"/>
          <w:b/>
          <w:i/>
          <w:sz w:val="24"/>
          <w:szCs w:val="24"/>
        </w:rPr>
        <w:t>e</w:t>
      </w:r>
      <w:r w:rsidRPr="00344357">
        <w:rPr>
          <w:rFonts w:ascii="Times New Roman" w:hAnsi="Times New Roman"/>
          <w:b/>
          <w:i/>
          <w:sz w:val="24"/>
          <w:szCs w:val="24"/>
        </w:rPr>
        <w:t xml:space="preserve">ing </w:t>
      </w:r>
      <w:r w:rsidR="00B77A14" w:rsidRPr="00344357">
        <w:rPr>
          <w:rFonts w:ascii="Times New Roman" w:hAnsi="Times New Roman"/>
          <w:b/>
          <w:i/>
          <w:sz w:val="24"/>
          <w:szCs w:val="24"/>
        </w:rPr>
        <w:t>e</w:t>
      </w:r>
      <w:r w:rsidRPr="00344357">
        <w:rPr>
          <w:rFonts w:ascii="Times New Roman" w:hAnsi="Times New Roman"/>
          <w:b/>
          <w:i/>
          <w:sz w:val="24"/>
          <w:szCs w:val="24"/>
        </w:rPr>
        <w:t xml:space="preserve">ffects: </w:t>
      </w:r>
    </w:p>
    <w:p w14:paraId="3C98C9E6" w14:textId="77777777" w:rsidR="00B77A14" w:rsidRPr="00344357" w:rsidRDefault="00B77A14" w:rsidP="00344357">
      <w:pPr>
        <w:pStyle w:val="Body"/>
        <w:jc w:val="both"/>
        <w:rPr>
          <w:rFonts w:ascii="Times New Roman" w:hAnsi="Times New Roman"/>
          <w:sz w:val="24"/>
          <w:szCs w:val="24"/>
        </w:rPr>
      </w:pPr>
      <w:r w:rsidRPr="00344357">
        <w:rPr>
          <w:rFonts w:ascii="Times New Roman" w:hAnsi="Times New Roman"/>
          <w:sz w:val="24"/>
          <w:szCs w:val="24"/>
        </w:rPr>
        <w:t>The program</w:t>
      </w:r>
      <w:r w:rsidR="0056603A" w:rsidRPr="00344357">
        <w:rPr>
          <w:rFonts w:ascii="Times New Roman" w:hAnsi="Times New Roman"/>
          <w:sz w:val="24"/>
          <w:szCs w:val="24"/>
        </w:rPr>
        <w:t>me</w:t>
      </w:r>
      <w:r w:rsidRPr="00344357">
        <w:rPr>
          <w:rFonts w:ascii="Times New Roman" w:hAnsi="Times New Roman"/>
          <w:sz w:val="24"/>
          <w:szCs w:val="24"/>
        </w:rPr>
        <w:t xml:space="preserve"> monitors the effects of loss of fracture toughness on the intended function of the </w:t>
      </w:r>
      <w:r w:rsidR="0056603A" w:rsidRPr="00344357">
        <w:rPr>
          <w:rFonts w:ascii="Times New Roman" w:hAnsi="Times New Roman"/>
          <w:sz w:val="24"/>
          <w:szCs w:val="24"/>
        </w:rPr>
        <w:t xml:space="preserve">Class 1 CASS components </w:t>
      </w:r>
      <w:r w:rsidRPr="00344357">
        <w:rPr>
          <w:rFonts w:ascii="Times New Roman" w:hAnsi="Times New Roman"/>
          <w:sz w:val="24"/>
          <w:szCs w:val="24"/>
        </w:rPr>
        <w:t>by</w:t>
      </w:r>
      <w:r w:rsidR="00F52ECB" w:rsidRPr="00344357">
        <w:rPr>
          <w:rFonts w:ascii="Times New Roman" w:hAnsi="Times New Roman"/>
          <w:sz w:val="24"/>
          <w:szCs w:val="24"/>
        </w:rPr>
        <w:t xml:space="preserve"> (a)</w:t>
      </w:r>
      <w:r w:rsidRPr="00344357">
        <w:rPr>
          <w:rFonts w:ascii="Times New Roman" w:hAnsi="Times New Roman"/>
          <w:sz w:val="24"/>
          <w:szCs w:val="24"/>
        </w:rPr>
        <w:t xml:space="preserve"> identifying the CASS materials that are susceptible to </w:t>
      </w:r>
      <w:r w:rsidR="00B83211" w:rsidRPr="00344357">
        <w:rPr>
          <w:rFonts w:ascii="Times New Roman" w:hAnsi="Times New Roman"/>
          <w:sz w:val="24"/>
          <w:szCs w:val="24"/>
        </w:rPr>
        <w:t xml:space="preserve">a significant loss of fracture toughness due to </w:t>
      </w:r>
      <w:r w:rsidRPr="00344357">
        <w:rPr>
          <w:rFonts w:ascii="Times New Roman" w:hAnsi="Times New Roman"/>
          <w:sz w:val="24"/>
          <w:szCs w:val="24"/>
        </w:rPr>
        <w:t>thermal</w:t>
      </w:r>
      <w:r w:rsidR="00E42E13" w:rsidRPr="00344357">
        <w:rPr>
          <w:rFonts w:ascii="Times New Roman" w:hAnsi="Times New Roman"/>
          <w:sz w:val="24"/>
          <w:szCs w:val="24"/>
        </w:rPr>
        <w:t xml:space="preserve"> ageing</w:t>
      </w:r>
      <w:r w:rsidRPr="00344357">
        <w:rPr>
          <w:rFonts w:ascii="Times New Roman" w:hAnsi="Times New Roman"/>
          <w:sz w:val="24"/>
          <w:szCs w:val="24"/>
        </w:rPr>
        <w:t xml:space="preserve"> embrittlement</w:t>
      </w:r>
      <w:r w:rsidR="0056603A" w:rsidRPr="00344357">
        <w:rPr>
          <w:rFonts w:ascii="Times New Roman" w:hAnsi="Times New Roman"/>
          <w:sz w:val="24"/>
          <w:szCs w:val="24"/>
        </w:rPr>
        <w:t xml:space="preserve"> and </w:t>
      </w:r>
      <w:r w:rsidR="00F52ECB" w:rsidRPr="00344357">
        <w:rPr>
          <w:rFonts w:ascii="Times New Roman" w:hAnsi="Times New Roman"/>
          <w:sz w:val="24"/>
          <w:szCs w:val="24"/>
        </w:rPr>
        <w:t xml:space="preserve">(b) </w:t>
      </w:r>
      <w:r w:rsidR="0056603A" w:rsidRPr="00344357">
        <w:rPr>
          <w:rFonts w:ascii="Times New Roman" w:hAnsi="Times New Roman"/>
          <w:sz w:val="24"/>
          <w:szCs w:val="24"/>
        </w:rPr>
        <w:t>performing inspection</w:t>
      </w:r>
      <w:r w:rsidR="00F52ECB" w:rsidRPr="00344357">
        <w:rPr>
          <w:rFonts w:ascii="Times New Roman" w:hAnsi="Times New Roman"/>
          <w:sz w:val="24"/>
          <w:szCs w:val="24"/>
        </w:rPr>
        <w:t>s</w:t>
      </w:r>
      <w:r w:rsidR="0056603A" w:rsidRPr="00344357">
        <w:rPr>
          <w:rFonts w:ascii="Times New Roman" w:hAnsi="Times New Roman"/>
          <w:sz w:val="24"/>
          <w:szCs w:val="24"/>
        </w:rPr>
        <w:t xml:space="preserve"> or a flaw tolerance evaluation. </w:t>
      </w:r>
    </w:p>
    <w:p w14:paraId="4C865FE9" w14:textId="77777777" w:rsidR="00F90ECA" w:rsidRPr="00344357" w:rsidRDefault="00B77A14" w:rsidP="00344357">
      <w:pPr>
        <w:pStyle w:val="BodyNumbered"/>
        <w:ind w:left="0" w:firstLine="0"/>
        <w:jc w:val="both"/>
        <w:rPr>
          <w:rFonts w:ascii="Times New Roman" w:hAnsi="Times New Roman"/>
          <w:sz w:val="24"/>
          <w:szCs w:val="24"/>
        </w:rPr>
      </w:pPr>
      <w:r w:rsidRPr="00344357">
        <w:rPr>
          <w:rFonts w:ascii="Times New Roman" w:hAnsi="Times New Roman"/>
          <w:sz w:val="24"/>
          <w:szCs w:val="24"/>
        </w:rPr>
        <w:t>The program</w:t>
      </w:r>
      <w:r w:rsidR="0056603A" w:rsidRPr="00344357">
        <w:rPr>
          <w:rFonts w:ascii="Times New Roman" w:hAnsi="Times New Roman"/>
          <w:sz w:val="24"/>
          <w:szCs w:val="24"/>
        </w:rPr>
        <w:t>me</w:t>
      </w:r>
      <w:r w:rsidRPr="00344357">
        <w:rPr>
          <w:rFonts w:ascii="Times New Roman" w:hAnsi="Times New Roman"/>
          <w:sz w:val="24"/>
          <w:szCs w:val="24"/>
        </w:rPr>
        <w:t xml:space="preserve"> does not directly monitor for</w:t>
      </w:r>
      <w:r w:rsidR="00A46732" w:rsidRPr="00344357">
        <w:rPr>
          <w:rFonts w:ascii="Times New Roman" w:hAnsi="Times New Roman"/>
          <w:sz w:val="24"/>
          <w:szCs w:val="24"/>
        </w:rPr>
        <w:t xml:space="preserve"> the</w:t>
      </w:r>
      <w:r w:rsidRPr="00344357">
        <w:rPr>
          <w:rFonts w:ascii="Times New Roman" w:hAnsi="Times New Roman"/>
          <w:sz w:val="24"/>
          <w:szCs w:val="24"/>
        </w:rPr>
        <w:t xml:space="preserve"> loss of fracture toughness that is induced by thermal</w:t>
      </w:r>
      <w:r w:rsidR="00E42E13" w:rsidRPr="00344357">
        <w:rPr>
          <w:rFonts w:ascii="Times New Roman" w:hAnsi="Times New Roman"/>
          <w:sz w:val="24"/>
          <w:szCs w:val="24"/>
        </w:rPr>
        <w:t xml:space="preserve"> ageing</w:t>
      </w:r>
      <w:r w:rsidRPr="00344357">
        <w:rPr>
          <w:rFonts w:ascii="Times New Roman" w:hAnsi="Times New Roman"/>
          <w:sz w:val="24"/>
          <w:szCs w:val="24"/>
        </w:rPr>
        <w:t xml:space="preserve">; instead, the impact of loss of fracture toughness on component integrity is indirectly managed by using visual or volumetric examination techniques to monitor for cracking in the components. </w:t>
      </w:r>
      <w:r w:rsidR="00F90ECA" w:rsidRPr="00344357">
        <w:rPr>
          <w:rFonts w:ascii="Times New Roman" w:hAnsi="Times New Roman"/>
          <w:sz w:val="24"/>
          <w:szCs w:val="24"/>
        </w:rPr>
        <w:t xml:space="preserve">For </w:t>
      </w:r>
      <w:r w:rsidR="00F52ECB" w:rsidRPr="00344357">
        <w:rPr>
          <w:rFonts w:ascii="Times New Roman" w:hAnsi="Times New Roman"/>
          <w:sz w:val="24"/>
          <w:szCs w:val="24"/>
        </w:rPr>
        <w:t xml:space="preserve">components </w:t>
      </w:r>
      <w:r w:rsidR="00A63A74" w:rsidRPr="00344357">
        <w:rPr>
          <w:rFonts w:ascii="Times New Roman" w:hAnsi="Times New Roman"/>
          <w:sz w:val="24"/>
          <w:szCs w:val="24"/>
        </w:rPr>
        <w:t xml:space="preserve">that have been </w:t>
      </w:r>
      <w:r w:rsidR="00F52ECB" w:rsidRPr="00344357">
        <w:rPr>
          <w:rFonts w:ascii="Times New Roman" w:hAnsi="Times New Roman"/>
          <w:sz w:val="24"/>
          <w:szCs w:val="24"/>
        </w:rPr>
        <w:t>determined not to be susceptible to a significant loss of fracture toughness</w:t>
      </w:r>
      <w:r w:rsidR="00A63A74" w:rsidRPr="00344357">
        <w:rPr>
          <w:rFonts w:ascii="Times New Roman" w:hAnsi="Times New Roman"/>
          <w:sz w:val="24"/>
          <w:szCs w:val="24"/>
        </w:rPr>
        <w:t xml:space="preserve"> and have screened out</w:t>
      </w:r>
      <w:r w:rsidR="00F90ECA" w:rsidRPr="00344357">
        <w:rPr>
          <w:rFonts w:ascii="Times New Roman" w:hAnsi="Times New Roman"/>
          <w:sz w:val="24"/>
          <w:szCs w:val="24"/>
        </w:rPr>
        <w:t>, no additional inspection or evaluations are needed to</w:t>
      </w:r>
      <w:r w:rsidR="00F52ECB" w:rsidRPr="00344357">
        <w:rPr>
          <w:rFonts w:ascii="Times New Roman" w:hAnsi="Times New Roman"/>
          <w:sz w:val="24"/>
          <w:szCs w:val="24"/>
        </w:rPr>
        <w:t xml:space="preserve"> </w:t>
      </w:r>
      <w:r w:rsidR="00A9705D" w:rsidRPr="00344357">
        <w:rPr>
          <w:rFonts w:ascii="Times New Roman" w:hAnsi="Times New Roman"/>
          <w:sz w:val="24"/>
          <w:szCs w:val="24"/>
        </w:rPr>
        <w:t>assess</w:t>
      </w:r>
      <w:r w:rsidR="00F52ECB" w:rsidRPr="00344357">
        <w:rPr>
          <w:rFonts w:ascii="Times New Roman" w:hAnsi="Times New Roman"/>
          <w:sz w:val="24"/>
          <w:szCs w:val="24"/>
        </w:rPr>
        <w:t xml:space="preserve"> the impact of </w:t>
      </w:r>
      <w:r w:rsidR="00670528" w:rsidRPr="00344357">
        <w:rPr>
          <w:rFonts w:ascii="Times New Roman" w:hAnsi="Times New Roman"/>
          <w:sz w:val="24"/>
          <w:szCs w:val="24"/>
        </w:rPr>
        <w:t>thermal ageing embrittlement</w:t>
      </w:r>
      <w:r w:rsidRPr="00344357">
        <w:rPr>
          <w:rFonts w:ascii="Times New Roman" w:hAnsi="Times New Roman"/>
          <w:sz w:val="24"/>
          <w:szCs w:val="24"/>
        </w:rPr>
        <w:t>, beyond those implemented consistent with the pertinent governing requirements or guidance documents for the plant</w:t>
      </w:r>
      <w:r w:rsidR="00F90ECA" w:rsidRPr="00344357">
        <w:rPr>
          <w:rFonts w:ascii="Times New Roman" w:hAnsi="Times New Roman"/>
          <w:sz w:val="24"/>
          <w:szCs w:val="24"/>
        </w:rPr>
        <w:t>.</w:t>
      </w:r>
    </w:p>
    <w:p w14:paraId="5A1A41F0" w14:textId="77777777" w:rsidR="00E41316" w:rsidRPr="00344357" w:rsidRDefault="00E41316" w:rsidP="00344357">
      <w:pPr>
        <w:pStyle w:val="BodyNumbered"/>
        <w:ind w:left="0" w:firstLine="0"/>
        <w:jc w:val="both"/>
        <w:rPr>
          <w:rFonts w:ascii="Times New Roman" w:hAnsi="Times New Roman"/>
          <w:color w:val="FF0000"/>
          <w:sz w:val="24"/>
          <w:szCs w:val="24"/>
        </w:rPr>
      </w:pPr>
      <w:r w:rsidRPr="00344357">
        <w:rPr>
          <w:rFonts w:ascii="Times New Roman" w:hAnsi="Times New Roman"/>
          <w:sz w:val="24"/>
          <w:szCs w:val="24"/>
        </w:rPr>
        <w:t xml:space="preserve">In France, the development of </w:t>
      </w:r>
      <w:r w:rsidR="00F53A14" w:rsidRPr="00344357">
        <w:rPr>
          <w:rFonts w:ascii="Times New Roman" w:hAnsi="Times New Roman"/>
          <w:sz w:val="24"/>
          <w:szCs w:val="24"/>
        </w:rPr>
        <w:t>formulas</w:t>
      </w:r>
      <w:r w:rsidR="00AD30E6" w:rsidRPr="00344357">
        <w:rPr>
          <w:rFonts w:ascii="Times New Roman" w:hAnsi="Times New Roman"/>
          <w:sz w:val="24"/>
          <w:szCs w:val="24"/>
        </w:rPr>
        <w:t xml:space="preserve"> for toughness, as described in </w:t>
      </w:r>
      <w:r w:rsidR="00212661" w:rsidRPr="00344357">
        <w:rPr>
          <w:rFonts w:ascii="Times New Roman" w:hAnsi="Times New Roman"/>
          <w:sz w:val="24"/>
          <w:szCs w:val="24"/>
        </w:rPr>
        <w:t xml:space="preserve">attribute </w:t>
      </w:r>
      <w:r w:rsidR="00AD30E6" w:rsidRPr="00344357">
        <w:rPr>
          <w:rFonts w:ascii="Times New Roman" w:hAnsi="Times New Roman"/>
          <w:sz w:val="24"/>
          <w:szCs w:val="24"/>
        </w:rPr>
        <w:t xml:space="preserve">8, </w:t>
      </w:r>
      <w:r w:rsidRPr="00344357">
        <w:rPr>
          <w:rFonts w:ascii="Times New Roman" w:hAnsi="Times New Roman"/>
          <w:sz w:val="24"/>
          <w:szCs w:val="24"/>
        </w:rPr>
        <w:t xml:space="preserve">can </w:t>
      </w:r>
      <w:r w:rsidR="00126F0A" w:rsidRPr="00344357">
        <w:rPr>
          <w:rFonts w:ascii="Times New Roman" w:hAnsi="Times New Roman"/>
          <w:sz w:val="24"/>
          <w:szCs w:val="24"/>
        </w:rPr>
        <w:t>estimate</w:t>
      </w:r>
      <w:r w:rsidRPr="00344357">
        <w:rPr>
          <w:rFonts w:ascii="Times New Roman" w:hAnsi="Times New Roman"/>
          <w:sz w:val="24"/>
          <w:szCs w:val="24"/>
        </w:rPr>
        <w:t xml:space="preserve"> the loss of fracture toughness induced by thermal ageing. </w:t>
      </w:r>
    </w:p>
    <w:p w14:paraId="3C607B4A" w14:textId="77777777" w:rsidR="00F90ECA"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t>For piping components</w:t>
      </w:r>
      <w:r w:rsidR="00613BCA" w:rsidRPr="00344357">
        <w:rPr>
          <w:rFonts w:ascii="Times New Roman" w:hAnsi="Times New Roman"/>
          <w:sz w:val="24"/>
          <w:szCs w:val="24"/>
        </w:rPr>
        <w:t xml:space="preserve"> that may potentially experience a significant loss of fracture toughness</w:t>
      </w:r>
      <w:r w:rsidRPr="00344357">
        <w:rPr>
          <w:rFonts w:ascii="Times New Roman" w:hAnsi="Times New Roman"/>
          <w:sz w:val="24"/>
          <w:szCs w:val="24"/>
        </w:rPr>
        <w:t>, the AMP provides for inspections of the base metal, such as EVT-1</w:t>
      </w:r>
      <w:r w:rsidR="00E41316" w:rsidRPr="00344357">
        <w:rPr>
          <w:rFonts w:ascii="Times New Roman" w:hAnsi="Times New Roman"/>
          <w:sz w:val="24"/>
          <w:szCs w:val="24"/>
        </w:rPr>
        <w:t xml:space="preserve">, </w:t>
      </w:r>
      <w:r w:rsidRPr="00344357">
        <w:rPr>
          <w:rFonts w:ascii="Times New Roman" w:hAnsi="Times New Roman"/>
          <w:sz w:val="24"/>
          <w:szCs w:val="24"/>
        </w:rPr>
        <w:t>qualified UT</w:t>
      </w:r>
      <w:r w:rsidR="00DD0EB2" w:rsidRPr="00344357">
        <w:rPr>
          <w:rFonts w:ascii="Times New Roman" w:hAnsi="Times New Roman"/>
          <w:sz w:val="24"/>
          <w:szCs w:val="24"/>
        </w:rPr>
        <w:t>,</w:t>
      </w:r>
      <w:r w:rsidRPr="00344357">
        <w:rPr>
          <w:rFonts w:ascii="Times New Roman" w:hAnsi="Times New Roman"/>
          <w:sz w:val="24"/>
          <w:szCs w:val="24"/>
        </w:rPr>
        <w:t xml:space="preserve"> </w:t>
      </w:r>
      <w:r w:rsidR="00E41316" w:rsidRPr="00344357">
        <w:rPr>
          <w:rFonts w:ascii="Times New Roman" w:hAnsi="Times New Roman"/>
          <w:sz w:val="24"/>
          <w:szCs w:val="24"/>
        </w:rPr>
        <w:t>RT</w:t>
      </w:r>
      <w:r w:rsidR="00DD0EB2" w:rsidRPr="00344357">
        <w:rPr>
          <w:rFonts w:ascii="Times New Roman" w:hAnsi="Times New Roman"/>
          <w:sz w:val="24"/>
          <w:szCs w:val="24"/>
        </w:rPr>
        <w:t xml:space="preserve"> and PT</w:t>
      </w:r>
      <w:r w:rsidR="00E41316" w:rsidRPr="00344357">
        <w:rPr>
          <w:rFonts w:ascii="Times New Roman" w:hAnsi="Times New Roman"/>
          <w:sz w:val="24"/>
          <w:szCs w:val="24"/>
        </w:rPr>
        <w:t xml:space="preserve"> techniques</w:t>
      </w:r>
      <w:r w:rsidRPr="00344357">
        <w:rPr>
          <w:rFonts w:ascii="Times New Roman" w:hAnsi="Times New Roman"/>
          <w:sz w:val="24"/>
          <w:szCs w:val="24"/>
        </w:rPr>
        <w:t xml:space="preserve">, with the scope of the inspection covering the portions determined to be limiting </w:t>
      </w:r>
      <w:r w:rsidRPr="00344357">
        <w:rPr>
          <w:rFonts w:ascii="Times New Roman" w:hAnsi="Times New Roman"/>
          <w:sz w:val="24"/>
          <w:szCs w:val="24"/>
        </w:rPr>
        <w:lastRenderedPageBreak/>
        <w:t xml:space="preserve">from the standpoint of applied stress, operating time, and environmental considerations. Examination methods meet the criteria of </w:t>
      </w:r>
      <w:r w:rsidR="00B77A14" w:rsidRPr="00344357">
        <w:rPr>
          <w:rFonts w:ascii="Times New Roman" w:hAnsi="Times New Roman"/>
          <w:sz w:val="24"/>
          <w:szCs w:val="24"/>
        </w:rPr>
        <w:t>the pertinent governing requirements or guidance documents for the plant</w:t>
      </w:r>
      <w:r w:rsidRPr="00344357">
        <w:rPr>
          <w:rFonts w:ascii="Times New Roman" w:hAnsi="Times New Roman"/>
          <w:sz w:val="24"/>
          <w:szCs w:val="24"/>
        </w:rPr>
        <w:t xml:space="preserve">. Alternatively, a plant-specific or component-specific flaw tolerance evaluation, using specific geometry, stress information, material properties, and </w:t>
      </w:r>
      <w:r w:rsidR="00B77A14" w:rsidRPr="00344357">
        <w:rPr>
          <w:rFonts w:ascii="Times New Roman" w:hAnsi="Times New Roman"/>
          <w:sz w:val="24"/>
          <w:szCs w:val="24"/>
        </w:rPr>
        <w:t>provisions of the pertinent governing requirements or guidance documents for the plant,</w:t>
      </w:r>
      <w:r w:rsidR="00B77A14" w:rsidRPr="00344357" w:rsidDel="00B77A14">
        <w:rPr>
          <w:rFonts w:ascii="Times New Roman" w:hAnsi="Times New Roman"/>
          <w:sz w:val="24"/>
          <w:szCs w:val="24"/>
        </w:rPr>
        <w:t xml:space="preserve"> </w:t>
      </w:r>
      <w:r w:rsidR="00DD0EB2" w:rsidRPr="00344357">
        <w:rPr>
          <w:rFonts w:ascii="Times New Roman" w:hAnsi="Times New Roman"/>
          <w:sz w:val="24"/>
          <w:szCs w:val="24"/>
        </w:rPr>
        <w:t>is</w:t>
      </w:r>
      <w:r w:rsidRPr="00344357">
        <w:rPr>
          <w:rFonts w:ascii="Times New Roman" w:hAnsi="Times New Roman"/>
          <w:sz w:val="24"/>
          <w:szCs w:val="24"/>
        </w:rPr>
        <w:t xml:space="preserve"> used to demonstrate that the thermally-embrittled material has adequate toughness. </w:t>
      </w:r>
      <w:r w:rsidR="003029FE" w:rsidRPr="00344357">
        <w:rPr>
          <w:rFonts w:ascii="Times New Roman" w:hAnsi="Times New Roman"/>
          <w:sz w:val="24"/>
          <w:szCs w:val="24"/>
        </w:rPr>
        <w:t>For</w:t>
      </w:r>
      <w:r w:rsidR="003029FE" w:rsidRPr="00344357">
        <w:rPr>
          <w:rFonts w:ascii="Times New Roman" w:hAnsi="Times New Roman"/>
          <w:spacing w:val="-8"/>
          <w:sz w:val="24"/>
          <w:szCs w:val="24"/>
        </w:rPr>
        <w:t xml:space="preserve"> </w:t>
      </w:r>
      <w:r w:rsidR="003029FE" w:rsidRPr="00344357">
        <w:rPr>
          <w:rFonts w:ascii="Times New Roman" w:hAnsi="Times New Roman"/>
          <w:sz w:val="24"/>
          <w:szCs w:val="24"/>
        </w:rPr>
        <w:t>CASS</w:t>
      </w:r>
      <w:r w:rsidR="003029FE" w:rsidRPr="00344357" w:rsidDel="003029FE">
        <w:rPr>
          <w:rFonts w:ascii="Times New Roman" w:hAnsi="Times New Roman"/>
          <w:sz w:val="24"/>
          <w:szCs w:val="24"/>
        </w:rPr>
        <w:t xml:space="preserve"> </w:t>
      </w:r>
      <w:r w:rsidR="007A11CA" w:rsidRPr="00344357">
        <w:rPr>
          <w:rFonts w:ascii="Times New Roman" w:hAnsi="Times New Roman"/>
          <w:sz w:val="24"/>
          <w:szCs w:val="24"/>
        </w:rPr>
        <w:t>piping,</w:t>
      </w:r>
      <w:r w:rsidR="007A11CA" w:rsidRPr="00344357">
        <w:rPr>
          <w:rFonts w:ascii="Times New Roman" w:hAnsi="Times New Roman"/>
          <w:spacing w:val="-7"/>
          <w:sz w:val="24"/>
          <w:szCs w:val="24"/>
        </w:rPr>
        <w:t xml:space="preserve"> </w:t>
      </w:r>
      <w:r w:rsidR="007A11CA" w:rsidRPr="00344357">
        <w:rPr>
          <w:rFonts w:ascii="Times New Roman" w:hAnsi="Times New Roman"/>
          <w:sz w:val="24"/>
          <w:szCs w:val="24"/>
        </w:rPr>
        <w:t>UT</w:t>
      </w:r>
      <w:r w:rsidR="007A11CA" w:rsidRPr="00344357">
        <w:rPr>
          <w:rFonts w:ascii="Times New Roman" w:hAnsi="Times New Roman"/>
          <w:spacing w:val="-5"/>
          <w:sz w:val="24"/>
          <w:szCs w:val="24"/>
        </w:rPr>
        <w:t xml:space="preserve"> </w:t>
      </w:r>
      <w:r w:rsidR="007A11CA" w:rsidRPr="00344357">
        <w:rPr>
          <w:rFonts w:ascii="Times New Roman" w:hAnsi="Times New Roman"/>
          <w:sz w:val="24"/>
          <w:szCs w:val="24"/>
        </w:rPr>
        <w:t>may</w:t>
      </w:r>
      <w:r w:rsidR="007A11CA" w:rsidRPr="00344357">
        <w:rPr>
          <w:rFonts w:ascii="Times New Roman" w:hAnsi="Times New Roman"/>
          <w:spacing w:val="-5"/>
          <w:sz w:val="24"/>
          <w:szCs w:val="24"/>
        </w:rPr>
        <w:t xml:space="preserve"> </w:t>
      </w:r>
      <w:r w:rsidR="007A11CA" w:rsidRPr="00344357">
        <w:rPr>
          <w:rFonts w:ascii="Times New Roman" w:hAnsi="Times New Roman"/>
          <w:sz w:val="24"/>
          <w:szCs w:val="24"/>
        </w:rPr>
        <w:t>be</w:t>
      </w:r>
      <w:r w:rsidR="007A11CA" w:rsidRPr="00344357">
        <w:rPr>
          <w:rFonts w:ascii="Times New Roman" w:hAnsi="Times New Roman"/>
          <w:spacing w:val="-5"/>
          <w:sz w:val="24"/>
          <w:szCs w:val="24"/>
        </w:rPr>
        <w:t xml:space="preserve"> </w:t>
      </w:r>
      <w:r w:rsidR="007A11CA" w:rsidRPr="00344357">
        <w:rPr>
          <w:rFonts w:ascii="Times New Roman" w:hAnsi="Times New Roman"/>
          <w:sz w:val="24"/>
          <w:szCs w:val="24"/>
        </w:rPr>
        <w:t>performed</w:t>
      </w:r>
      <w:r w:rsidR="007A11CA" w:rsidRPr="00344357">
        <w:rPr>
          <w:rFonts w:ascii="Times New Roman" w:hAnsi="Times New Roman"/>
          <w:spacing w:val="-5"/>
          <w:sz w:val="24"/>
          <w:szCs w:val="24"/>
        </w:rPr>
        <w:t xml:space="preserve"> </w:t>
      </w:r>
      <w:r w:rsidR="007A11CA" w:rsidRPr="00344357">
        <w:rPr>
          <w:rFonts w:ascii="Times New Roman" w:hAnsi="Times New Roman"/>
          <w:sz w:val="24"/>
          <w:szCs w:val="24"/>
        </w:rPr>
        <w:t>in</w:t>
      </w:r>
      <w:r w:rsidR="007A11CA" w:rsidRPr="00344357">
        <w:rPr>
          <w:rFonts w:ascii="Times New Roman" w:hAnsi="Times New Roman"/>
          <w:spacing w:val="-5"/>
          <w:sz w:val="24"/>
          <w:szCs w:val="24"/>
        </w:rPr>
        <w:t xml:space="preserve"> </w:t>
      </w:r>
      <w:r w:rsidR="007A11CA" w:rsidRPr="00344357">
        <w:rPr>
          <w:rFonts w:ascii="Times New Roman" w:hAnsi="Times New Roman"/>
          <w:sz w:val="24"/>
          <w:szCs w:val="24"/>
        </w:rPr>
        <w:t>accordance</w:t>
      </w:r>
      <w:r w:rsidR="007A11CA" w:rsidRPr="00344357">
        <w:rPr>
          <w:rFonts w:ascii="Times New Roman" w:hAnsi="Times New Roman"/>
          <w:spacing w:val="-6"/>
          <w:sz w:val="24"/>
          <w:szCs w:val="24"/>
        </w:rPr>
        <w:t xml:space="preserve"> </w:t>
      </w:r>
      <w:r w:rsidR="007A11CA" w:rsidRPr="00344357">
        <w:rPr>
          <w:rFonts w:ascii="Times New Roman" w:hAnsi="Times New Roman"/>
          <w:sz w:val="24"/>
          <w:szCs w:val="24"/>
        </w:rPr>
        <w:t>with</w:t>
      </w:r>
      <w:r w:rsidR="007A11CA" w:rsidRPr="00344357">
        <w:rPr>
          <w:rFonts w:ascii="Times New Roman" w:hAnsi="Times New Roman"/>
          <w:spacing w:val="-5"/>
          <w:sz w:val="24"/>
          <w:szCs w:val="24"/>
        </w:rPr>
        <w:t xml:space="preserve"> </w:t>
      </w:r>
      <w:r w:rsidR="007A11CA" w:rsidRPr="00344357">
        <w:rPr>
          <w:rFonts w:ascii="Times New Roman" w:hAnsi="Times New Roman"/>
          <w:sz w:val="24"/>
          <w:szCs w:val="24"/>
        </w:rPr>
        <w:t>a qualified methodology that meets the criteria of the pertinent governing requirements</w:t>
      </w:r>
      <w:r w:rsidR="00AC3155" w:rsidRPr="00344357">
        <w:rPr>
          <w:rFonts w:ascii="Times New Roman" w:hAnsi="Times New Roman"/>
          <w:sz w:val="24"/>
          <w:szCs w:val="24"/>
        </w:rPr>
        <w:t>, such as the</w:t>
      </w:r>
      <w:r w:rsidR="00AC3155" w:rsidRPr="00344357" w:rsidDel="003029FE">
        <w:rPr>
          <w:rFonts w:ascii="Times New Roman" w:hAnsi="Times New Roman"/>
          <w:sz w:val="24"/>
          <w:szCs w:val="24"/>
        </w:rPr>
        <w:t xml:space="preserve"> </w:t>
      </w:r>
      <w:r w:rsidR="00AC3155" w:rsidRPr="00344357">
        <w:rPr>
          <w:rFonts w:ascii="Times New Roman" w:hAnsi="Times New Roman"/>
          <w:sz w:val="24"/>
          <w:szCs w:val="24"/>
        </w:rPr>
        <w:t>methodology</w:t>
      </w:r>
      <w:r w:rsidR="00AC3155" w:rsidRPr="00344357">
        <w:rPr>
          <w:rFonts w:ascii="Times New Roman" w:hAnsi="Times New Roman"/>
          <w:spacing w:val="-6"/>
          <w:sz w:val="24"/>
          <w:szCs w:val="24"/>
        </w:rPr>
        <w:t xml:space="preserve"> </w:t>
      </w:r>
      <w:r w:rsidR="00AC3155" w:rsidRPr="00344357">
        <w:rPr>
          <w:rFonts w:ascii="Times New Roman" w:hAnsi="Times New Roman"/>
          <w:sz w:val="24"/>
          <w:szCs w:val="24"/>
        </w:rPr>
        <w:t>of</w:t>
      </w:r>
      <w:r w:rsidR="00AC3155" w:rsidRPr="00344357">
        <w:rPr>
          <w:rFonts w:ascii="Times New Roman" w:hAnsi="Times New Roman"/>
          <w:spacing w:val="-5"/>
          <w:sz w:val="24"/>
          <w:szCs w:val="24"/>
        </w:rPr>
        <w:t xml:space="preserve"> </w:t>
      </w:r>
      <w:r w:rsidR="00AC3155" w:rsidRPr="00344357">
        <w:rPr>
          <w:rFonts w:ascii="Times New Roman" w:hAnsi="Times New Roman"/>
          <w:sz w:val="24"/>
          <w:szCs w:val="24"/>
        </w:rPr>
        <w:t>Code</w:t>
      </w:r>
      <w:r w:rsidR="00AC3155" w:rsidRPr="00344357">
        <w:rPr>
          <w:rFonts w:ascii="Times New Roman" w:hAnsi="Times New Roman"/>
          <w:spacing w:val="-5"/>
          <w:sz w:val="24"/>
          <w:szCs w:val="24"/>
        </w:rPr>
        <w:t xml:space="preserve"> </w:t>
      </w:r>
      <w:r w:rsidR="00AC3155" w:rsidRPr="00344357">
        <w:rPr>
          <w:rFonts w:ascii="Times New Roman" w:hAnsi="Times New Roman"/>
          <w:sz w:val="24"/>
          <w:szCs w:val="24"/>
        </w:rPr>
        <w:t>Case</w:t>
      </w:r>
      <w:r w:rsidR="00AC3155" w:rsidRPr="00344357">
        <w:rPr>
          <w:rFonts w:ascii="Times New Roman" w:hAnsi="Times New Roman"/>
          <w:spacing w:val="-6"/>
          <w:sz w:val="24"/>
          <w:szCs w:val="24"/>
        </w:rPr>
        <w:t xml:space="preserve"> </w:t>
      </w:r>
      <w:r w:rsidR="00AC3155" w:rsidRPr="00344357">
        <w:rPr>
          <w:rFonts w:ascii="Times New Roman" w:hAnsi="Times New Roman"/>
          <w:sz w:val="24"/>
          <w:szCs w:val="24"/>
        </w:rPr>
        <w:t>N-824</w:t>
      </w:r>
      <w:r w:rsidR="004B46F6" w:rsidRPr="00344357">
        <w:rPr>
          <w:rFonts w:ascii="Times New Roman" w:hAnsi="Times New Roman"/>
          <w:sz w:val="24"/>
          <w:szCs w:val="24"/>
        </w:rPr>
        <w:t xml:space="preserve"> [</w:t>
      </w:r>
      <w:r w:rsidR="00BE1669" w:rsidRPr="00344357">
        <w:rPr>
          <w:rFonts w:ascii="Times New Roman" w:hAnsi="Times New Roman"/>
          <w:sz w:val="24"/>
          <w:szCs w:val="24"/>
        </w:rPr>
        <w:t>6</w:t>
      </w:r>
      <w:r w:rsidR="00AC3155" w:rsidRPr="00344357">
        <w:rPr>
          <w:rFonts w:ascii="Times New Roman" w:hAnsi="Times New Roman"/>
          <w:sz w:val="24"/>
          <w:szCs w:val="24"/>
        </w:rPr>
        <w:t>], as conditioned by 10 CFR 50.55a in the United States</w:t>
      </w:r>
      <w:r w:rsidR="007A11CA" w:rsidRPr="00344357">
        <w:rPr>
          <w:rFonts w:ascii="Times New Roman" w:hAnsi="Times New Roman"/>
          <w:sz w:val="24"/>
          <w:szCs w:val="24"/>
        </w:rPr>
        <w:t>.</w:t>
      </w:r>
      <w:r w:rsidR="007A11CA" w:rsidRPr="00344357">
        <w:rPr>
          <w:rFonts w:ascii="Times New Roman" w:hAnsi="Times New Roman"/>
          <w:spacing w:val="51"/>
          <w:sz w:val="24"/>
          <w:szCs w:val="24"/>
        </w:rPr>
        <w:t xml:space="preserve"> </w:t>
      </w:r>
      <w:r w:rsidRPr="00344357">
        <w:rPr>
          <w:rFonts w:ascii="Times New Roman" w:hAnsi="Times New Roman"/>
          <w:sz w:val="24"/>
          <w:szCs w:val="24"/>
        </w:rPr>
        <w:t>A description of EVT-1 is found in Boiling Water Reactor Vessel and Internals Project (BWRVIP)-03 and Materials Reliability Program (MRP)-228</w:t>
      </w:r>
      <w:r w:rsidR="00C7019F" w:rsidRPr="00344357">
        <w:rPr>
          <w:rFonts w:ascii="Times New Roman" w:hAnsi="Times New Roman"/>
          <w:sz w:val="24"/>
          <w:szCs w:val="24"/>
        </w:rPr>
        <w:t xml:space="preserve"> </w:t>
      </w:r>
      <w:r w:rsidRPr="00344357">
        <w:rPr>
          <w:rFonts w:ascii="Times New Roman" w:hAnsi="Times New Roman"/>
          <w:sz w:val="24"/>
          <w:szCs w:val="24"/>
        </w:rPr>
        <w:t>for PWRs</w:t>
      </w:r>
      <w:r w:rsidR="0056603A" w:rsidRPr="00344357">
        <w:rPr>
          <w:rFonts w:ascii="Times New Roman" w:hAnsi="Times New Roman"/>
          <w:sz w:val="24"/>
          <w:szCs w:val="24"/>
        </w:rPr>
        <w:t xml:space="preserve"> </w:t>
      </w:r>
      <w:r w:rsidR="008632E1" w:rsidRPr="00344357">
        <w:rPr>
          <w:rFonts w:ascii="Times New Roman" w:hAnsi="Times New Roman"/>
          <w:sz w:val="24"/>
          <w:szCs w:val="24"/>
        </w:rPr>
        <w:t>[</w:t>
      </w:r>
      <w:r w:rsidR="00BE1669" w:rsidRPr="00344357">
        <w:rPr>
          <w:rFonts w:ascii="Times New Roman" w:hAnsi="Times New Roman"/>
          <w:sz w:val="24"/>
          <w:szCs w:val="24"/>
        </w:rPr>
        <w:t>5</w:t>
      </w:r>
      <w:r w:rsidR="00801B81" w:rsidRPr="00344357">
        <w:rPr>
          <w:rFonts w:ascii="Times New Roman" w:hAnsi="Times New Roman"/>
          <w:sz w:val="24"/>
          <w:szCs w:val="24"/>
        </w:rPr>
        <w:t>, 7</w:t>
      </w:r>
      <w:r w:rsidR="008632E1" w:rsidRPr="00344357">
        <w:rPr>
          <w:rFonts w:ascii="Times New Roman" w:hAnsi="Times New Roman"/>
          <w:sz w:val="24"/>
          <w:szCs w:val="24"/>
        </w:rPr>
        <w:t>].</w:t>
      </w:r>
      <w:r w:rsidRPr="00344357">
        <w:rPr>
          <w:rFonts w:ascii="Times New Roman" w:hAnsi="Times New Roman"/>
          <w:sz w:val="24"/>
          <w:szCs w:val="24"/>
        </w:rPr>
        <w:t xml:space="preserve"> </w:t>
      </w:r>
    </w:p>
    <w:p w14:paraId="5C669D53" w14:textId="77777777" w:rsidR="00544135" w:rsidRPr="00344357" w:rsidRDefault="00544135" w:rsidP="00344357">
      <w:pPr>
        <w:pStyle w:val="Body"/>
        <w:ind w:left="360"/>
        <w:jc w:val="both"/>
        <w:rPr>
          <w:rFonts w:ascii="Times New Roman" w:hAnsi="Times New Roman"/>
          <w:sz w:val="24"/>
          <w:szCs w:val="24"/>
        </w:rPr>
      </w:pPr>
    </w:p>
    <w:p w14:paraId="67AE5204" w14:textId="77777777" w:rsidR="00D71D4A" w:rsidRPr="00344357" w:rsidRDefault="00B77A14"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Monitoring and trending of ageing effects</w:t>
      </w:r>
      <w:r w:rsidR="00F90ECA" w:rsidRPr="00344357">
        <w:rPr>
          <w:rFonts w:ascii="Times New Roman" w:hAnsi="Times New Roman"/>
          <w:b/>
          <w:i/>
          <w:sz w:val="24"/>
          <w:szCs w:val="24"/>
        </w:rPr>
        <w:t xml:space="preserve">: </w:t>
      </w:r>
    </w:p>
    <w:p w14:paraId="258D4DA1" w14:textId="77777777" w:rsidR="00F90ECA" w:rsidRPr="00344357" w:rsidRDefault="00AC1A26" w:rsidP="00344357">
      <w:pPr>
        <w:pStyle w:val="Body"/>
        <w:jc w:val="both"/>
        <w:rPr>
          <w:rFonts w:ascii="Times New Roman" w:hAnsi="Times New Roman"/>
          <w:sz w:val="24"/>
          <w:szCs w:val="24"/>
        </w:rPr>
      </w:pPr>
      <w:r w:rsidRPr="00344357">
        <w:rPr>
          <w:rFonts w:ascii="Times New Roman" w:hAnsi="Times New Roman"/>
          <w:sz w:val="24"/>
          <w:szCs w:val="24"/>
        </w:rPr>
        <w:t>T</w:t>
      </w:r>
      <w:r w:rsidR="00B77A14" w:rsidRPr="00344357">
        <w:rPr>
          <w:rFonts w:ascii="Times New Roman" w:hAnsi="Times New Roman"/>
          <w:sz w:val="24"/>
          <w:szCs w:val="24"/>
        </w:rPr>
        <w:t xml:space="preserve">imely and reliable detection of cracks </w:t>
      </w:r>
      <w:r w:rsidRPr="00344357">
        <w:rPr>
          <w:rFonts w:ascii="Times New Roman" w:hAnsi="Times New Roman"/>
          <w:sz w:val="24"/>
          <w:szCs w:val="24"/>
        </w:rPr>
        <w:t>is provided by implementation of i</w:t>
      </w:r>
      <w:r w:rsidR="00F90ECA" w:rsidRPr="00344357">
        <w:rPr>
          <w:rFonts w:ascii="Times New Roman" w:hAnsi="Times New Roman"/>
          <w:sz w:val="24"/>
          <w:szCs w:val="24"/>
        </w:rPr>
        <w:t xml:space="preserve">nspection schedules in accordance with </w:t>
      </w:r>
      <w:r w:rsidR="00B77A14" w:rsidRPr="00344357">
        <w:rPr>
          <w:rFonts w:ascii="Times New Roman" w:hAnsi="Times New Roman"/>
          <w:sz w:val="24"/>
          <w:szCs w:val="24"/>
        </w:rPr>
        <w:t>the pertinent governing requirements or guidance documents for the plant</w:t>
      </w:r>
      <w:r w:rsidR="00F90ECA" w:rsidRPr="00344357">
        <w:rPr>
          <w:rFonts w:ascii="Times New Roman" w:hAnsi="Times New Roman"/>
          <w:sz w:val="24"/>
          <w:szCs w:val="24"/>
        </w:rPr>
        <w:t xml:space="preserve">, reliable examination methods, and qualified inspection personnel. If flaws are detected, the period of acceptability is determined from analysis of the flaw, depending on the crack growth rate and mechanism. </w:t>
      </w:r>
    </w:p>
    <w:p w14:paraId="38E7DBBA" w14:textId="77777777" w:rsidR="00F90ECA" w:rsidRPr="00344357" w:rsidRDefault="00C07DE3" w:rsidP="00344357">
      <w:pPr>
        <w:pStyle w:val="Body"/>
        <w:jc w:val="both"/>
        <w:rPr>
          <w:rFonts w:ascii="Times New Roman" w:hAnsi="Times New Roman"/>
          <w:sz w:val="24"/>
          <w:szCs w:val="24"/>
        </w:rPr>
      </w:pPr>
      <w:r w:rsidRPr="00344357">
        <w:rPr>
          <w:rFonts w:ascii="Times New Roman" w:hAnsi="Times New Roman"/>
          <w:sz w:val="24"/>
          <w:szCs w:val="24"/>
        </w:rPr>
        <w:t xml:space="preserve">In France, </w:t>
      </w:r>
      <w:r w:rsidR="00DD0EB2" w:rsidRPr="00344357">
        <w:rPr>
          <w:rFonts w:ascii="Times New Roman" w:hAnsi="Times New Roman"/>
          <w:sz w:val="24"/>
          <w:szCs w:val="24"/>
        </w:rPr>
        <w:t xml:space="preserve">a large testing programme is </w:t>
      </w:r>
      <w:r w:rsidR="00403346" w:rsidRPr="00344357">
        <w:rPr>
          <w:rFonts w:ascii="Times New Roman" w:hAnsi="Times New Roman"/>
          <w:sz w:val="24"/>
          <w:szCs w:val="24"/>
        </w:rPr>
        <w:t xml:space="preserve">still </w:t>
      </w:r>
      <w:r w:rsidR="00DD0EB2" w:rsidRPr="00344357">
        <w:rPr>
          <w:rFonts w:ascii="Times New Roman" w:hAnsi="Times New Roman"/>
          <w:sz w:val="24"/>
          <w:szCs w:val="24"/>
        </w:rPr>
        <w:t>performed on material samples from components in operation, from replaced components and on representative cast ingots</w:t>
      </w:r>
      <w:r w:rsidR="00B23E05" w:rsidRPr="00344357">
        <w:rPr>
          <w:rFonts w:ascii="Times New Roman" w:hAnsi="Times New Roman"/>
          <w:sz w:val="24"/>
          <w:szCs w:val="24"/>
        </w:rPr>
        <w:t xml:space="preserve"> (see </w:t>
      </w:r>
      <w:r w:rsidR="00A94121" w:rsidRPr="00344357">
        <w:rPr>
          <w:rFonts w:ascii="Times New Roman" w:hAnsi="Times New Roman"/>
          <w:sz w:val="24"/>
          <w:szCs w:val="24"/>
        </w:rPr>
        <w:t>attribute</w:t>
      </w:r>
      <w:r w:rsidR="00B23E05" w:rsidRPr="00344357">
        <w:rPr>
          <w:rFonts w:ascii="Times New Roman" w:hAnsi="Times New Roman"/>
          <w:sz w:val="24"/>
          <w:szCs w:val="24"/>
        </w:rPr>
        <w:t xml:space="preserve"> </w:t>
      </w:r>
      <w:r w:rsidR="00AD30E6" w:rsidRPr="00344357">
        <w:rPr>
          <w:rFonts w:ascii="Times New Roman" w:hAnsi="Times New Roman"/>
          <w:sz w:val="24"/>
          <w:szCs w:val="24"/>
        </w:rPr>
        <w:t>8)</w:t>
      </w:r>
      <w:r w:rsidR="007211DB" w:rsidRPr="00344357">
        <w:rPr>
          <w:rFonts w:ascii="Times New Roman" w:hAnsi="Times New Roman"/>
          <w:sz w:val="24"/>
          <w:szCs w:val="24"/>
        </w:rPr>
        <w:t>. A</w:t>
      </w:r>
      <w:r w:rsidR="003C667B" w:rsidRPr="00344357">
        <w:rPr>
          <w:rFonts w:ascii="Times New Roman" w:hAnsi="Times New Roman"/>
          <w:sz w:val="24"/>
          <w:szCs w:val="24"/>
        </w:rPr>
        <w:t>ll those materials can be</w:t>
      </w:r>
      <w:r w:rsidR="00DD0EB2" w:rsidRPr="00344357" w:rsidDel="00DD0EB2">
        <w:rPr>
          <w:rFonts w:ascii="Times New Roman" w:hAnsi="Times New Roman"/>
          <w:sz w:val="24"/>
          <w:szCs w:val="24"/>
        </w:rPr>
        <w:t xml:space="preserve"> </w:t>
      </w:r>
      <w:r w:rsidR="00B17429" w:rsidRPr="00344357">
        <w:rPr>
          <w:rFonts w:ascii="Times New Roman" w:hAnsi="Times New Roman"/>
          <w:sz w:val="24"/>
          <w:szCs w:val="24"/>
        </w:rPr>
        <w:t>thermally aged in laboratory furnaces at 300</w:t>
      </w:r>
      <w:r w:rsidR="00A94121" w:rsidRPr="00344357">
        <w:rPr>
          <w:rFonts w:ascii="Times New Roman" w:hAnsi="Times New Roman"/>
          <w:sz w:val="24"/>
          <w:szCs w:val="24"/>
        </w:rPr>
        <w:t xml:space="preserve"> </w:t>
      </w:r>
      <w:r w:rsidR="00B17429" w:rsidRPr="00344357">
        <w:rPr>
          <w:rFonts w:ascii="Times New Roman" w:hAnsi="Times New Roman"/>
          <w:sz w:val="24"/>
          <w:szCs w:val="24"/>
        </w:rPr>
        <w:t>°C, 325</w:t>
      </w:r>
      <w:r w:rsidR="00FE74AB" w:rsidRPr="00344357">
        <w:rPr>
          <w:rFonts w:ascii="Times New Roman" w:hAnsi="Times New Roman"/>
          <w:sz w:val="24"/>
          <w:szCs w:val="24"/>
        </w:rPr>
        <w:t> </w:t>
      </w:r>
      <w:r w:rsidR="00B17429" w:rsidRPr="00344357">
        <w:rPr>
          <w:rFonts w:ascii="Times New Roman" w:hAnsi="Times New Roman"/>
          <w:sz w:val="24"/>
          <w:szCs w:val="24"/>
        </w:rPr>
        <w:t>°C, and 350</w:t>
      </w:r>
      <w:r w:rsidR="00FE74AB" w:rsidRPr="00344357">
        <w:rPr>
          <w:rFonts w:ascii="Times New Roman" w:hAnsi="Times New Roman"/>
          <w:sz w:val="24"/>
          <w:szCs w:val="24"/>
        </w:rPr>
        <w:t xml:space="preserve"> </w:t>
      </w:r>
      <w:r w:rsidR="00B17429" w:rsidRPr="00344357">
        <w:rPr>
          <w:rFonts w:ascii="Times New Roman" w:hAnsi="Times New Roman"/>
          <w:sz w:val="24"/>
          <w:szCs w:val="24"/>
        </w:rPr>
        <w:t>°C for holding time of up to 200,</w:t>
      </w:r>
      <w:r w:rsidR="00D2037E" w:rsidRPr="00344357">
        <w:rPr>
          <w:rFonts w:ascii="Times New Roman" w:hAnsi="Times New Roman"/>
          <w:sz w:val="24"/>
          <w:szCs w:val="24"/>
        </w:rPr>
        <w:t>000 hours.</w:t>
      </w:r>
      <w:r w:rsidR="00B17429" w:rsidRPr="00344357">
        <w:rPr>
          <w:rFonts w:ascii="Times New Roman" w:hAnsi="Times New Roman"/>
          <w:sz w:val="24"/>
          <w:szCs w:val="24"/>
        </w:rPr>
        <w:t xml:space="preserve"> </w:t>
      </w:r>
      <w:r w:rsidR="003F1586" w:rsidRPr="00344357">
        <w:rPr>
          <w:rFonts w:ascii="Times New Roman" w:hAnsi="Times New Roman"/>
          <w:sz w:val="24"/>
          <w:szCs w:val="24"/>
        </w:rPr>
        <w:t xml:space="preserve">These </w:t>
      </w:r>
      <w:r w:rsidR="007211DB" w:rsidRPr="00344357">
        <w:rPr>
          <w:rFonts w:ascii="Times New Roman" w:hAnsi="Times New Roman"/>
          <w:sz w:val="24"/>
          <w:szCs w:val="24"/>
        </w:rPr>
        <w:t xml:space="preserve">results </w:t>
      </w:r>
      <w:r w:rsidR="003F1586" w:rsidRPr="00344357">
        <w:rPr>
          <w:rFonts w:ascii="Times New Roman" w:hAnsi="Times New Roman"/>
          <w:sz w:val="24"/>
          <w:szCs w:val="24"/>
        </w:rPr>
        <w:t xml:space="preserve">provide information </w:t>
      </w:r>
      <w:r w:rsidR="00795C1C" w:rsidRPr="00344357">
        <w:rPr>
          <w:rFonts w:ascii="Times New Roman" w:hAnsi="Times New Roman"/>
          <w:sz w:val="24"/>
          <w:szCs w:val="24"/>
        </w:rPr>
        <w:t>use</w:t>
      </w:r>
      <w:r w:rsidR="003C667B" w:rsidRPr="00344357">
        <w:rPr>
          <w:rFonts w:ascii="Times New Roman" w:hAnsi="Times New Roman"/>
          <w:sz w:val="24"/>
          <w:szCs w:val="24"/>
        </w:rPr>
        <w:t>s</w:t>
      </w:r>
      <w:r w:rsidR="00795C1C" w:rsidRPr="00344357">
        <w:rPr>
          <w:rFonts w:ascii="Times New Roman" w:hAnsi="Times New Roman"/>
          <w:sz w:val="24"/>
          <w:szCs w:val="24"/>
        </w:rPr>
        <w:t xml:space="preserve"> in the </w:t>
      </w:r>
      <w:r w:rsidR="007211DB" w:rsidRPr="00344357">
        <w:rPr>
          <w:rFonts w:ascii="Times New Roman" w:hAnsi="Times New Roman"/>
          <w:sz w:val="24"/>
          <w:szCs w:val="24"/>
        </w:rPr>
        <w:t>develo</w:t>
      </w:r>
      <w:r w:rsidR="00403346" w:rsidRPr="00344357">
        <w:rPr>
          <w:rFonts w:ascii="Times New Roman" w:hAnsi="Times New Roman"/>
          <w:sz w:val="24"/>
          <w:szCs w:val="24"/>
        </w:rPr>
        <w:t xml:space="preserve">pment of the estimation </w:t>
      </w:r>
      <w:r w:rsidR="00F53A14" w:rsidRPr="00344357">
        <w:rPr>
          <w:rFonts w:ascii="Times New Roman" w:hAnsi="Times New Roman"/>
          <w:sz w:val="24"/>
          <w:szCs w:val="24"/>
        </w:rPr>
        <w:t>formulas</w:t>
      </w:r>
      <w:r w:rsidR="00B23E05" w:rsidRPr="00344357">
        <w:rPr>
          <w:rFonts w:ascii="Times New Roman" w:hAnsi="Times New Roman"/>
          <w:sz w:val="24"/>
          <w:szCs w:val="24"/>
        </w:rPr>
        <w:t xml:space="preserve"> discussed in paragraph 8</w:t>
      </w:r>
      <w:r w:rsidR="00403346" w:rsidRPr="00344357">
        <w:rPr>
          <w:rFonts w:ascii="Times New Roman" w:hAnsi="Times New Roman"/>
          <w:sz w:val="24"/>
          <w:szCs w:val="24"/>
        </w:rPr>
        <w:t>.</w:t>
      </w:r>
      <w:r w:rsidR="007211DB" w:rsidRPr="00344357">
        <w:rPr>
          <w:rFonts w:ascii="Times New Roman" w:hAnsi="Times New Roman"/>
          <w:sz w:val="24"/>
          <w:szCs w:val="24"/>
        </w:rPr>
        <w:t xml:space="preserve"> </w:t>
      </w:r>
      <w:r w:rsidR="0056603A" w:rsidRPr="00344357">
        <w:rPr>
          <w:rFonts w:ascii="Times New Roman" w:hAnsi="Times New Roman"/>
          <w:sz w:val="24"/>
          <w:szCs w:val="24"/>
        </w:rPr>
        <w:t>Monitoring</w:t>
      </w:r>
      <w:r w:rsidR="00F90ECA" w:rsidRPr="00344357">
        <w:rPr>
          <w:rFonts w:ascii="Times New Roman" w:hAnsi="Times New Roman"/>
          <w:sz w:val="24"/>
          <w:szCs w:val="24"/>
        </w:rPr>
        <w:t xml:space="preserve"> </w:t>
      </w:r>
      <w:r w:rsidR="004A5757" w:rsidRPr="00344357">
        <w:rPr>
          <w:rFonts w:ascii="Times New Roman" w:hAnsi="Times New Roman"/>
          <w:sz w:val="24"/>
          <w:szCs w:val="24"/>
        </w:rPr>
        <w:t>techniques</w:t>
      </w:r>
      <w:r w:rsidR="00405991" w:rsidRPr="00344357">
        <w:rPr>
          <w:rFonts w:ascii="Times New Roman" w:hAnsi="Times New Roman"/>
          <w:sz w:val="24"/>
          <w:szCs w:val="24"/>
        </w:rPr>
        <w:t>,</w:t>
      </w:r>
      <w:r w:rsidR="004A5757" w:rsidRPr="00344357">
        <w:rPr>
          <w:rFonts w:ascii="Times New Roman" w:hAnsi="Times New Roman"/>
          <w:sz w:val="24"/>
          <w:szCs w:val="24"/>
        </w:rPr>
        <w:t xml:space="preserve"> </w:t>
      </w:r>
      <w:r w:rsidR="0056603A" w:rsidRPr="00344357">
        <w:rPr>
          <w:rFonts w:ascii="Times New Roman" w:hAnsi="Times New Roman"/>
          <w:sz w:val="24"/>
          <w:szCs w:val="24"/>
        </w:rPr>
        <w:t>such as Thermo electric Power (TEP) or Small Angle Neutron Scattering (SA</w:t>
      </w:r>
      <w:r w:rsidR="003D776C" w:rsidRPr="00344357">
        <w:rPr>
          <w:rFonts w:ascii="Times New Roman" w:hAnsi="Times New Roman"/>
          <w:sz w:val="24"/>
          <w:szCs w:val="24"/>
        </w:rPr>
        <w:t>N</w:t>
      </w:r>
      <w:r w:rsidR="0056603A" w:rsidRPr="00344357">
        <w:rPr>
          <w:rFonts w:ascii="Times New Roman" w:hAnsi="Times New Roman"/>
          <w:sz w:val="24"/>
          <w:szCs w:val="24"/>
        </w:rPr>
        <w:t>S)</w:t>
      </w:r>
      <w:r w:rsidR="002C7281" w:rsidRPr="00344357">
        <w:rPr>
          <w:rFonts w:ascii="Times New Roman" w:hAnsi="Times New Roman"/>
          <w:sz w:val="24"/>
          <w:szCs w:val="24"/>
        </w:rPr>
        <w:t xml:space="preserve"> </w:t>
      </w:r>
      <w:r w:rsidR="0056603A" w:rsidRPr="00344357">
        <w:rPr>
          <w:rFonts w:ascii="Times New Roman" w:hAnsi="Times New Roman"/>
          <w:sz w:val="24"/>
          <w:szCs w:val="24"/>
        </w:rPr>
        <w:t>[</w:t>
      </w:r>
      <w:r w:rsidR="00801B81" w:rsidRPr="00344357">
        <w:rPr>
          <w:rFonts w:ascii="Times New Roman" w:hAnsi="Times New Roman"/>
          <w:sz w:val="24"/>
          <w:szCs w:val="24"/>
        </w:rPr>
        <w:t>8-10</w:t>
      </w:r>
      <w:r w:rsidR="0056603A" w:rsidRPr="00344357">
        <w:rPr>
          <w:rFonts w:ascii="Times New Roman" w:hAnsi="Times New Roman"/>
          <w:sz w:val="24"/>
          <w:szCs w:val="24"/>
        </w:rPr>
        <w:t>] measurements</w:t>
      </w:r>
      <w:r w:rsidR="00405991" w:rsidRPr="00344357">
        <w:rPr>
          <w:rFonts w:ascii="Times New Roman" w:hAnsi="Times New Roman"/>
          <w:sz w:val="24"/>
          <w:szCs w:val="24"/>
        </w:rPr>
        <w:t>,</w:t>
      </w:r>
      <w:r w:rsidR="0056603A" w:rsidRPr="00344357">
        <w:rPr>
          <w:rFonts w:ascii="Times New Roman" w:hAnsi="Times New Roman"/>
          <w:sz w:val="24"/>
          <w:szCs w:val="24"/>
        </w:rPr>
        <w:t xml:space="preserve"> </w:t>
      </w:r>
      <w:r w:rsidR="00F90ECA" w:rsidRPr="00344357">
        <w:rPr>
          <w:rFonts w:ascii="Times New Roman" w:hAnsi="Times New Roman"/>
          <w:sz w:val="24"/>
          <w:szCs w:val="24"/>
        </w:rPr>
        <w:t>ha</w:t>
      </w:r>
      <w:r w:rsidR="004A5757" w:rsidRPr="00344357">
        <w:rPr>
          <w:rFonts w:ascii="Times New Roman" w:hAnsi="Times New Roman"/>
          <w:sz w:val="24"/>
          <w:szCs w:val="24"/>
        </w:rPr>
        <w:t>ve</w:t>
      </w:r>
      <w:r w:rsidR="00F90ECA" w:rsidRPr="00344357">
        <w:rPr>
          <w:rFonts w:ascii="Times New Roman" w:hAnsi="Times New Roman"/>
          <w:sz w:val="24"/>
          <w:szCs w:val="24"/>
        </w:rPr>
        <w:t xml:space="preserve"> been developed and applied to susceptible components</w:t>
      </w:r>
      <w:r w:rsidR="00D2037E" w:rsidRPr="00344357">
        <w:rPr>
          <w:rFonts w:ascii="Times New Roman" w:hAnsi="Times New Roman"/>
          <w:sz w:val="24"/>
          <w:szCs w:val="24"/>
        </w:rPr>
        <w:t>.</w:t>
      </w:r>
      <w:r w:rsidR="00F90ECA" w:rsidRPr="00344357">
        <w:rPr>
          <w:rFonts w:ascii="Times New Roman" w:hAnsi="Times New Roman"/>
          <w:sz w:val="24"/>
          <w:szCs w:val="24"/>
        </w:rPr>
        <w:t xml:space="preserve"> </w:t>
      </w:r>
      <w:r w:rsidR="00D2037E" w:rsidRPr="00344357">
        <w:rPr>
          <w:rFonts w:ascii="Times New Roman" w:hAnsi="Times New Roman"/>
          <w:sz w:val="24"/>
          <w:szCs w:val="24"/>
        </w:rPr>
        <w:t>A</w:t>
      </w:r>
      <w:r w:rsidR="008632E1" w:rsidRPr="00344357">
        <w:rPr>
          <w:rFonts w:ascii="Times New Roman" w:hAnsi="Times New Roman"/>
          <w:sz w:val="24"/>
          <w:szCs w:val="24"/>
        </w:rPr>
        <w:t>ddition</w:t>
      </w:r>
      <w:r w:rsidR="00D2037E" w:rsidRPr="00344357">
        <w:rPr>
          <w:rFonts w:ascii="Times New Roman" w:hAnsi="Times New Roman"/>
          <w:sz w:val="24"/>
          <w:szCs w:val="24"/>
        </w:rPr>
        <w:t>ally</w:t>
      </w:r>
      <w:r w:rsidR="00836F7D" w:rsidRPr="00344357">
        <w:rPr>
          <w:rFonts w:ascii="Times New Roman" w:hAnsi="Times New Roman"/>
          <w:sz w:val="24"/>
          <w:szCs w:val="24"/>
        </w:rPr>
        <w:t>,</w:t>
      </w:r>
      <w:r w:rsidR="008632E1" w:rsidRPr="00344357">
        <w:rPr>
          <w:rFonts w:ascii="Times New Roman" w:hAnsi="Times New Roman"/>
          <w:sz w:val="24"/>
          <w:szCs w:val="24"/>
        </w:rPr>
        <w:t xml:space="preserve"> </w:t>
      </w:r>
      <w:r w:rsidR="004E4B52" w:rsidRPr="00344357">
        <w:rPr>
          <w:rFonts w:ascii="Times New Roman" w:hAnsi="Times New Roman"/>
          <w:sz w:val="24"/>
          <w:szCs w:val="24"/>
        </w:rPr>
        <w:t>direct toughness measurements have been made on specimen</w:t>
      </w:r>
      <w:r w:rsidR="00F90ECA" w:rsidRPr="00344357">
        <w:rPr>
          <w:rFonts w:ascii="Times New Roman" w:hAnsi="Times New Roman"/>
          <w:sz w:val="24"/>
          <w:szCs w:val="24"/>
        </w:rPr>
        <w:t xml:space="preserve"> removed </w:t>
      </w:r>
      <w:r w:rsidR="004E4B52" w:rsidRPr="00344357">
        <w:rPr>
          <w:rFonts w:ascii="Times New Roman" w:hAnsi="Times New Roman"/>
          <w:sz w:val="24"/>
          <w:szCs w:val="24"/>
        </w:rPr>
        <w:t xml:space="preserve">from </w:t>
      </w:r>
      <w:r w:rsidR="00E12233" w:rsidRPr="00344357">
        <w:rPr>
          <w:rFonts w:ascii="Times New Roman" w:hAnsi="Times New Roman"/>
          <w:sz w:val="24"/>
          <w:szCs w:val="24"/>
        </w:rPr>
        <w:t xml:space="preserve">leading </w:t>
      </w:r>
      <w:r w:rsidR="00F90ECA" w:rsidRPr="00344357">
        <w:rPr>
          <w:rFonts w:ascii="Times New Roman" w:hAnsi="Times New Roman"/>
          <w:sz w:val="24"/>
          <w:szCs w:val="24"/>
        </w:rPr>
        <w:t>components</w:t>
      </w:r>
      <w:r w:rsidR="00A15909" w:rsidRPr="00344357">
        <w:rPr>
          <w:rFonts w:ascii="Times New Roman" w:hAnsi="Times New Roman"/>
          <w:sz w:val="24"/>
          <w:szCs w:val="24"/>
        </w:rPr>
        <w:t xml:space="preserve"> [</w:t>
      </w:r>
      <w:r w:rsidR="007245CD" w:rsidRPr="00344357">
        <w:rPr>
          <w:rFonts w:ascii="Times New Roman" w:hAnsi="Times New Roman"/>
          <w:sz w:val="24"/>
          <w:szCs w:val="24"/>
        </w:rPr>
        <w:t>1</w:t>
      </w:r>
      <w:r w:rsidR="00BE1669" w:rsidRPr="00344357">
        <w:rPr>
          <w:rFonts w:ascii="Times New Roman" w:hAnsi="Times New Roman"/>
          <w:sz w:val="24"/>
          <w:szCs w:val="24"/>
        </w:rPr>
        <w:t>1</w:t>
      </w:r>
      <w:r w:rsidR="00801B81" w:rsidRPr="00344357">
        <w:rPr>
          <w:rFonts w:ascii="Times New Roman" w:hAnsi="Times New Roman"/>
          <w:sz w:val="24"/>
          <w:szCs w:val="24"/>
        </w:rPr>
        <w:t>, 1</w:t>
      </w:r>
      <w:r w:rsidR="00BE1669" w:rsidRPr="00344357">
        <w:rPr>
          <w:rFonts w:ascii="Times New Roman" w:hAnsi="Times New Roman"/>
          <w:sz w:val="24"/>
          <w:szCs w:val="24"/>
        </w:rPr>
        <w:t>2</w:t>
      </w:r>
      <w:r w:rsidR="00A15909" w:rsidRPr="00344357">
        <w:rPr>
          <w:rFonts w:ascii="Times New Roman" w:hAnsi="Times New Roman"/>
          <w:sz w:val="24"/>
          <w:szCs w:val="24"/>
        </w:rPr>
        <w:t>]</w:t>
      </w:r>
      <w:r w:rsidR="008632E1" w:rsidRPr="00344357">
        <w:rPr>
          <w:rFonts w:ascii="Times New Roman" w:hAnsi="Times New Roman"/>
          <w:sz w:val="24"/>
          <w:szCs w:val="24"/>
        </w:rPr>
        <w:t>.</w:t>
      </w:r>
      <w:r w:rsidR="00125A53" w:rsidRPr="00344357">
        <w:rPr>
          <w:rFonts w:ascii="Times New Roman" w:hAnsi="Times New Roman"/>
          <w:sz w:val="24"/>
          <w:szCs w:val="24"/>
        </w:rPr>
        <w:t xml:space="preserve"> Microhardness testing has also been used to assess the effects of thermal ag</w:t>
      </w:r>
      <w:r w:rsidR="00533858" w:rsidRPr="00344357">
        <w:rPr>
          <w:rFonts w:ascii="Times New Roman" w:hAnsi="Times New Roman"/>
          <w:sz w:val="24"/>
          <w:szCs w:val="24"/>
        </w:rPr>
        <w:t>e</w:t>
      </w:r>
      <w:r w:rsidR="00125A53" w:rsidRPr="00344357">
        <w:rPr>
          <w:rFonts w:ascii="Times New Roman" w:hAnsi="Times New Roman"/>
          <w:sz w:val="24"/>
          <w:szCs w:val="24"/>
        </w:rPr>
        <w:t xml:space="preserve">ing embrittlement.  </w:t>
      </w:r>
    </w:p>
    <w:p w14:paraId="31E537ED" w14:textId="77777777" w:rsidR="00544135" w:rsidRPr="00344357" w:rsidRDefault="00544135" w:rsidP="00344357">
      <w:pPr>
        <w:pStyle w:val="BodyNumbered"/>
        <w:rPr>
          <w:rFonts w:ascii="Times New Roman" w:hAnsi="Times New Roman"/>
          <w:sz w:val="24"/>
          <w:szCs w:val="24"/>
        </w:rPr>
      </w:pPr>
    </w:p>
    <w:p w14:paraId="419F5245" w14:textId="77777777" w:rsidR="00D71D4A" w:rsidRPr="00344357" w:rsidRDefault="00B77A14"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 xml:space="preserve">Mitigating ageing effects: </w:t>
      </w:r>
    </w:p>
    <w:p w14:paraId="1823EC5F" w14:textId="77777777" w:rsidR="00B77A14" w:rsidRPr="00344357" w:rsidRDefault="00D71D4A" w:rsidP="00344357">
      <w:pPr>
        <w:pStyle w:val="Body"/>
        <w:jc w:val="both"/>
        <w:rPr>
          <w:rFonts w:ascii="Times New Roman" w:hAnsi="Times New Roman"/>
          <w:sz w:val="24"/>
          <w:szCs w:val="24"/>
        </w:rPr>
      </w:pPr>
      <w:r w:rsidRPr="00344357">
        <w:rPr>
          <w:rFonts w:ascii="Times New Roman" w:hAnsi="Times New Roman"/>
          <w:sz w:val="24"/>
          <w:szCs w:val="24"/>
        </w:rPr>
        <w:t>T</w:t>
      </w:r>
      <w:r w:rsidR="00AC1A26" w:rsidRPr="00344357">
        <w:rPr>
          <w:rFonts w:ascii="Times New Roman" w:hAnsi="Times New Roman"/>
          <w:sz w:val="24"/>
          <w:szCs w:val="24"/>
        </w:rPr>
        <w:t>his program</w:t>
      </w:r>
      <w:r w:rsidR="0056603A" w:rsidRPr="00344357">
        <w:rPr>
          <w:rFonts w:ascii="Times New Roman" w:hAnsi="Times New Roman"/>
          <w:sz w:val="24"/>
          <w:szCs w:val="24"/>
        </w:rPr>
        <w:t>me</w:t>
      </w:r>
      <w:r w:rsidR="00AC1A26" w:rsidRPr="00344357">
        <w:rPr>
          <w:rFonts w:ascii="Times New Roman" w:hAnsi="Times New Roman"/>
          <w:sz w:val="24"/>
          <w:szCs w:val="24"/>
        </w:rPr>
        <w:t xml:space="preserve"> is a condition monitoring program</w:t>
      </w:r>
      <w:r w:rsidR="0056603A" w:rsidRPr="00344357">
        <w:rPr>
          <w:rFonts w:ascii="Times New Roman" w:hAnsi="Times New Roman"/>
          <w:sz w:val="24"/>
          <w:szCs w:val="24"/>
        </w:rPr>
        <w:t>me</w:t>
      </w:r>
      <w:r w:rsidR="00AC1A26" w:rsidRPr="00344357">
        <w:rPr>
          <w:rFonts w:ascii="Times New Roman" w:hAnsi="Times New Roman"/>
          <w:sz w:val="24"/>
          <w:szCs w:val="24"/>
        </w:rPr>
        <w:t xml:space="preserve"> and does not mitigate thermal</w:t>
      </w:r>
      <w:r w:rsidR="00E42E13" w:rsidRPr="00344357">
        <w:rPr>
          <w:rFonts w:ascii="Times New Roman" w:hAnsi="Times New Roman"/>
          <w:sz w:val="24"/>
          <w:szCs w:val="24"/>
        </w:rPr>
        <w:t xml:space="preserve"> ageing</w:t>
      </w:r>
      <w:r w:rsidR="00AC1A26" w:rsidRPr="00344357">
        <w:rPr>
          <w:rFonts w:ascii="Times New Roman" w:hAnsi="Times New Roman"/>
          <w:sz w:val="24"/>
          <w:szCs w:val="24"/>
        </w:rPr>
        <w:t xml:space="preserve"> embrittlement.</w:t>
      </w:r>
    </w:p>
    <w:p w14:paraId="352FC10B" w14:textId="77777777" w:rsidR="00544135" w:rsidRPr="00344357" w:rsidRDefault="00544135" w:rsidP="00344357">
      <w:pPr>
        <w:pStyle w:val="Body"/>
        <w:ind w:left="360" w:hanging="360"/>
        <w:jc w:val="both"/>
        <w:rPr>
          <w:rFonts w:ascii="Times New Roman" w:hAnsi="Times New Roman"/>
          <w:sz w:val="24"/>
          <w:szCs w:val="24"/>
        </w:rPr>
      </w:pPr>
    </w:p>
    <w:p w14:paraId="040D963F" w14:textId="77777777" w:rsidR="00D71D4A" w:rsidRPr="00344357" w:rsidRDefault="00F90ECA"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 xml:space="preserve">Acceptance </w:t>
      </w:r>
      <w:r w:rsidR="00B77A14" w:rsidRPr="00344357">
        <w:rPr>
          <w:rFonts w:ascii="Times New Roman" w:hAnsi="Times New Roman"/>
          <w:b/>
          <w:i/>
          <w:sz w:val="24"/>
          <w:szCs w:val="24"/>
        </w:rPr>
        <w:t>c</w:t>
      </w:r>
      <w:r w:rsidRPr="00344357">
        <w:rPr>
          <w:rFonts w:ascii="Times New Roman" w:hAnsi="Times New Roman"/>
          <w:b/>
          <w:i/>
          <w:sz w:val="24"/>
          <w:szCs w:val="24"/>
        </w:rPr>
        <w:t xml:space="preserve">riteria: </w:t>
      </w:r>
    </w:p>
    <w:p w14:paraId="18499ACC" w14:textId="77777777" w:rsidR="00F90ECA"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t xml:space="preserve">Flaws detected in CASS components are evaluated in accordance with the applicable procedures of </w:t>
      </w:r>
      <w:r w:rsidR="00AC1A26" w:rsidRPr="00344357">
        <w:rPr>
          <w:rFonts w:ascii="Times New Roman" w:hAnsi="Times New Roman"/>
          <w:sz w:val="24"/>
          <w:szCs w:val="24"/>
        </w:rPr>
        <w:t>the pertinent governing requirements or guidance documents for the plant</w:t>
      </w:r>
      <w:r w:rsidR="006B48E2" w:rsidRPr="00344357">
        <w:rPr>
          <w:rFonts w:ascii="Times New Roman" w:hAnsi="Times New Roman"/>
          <w:sz w:val="24"/>
          <w:szCs w:val="24"/>
        </w:rPr>
        <w:t xml:space="preserve"> (e.g., [</w:t>
      </w:r>
      <w:r w:rsidR="000A02C5" w:rsidRPr="00344357">
        <w:rPr>
          <w:rFonts w:ascii="Times New Roman" w:hAnsi="Times New Roman"/>
          <w:sz w:val="24"/>
          <w:szCs w:val="24"/>
        </w:rPr>
        <w:t>3</w:t>
      </w:r>
      <w:r w:rsidR="001C36D1" w:rsidRPr="00344357">
        <w:rPr>
          <w:rFonts w:ascii="Times New Roman" w:hAnsi="Times New Roman"/>
          <w:sz w:val="24"/>
          <w:szCs w:val="24"/>
        </w:rPr>
        <w:t xml:space="preserve">, </w:t>
      </w:r>
      <w:r w:rsidR="0017747C" w:rsidRPr="00344357">
        <w:rPr>
          <w:rFonts w:ascii="Times New Roman" w:hAnsi="Times New Roman"/>
          <w:sz w:val="24"/>
          <w:szCs w:val="24"/>
        </w:rPr>
        <w:t>1</w:t>
      </w:r>
      <w:r w:rsidR="00BE1669" w:rsidRPr="00344357">
        <w:rPr>
          <w:rFonts w:ascii="Times New Roman" w:hAnsi="Times New Roman"/>
          <w:sz w:val="24"/>
          <w:szCs w:val="24"/>
        </w:rPr>
        <w:t>3</w:t>
      </w:r>
      <w:r w:rsidR="006B48E2" w:rsidRPr="00344357">
        <w:rPr>
          <w:rFonts w:ascii="Times New Roman" w:hAnsi="Times New Roman"/>
          <w:sz w:val="24"/>
          <w:szCs w:val="24"/>
        </w:rPr>
        <w:t>])</w:t>
      </w:r>
      <w:r w:rsidRPr="00344357">
        <w:rPr>
          <w:rFonts w:ascii="Times New Roman" w:hAnsi="Times New Roman"/>
          <w:sz w:val="24"/>
          <w:szCs w:val="24"/>
        </w:rPr>
        <w:t>. Flaw tolerance evaluation for</w:t>
      </w:r>
      <w:r w:rsidR="000673BF" w:rsidRPr="00344357">
        <w:rPr>
          <w:rFonts w:ascii="Times New Roman" w:hAnsi="Times New Roman"/>
          <w:sz w:val="24"/>
          <w:szCs w:val="24"/>
        </w:rPr>
        <w:t xml:space="preserve"> CASS</w:t>
      </w:r>
      <w:r w:rsidRPr="00344357">
        <w:rPr>
          <w:rFonts w:ascii="Times New Roman" w:hAnsi="Times New Roman"/>
          <w:sz w:val="24"/>
          <w:szCs w:val="24"/>
        </w:rPr>
        <w:t xml:space="preserve"> piping </w:t>
      </w:r>
      <w:r w:rsidR="000673BF" w:rsidRPr="00344357">
        <w:rPr>
          <w:rFonts w:ascii="Times New Roman" w:hAnsi="Times New Roman"/>
          <w:sz w:val="24"/>
          <w:szCs w:val="24"/>
        </w:rPr>
        <w:t xml:space="preserve">or components </w:t>
      </w:r>
      <w:r w:rsidRPr="00344357">
        <w:rPr>
          <w:rFonts w:ascii="Times New Roman" w:hAnsi="Times New Roman"/>
          <w:sz w:val="24"/>
          <w:szCs w:val="24"/>
        </w:rPr>
        <w:t xml:space="preserve">with ferrite </w:t>
      </w:r>
      <w:r w:rsidR="000673BF" w:rsidRPr="00344357">
        <w:rPr>
          <w:rFonts w:ascii="Times New Roman" w:hAnsi="Times New Roman"/>
          <w:sz w:val="24"/>
          <w:szCs w:val="24"/>
        </w:rPr>
        <w:t xml:space="preserve">levels </w:t>
      </w:r>
      <w:r w:rsidR="005017E2" w:rsidRPr="00344357">
        <w:rPr>
          <w:rFonts w:ascii="Times New Roman" w:hAnsi="Times New Roman"/>
          <w:sz w:val="24"/>
          <w:szCs w:val="24"/>
        </w:rPr>
        <w:t xml:space="preserve">exceeding those </w:t>
      </w:r>
      <w:r w:rsidR="000673BF" w:rsidRPr="00344357">
        <w:rPr>
          <w:rFonts w:ascii="Times New Roman" w:hAnsi="Times New Roman"/>
          <w:sz w:val="24"/>
          <w:szCs w:val="24"/>
        </w:rPr>
        <w:t xml:space="preserve">addressed in the pertinent governing requirements or guidance documents </w:t>
      </w:r>
      <w:r w:rsidRPr="00344357">
        <w:rPr>
          <w:rFonts w:ascii="Times New Roman" w:hAnsi="Times New Roman"/>
          <w:sz w:val="24"/>
          <w:szCs w:val="24"/>
        </w:rPr>
        <w:t xml:space="preserve">is performed on a case-by-case basis using the </w:t>
      </w:r>
      <w:r w:rsidR="0056603A" w:rsidRPr="00344357">
        <w:rPr>
          <w:rFonts w:ascii="Times New Roman" w:hAnsi="Times New Roman"/>
          <w:sz w:val="24"/>
          <w:szCs w:val="24"/>
        </w:rPr>
        <w:t>plant specific</w:t>
      </w:r>
      <w:r w:rsidRPr="00344357">
        <w:rPr>
          <w:rFonts w:ascii="Times New Roman" w:hAnsi="Times New Roman"/>
          <w:sz w:val="24"/>
          <w:szCs w:val="24"/>
        </w:rPr>
        <w:t xml:space="preserve"> fracture toughness data.</w:t>
      </w:r>
      <w:r w:rsidR="000673BF" w:rsidRPr="00344357">
        <w:rPr>
          <w:rFonts w:ascii="Times New Roman" w:hAnsi="Times New Roman"/>
          <w:sz w:val="24"/>
          <w:szCs w:val="24"/>
        </w:rPr>
        <w:t xml:space="preserve"> Methods for predicting the fracture toughness of thermally aged CASS materials with delta ferrite content up to 25</w:t>
      </w:r>
      <w:r w:rsidR="00FE74AB" w:rsidRPr="00344357">
        <w:rPr>
          <w:rFonts w:ascii="Times New Roman" w:hAnsi="Times New Roman"/>
          <w:sz w:val="24"/>
          <w:szCs w:val="24"/>
        </w:rPr>
        <w:t xml:space="preserve"> </w:t>
      </w:r>
      <w:r w:rsidR="000673BF" w:rsidRPr="00344357">
        <w:rPr>
          <w:rFonts w:ascii="Times New Roman" w:hAnsi="Times New Roman"/>
          <w:sz w:val="24"/>
          <w:szCs w:val="24"/>
        </w:rPr>
        <w:t>% are provided in NUREG/CR–4513, Revision 1 [</w:t>
      </w:r>
      <w:r w:rsidR="00801B81" w:rsidRPr="00344357">
        <w:rPr>
          <w:rFonts w:ascii="Times New Roman" w:hAnsi="Times New Roman"/>
          <w:sz w:val="24"/>
          <w:szCs w:val="24"/>
        </w:rPr>
        <w:t>4</w:t>
      </w:r>
      <w:r w:rsidR="003B005E" w:rsidRPr="00344357">
        <w:rPr>
          <w:rFonts w:ascii="Times New Roman" w:hAnsi="Times New Roman"/>
          <w:sz w:val="24"/>
          <w:szCs w:val="24"/>
        </w:rPr>
        <w:t>].</w:t>
      </w:r>
    </w:p>
    <w:p w14:paraId="5AC44885" w14:textId="77777777" w:rsidR="00544135" w:rsidRPr="00344357" w:rsidRDefault="00544135" w:rsidP="00344357">
      <w:pPr>
        <w:pStyle w:val="Body"/>
        <w:jc w:val="both"/>
        <w:rPr>
          <w:rFonts w:ascii="Times New Roman" w:hAnsi="Times New Roman"/>
          <w:sz w:val="24"/>
          <w:szCs w:val="24"/>
        </w:rPr>
      </w:pPr>
    </w:p>
    <w:p w14:paraId="371EE9F0" w14:textId="77777777" w:rsidR="00D71D4A" w:rsidRPr="00344357" w:rsidRDefault="00F90ECA"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 xml:space="preserve">Corrective </w:t>
      </w:r>
      <w:r w:rsidR="00B77A14" w:rsidRPr="00344357">
        <w:rPr>
          <w:rFonts w:ascii="Times New Roman" w:hAnsi="Times New Roman"/>
          <w:b/>
          <w:i/>
          <w:sz w:val="24"/>
          <w:szCs w:val="24"/>
        </w:rPr>
        <w:t>a</w:t>
      </w:r>
      <w:r w:rsidRPr="00344357">
        <w:rPr>
          <w:rFonts w:ascii="Times New Roman" w:hAnsi="Times New Roman"/>
          <w:b/>
          <w:i/>
          <w:sz w:val="24"/>
          <w:szCs w:val="24"/>
        </w:rPr>
        <w:t xml:space="preserve">ctions: </w:t>
      </w:r>
    </w:p>
    <w:p w14:paraId="38016AF0" w14:textId="77777777" w:rsidR="000D7260" w:rsidRPr="00344357" w:rsidRDefault="00F90ECA" w:rsidP="00344357">
      <w:pPr>
        <w:pStyle w:val="Body"/>
        <w:jc w:val="both"/>
        <w:rPr>
          <w:rFonts w:ascii="Times New Roman" w:hAnsi="Times New Roman"/>
          <w:sz w:val="24"/>
          <w:szCs w:val="24"/>
        </w:rPr>
      </w:pPr>
      <w:r w:rsidRPr="00344357">
        <w:rPr>
          <w:rFonts w:ascii="Times New Roman" w:hAnsi="Times New Roman"/>
          <w:sz w:val="24"/>
          <w:szCs w:val="24"/>
        </w:rPr>
        <w:lastRenderedPageBreak/>
        <w:t xml:space="preserve">Repair and replacement are performed in accordance with </w:t>
      </w:r>
      <w:r w:rsidR="00AC1A26" w:rsidRPr="00344357">
        <w:rPr>
          <w:rFonts w:ascii="Times New Roman" w:hAnsi="Times New Roman"/>
          <w:sz w:val="24"/>
          <w:szCs w:val="24"/>
        </w:rPr>
        <w:t>the pertinent governing requirements or guidance documents for the plant</w:t>
      </w:r>
      <w:r w:rsidRPr="00344357">
        <w:rPr>
          <w:rFonts w:ascii="Times New Roman" w:hAnsi="Times New Roman"/>
          <w:sz w:val="24"/>
          <w:szCs w:val="24"/>
        </w:rPr>
        <w:t xml:space="preserve">. Repair of defects </w:t>
      </w:r>
      <w:r w:rsidR="006379ED" w:rsidRPr="00344357">
        <w:rPr>
          <w:rFonts w:ascii="Times New Roman" w:hAnsi="Times New Roman"/>
          <w:sz w:val="24"/>
          <w:szCs w:val="24"/>
        </w:rPr>
        <w:t>that are</w:t>
      </w:r>
      <w:r w:rsidRPr="00344357">
        <w:rPr>
          <w:rFonts w:ascii="Times New Roman" w:hAnsi="Times New Roman"/>
          <w:sz w:val="24"/>
          <w:szCs w:val="24"/>
        </w:rPr>
        <w:t xml:space="preserve"> deeply embedded in the metal is considered very difficult, so </w:t>
      </w:r>
      <w:r w:rsidR="006379ED" w:rsidRPr="00344357">
        <w:rPr>
          <w:rFonts w:ascii="Times New Roman" w:hAnsi="Times New Roman"/>
          <w:sz w:val="24"/>
          <w:szCs w:val="24"/>
        </w:rPr>
        <w:t xml:space="preserve">they are </w:t>
      </w:r>
      <w:r w:rsidRPr="00344357">
        <w:rPr>
          <w:rFonts w:ascii="Times New Roman" w:hAnsi="Times New Roman"/>
          <w:sz w:val="24"/>
          <w:szCs w:val="24"/>
        </w:rPr>
        <w:t xml:space="preserve">unlikely to be carried out. </w:t>
      </w:r>
      <w:r w:rsidR="002A008E" w:rsidRPr="00344357">
        <w:rPr>
          <w:rFonts w:ascii="Times New Roman" w:hAnsi="Times New Roman"/>
          <w:sz w:val="24"/>
          <w:szCs w:val="24"/>
        </w:rPr>
        <w:t>C</w:t>
      </w:r>
      <w:r w:rsidR="0056603A" w:rsidRPr="00344357">
        <w:rPr>
          <w:rFonts w:ascii="Times New Roman" w:hAnsi="Times New Roman"/>
          <w:sz w:val="24"/>
          <w:szCs w:val="24"/>
        </w:rPr>
        <w:t>omponents which are projected to be unacceptably degraded due to thermal ageing embrittlement may be replaced in a proactive manner</w:t>
      </w:r>
      <w:r w:rsidR="0056603A" w:rsidRPr="00344357" w:rsidDel="00C215A7">
        <w:rPr>
          <w:rFonts w:ascii="Times New Roman" w:hAnsi="Times New Roman"/>
          <w:sz w:val="24"/>
          <w:szCs w:val="24"/>
        </w:rPr>
        <w:t xml:space="preserve"> </w:t>
      </w:r>
      <w:r w:rsidR="0056603A" w:rsidRPr="00344357">
        <w:rPr>
          <w:rFonts w:ascii="Times New Roman" w:hAnsi="Times New Roman"/>
          <w:sz w:val="24"/>
          <w:szCs w:val="24"/>
        </w:rPr>
        <w:t xml:space="preserve">(for instance susceptible primary elbows may be replaced at the same time as steam generators). </w:t>
      </w:r>
    </w:p>
    <w:p w14:paraId="29704F5B" w14:textId="77777777" w:rsidR="000D7260" w:rsidRPr="00344357" w:rsidRDefault="000D7260" w:rsidP="00344357">
      <w:pPr>
        <w:pStyle w:val="Body"/>
        <w:jc w:val="both"/>
        <w:rPr>
          <w:rFonts w:ascii="Times New Roman" w:hAnsi="Times New Roman"/>
          <w:sz w:val="24"/>
          <w:szCs w:val="24"/>
        </w:rPr>
      </w:pPr>
    </w:p>
    <w:p w14:paraId="54A12B8D" w14:textId="77777777" w:rsidR="00D71D4A" w:rsidRPr="00344357" w:rsidRDefault="00726E19" w:rsidP="00344357">
      <w:pPr>
        <w:pStyle w:val="Body"/>
        <w:numPr>
          <w:ilvl w:val="0"/>
          <w:numId w:val="9"/>
        </w:numPr>
        <w:ind w:left="426" w:hanging="426"/>
        <w:rPr>
          <w:rFonts w:ascii="Times New Roman" w:hAnsi="Times New Roman"/>
          <w:b/>
          <w:i/>
          <w:sz w:val="24"/>
          <w:szCs w:val="24"/>
        </w:rPr>
      </w:pPr>
      <w:r w:rsidRPr="00344357">
        <w:rPr>
          <w:rFonts w:ascii="Times New Roman" w:hAnsi="Times New Roman"/>
          <w:b/>
          <w:i/>
          <w:sz w:val="24"/>
          <w:szCs w:val="24"/>
        </w:rPr>
        <w:t>Operating experience feedback and feedback of research and development results:</w:t>
      </w:r>
      <w:r w:rsidR="00F90ECA" w:rsidRPr="00344357">
        <w:rPr>
          <w:rFonts w:ascii="Times New Roman" w:hAnsi="Times New Roman"/>
          <w:b/>
          <w:i/>
          <w:sz w:val="24"/>
          <w:szCs w:val="24"/>
        </w:rPr>
        <w:t xml:space="preserve"> </w:t>
      </w:r>
    </w:p>
    <w:p w14:paraId="4610A3BA" w14:textId="77777777" w:rsidR="000B7E6F" w:rsidRPr="00344357" w:rsidRDefault="000B7E6F" w:rsidP="00344357">
      <w:pPr>
        <w:pStyle w:val="Body"/>
        <w:jc w:val="both"/>
        <w:rPr>
          <w:rFonts w:ascii="Times New Roman" w:hAnsi="Times New Roman"/>
          <w:sz w:val="24"/>
          <w:szCs w:val="24"/>
        </w:rPr>
      </w:pPr>
      <w:r w:rsidRPr="00344357">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0765F8CE" w14:textId="77777777" w:rsidR="00D224AE" w:rsidRPr="00344357" w:rsidRDefault="00D224AE" w:rsidP="00344357">
      <w:pPr>
        <w:pStyle w:val="Body"/>
        <w:jc w:val="both"/>
        <w:rPr>
          <w:rFonts w:ascii="Times New Roman" w:hAnsi="Times New Roman"/>
          <w:sz w:val="24"/>
          <w:szCs w:val="24"/>
        </w:rPr>
      </w:pPr>
      <w:r w:rsidRPr="00344357">
        <w:rPr>
          <w:rFonts w:ascii="Times New Roman" w:hAnsi="Times New Roman"/>
          <w:sz w:val="24"/>
          <w:szCs w:val="24"/>
        </w:rPr>
        <w:t xml:space="preserve">There is currently no operating experience associated with cracking in </w:t>
      </w:r>
      <w:r w:rsidR="00791661" w:rsidRPr="00344357">
        <w:rPr>
          <w:rFonts w:ascii="Times New Roman" w:hAnsi="Times New Roman"/>
          <w:sz w:val="24"/>
          <w:szCs w:val="24"/>
        </w:rPr>
        <w:t xml:space="preserve">PWR and </w:t>
      </w:r>
      <w:r w:rsidRPr="00344357">
        <w:rPr>
          <w:rFonts w:ascii="Times New Roman" w:hAnsi="Times New Roman"/>
          <w:sz w:val="24"/>
          <w:szCs w:val="24"/>
        </w:rPr>
        <w:t xml:space="preserve">BWR CASS components. </w:t>
      </w:r>
    </w:p>
    <w:p w14:paraId="6E06AF54" w14:textId="77777777" w:rsidR="002B3E3A" w:rsidRPr="00344357" w:rsidRDefault="002B3E3A" w:rsidP="00344357">
      <w:pPr>
        <w:pStyle w:val="Body"/>
        <w:jc w:val="both"/>
        <w:rPr>
          <w:rFonts w:ascii="Times New Roman" w:hAnsi="Times New Roman"/>
          <w:sz w:val="24"/>
          <w:szCs w:val="24"/>
        </w:rPr>
      </w:pPr>
      <w:r w:rsidRPr="00344357">
        <w:rPr>
          <w:rFonts w:ascii="Times New Roman" w:hAnsi="Times New Roman"/>
          <w:sz w:val="24"/>
          <w:szCs w:val="24"/>
        </w:rPr>
        <w:t>In France, formulas were developed to predict the loss of fracture toughness due to the thermal ageing of all CASS components [</w:t>
      </w:r>
      <w:r w:rsidR="00801B81" w:rsidRPr="00344357">
        <w:rPr>
          <w:rFonts w:ascii="Times New Roman" w:hAnsi="Times New Roman"/>
          <w:sz w:val="24"/>
          <w:szCs w:val="24"/>
        </w:rPr>
        <w:t>1</w:t>
      </w:r>
      <w:r w:rsidR="00BE1669" w:rsidRPr="00344357">
        <w:rPr>
          <w:rFonts w:ascii="Times New Roman" w:hAnsi="Times New Roman"/>
          <w:sz w:val="24"/>
          <w:szCs w:val="24"/>
        </w:rPr>
        <w:t>1</w:t>
      </w:r>
      <w:r w:rsidR="00801B81" w:rsidRPr="00344357">
        <w:rPr>
          <w:rFonts w:ascii="Times New Roman" w:hAnsi="Times New Roman"/>
          <w:sz w:val="24"/>
          <w:szCs w:val="24"/>
        </w:rPr>
        <w:t xml:space="preserve">, </w:t>
      </w:r>
      <w:r w:rsidR="00174EA5" w:rsidRPr="00344357">
        <w:rPr>
          <w:rFonts w:ascii="Times New Roman" w:hAnsi="Times New Roman"/>
          <w:sz w:val="24"/>
          <w:szCs w:val="24"/>
        </w:rPr>
        <w:t>1</w:t>
      </w:r>
      <w:r w:rsidR="00BE1669" w:rsidRPr="00344357">
        <w:rPr>
          <w:rFonts w:ascii="Times New Roman" w:hAnsi="Times New Roman"/>
          <w:sz w:val="24"/>
          <w:szCs w:val="24"/>
        </w:rPr>
        <w:t>2</w:t>
      </w:r>
      <w:r w:rsidRPr="00344357">
        <w:rPr>
          <w:rFonts w:ascii="Times New Roman" w:hAnsi="Times New Roman"/>
          <w:sz w:val="24"/>
          <w:szCs w:val="24"/>
        </w:rPr>
        <w:t xml:space="preserve">]. This development was made possible </w:t>
      </w:r>
      <w:r w:rsidR="00B23E05" w:rsidRPr="00344357">
        <w:rPr>
          <w:rFonts w:ascii="Times New Roman" w:hAnsi="Times New Roman"/>
          <w:sz w:val="24"/>
          <w:szCs w:val="24"/>
        </w:rPr>
        <w:t xml:space="preserve">due </w:t>
      </w:r>
      <w:r w:rsidRPr="00344357">
        <w:rPr>
          <w:rFonts w:ascii="Times New Roman" w:hAnsi="Times New Roman"/>
          <w:sz w:val="24"/>
          <w:szCs w:val="24"/>
        </w:rPr>
        <w:t>to the large experimental database built at EDF/R&amp;D since the 1980’s. This database covers a large set of representative materials and various aging conditions up to 200,000 hours, between 285</w:t>
      </w:r>
      <w:r w:rsidR="00900FC6" w:rsidRPr="00344357">
        <w:rPr>
          <w:rFonts w:ascii="Times New Roman" w:hAnsi="Times New Roman"/>
          <w:sz w:val="24"/>
          <w:szCs w:val="24"/>
        </w:rPr>
        <w:t xml:space="preserve"> </w:t>
      </w:r>
      <w:r w:rsidRPr="00344357">
        <w:rPr>
          <w:rFonts w:ascii="Times New Roman" w:hAnsi="Times New Roman"/>
          <w:sz w:val="24"/>
          <w:szCs w:val="24"/>
        </w:rPr>
        <w:t>°C and 350</w:t>
      </w:r>
      <w:r w:rsidR="00900FC6" w:rsidRPr="00344357">
        <w:rPr>
          <w:rFonts w:ascii="Times New Roman" w:hAnsi="Times New Roman"/>
          <w:sz w:val="24"/>
          <w:szCs w:val="24"/>
        </w:rPr>
        <w:t xml:space="preserve"> </w:t>
      </w:r>
      <w:r w:rsidRPr="00344357">
        <w:rPr>
          <w:rFonts w:ascii="Times New Roman" w:hAnsi="Times New Roman"/>
          <w:sz w:val="24"/>
          <w:szCs w:val="24"/>
        </w:rPr>
        <w:t>°C. The prediction scheme relies on three steps [</w:t>
      </w:r>
      <w:r w:rsidR="00801B81" w:rsidRPr="00344357">
        <w:rPr>
          <w:rFonts w:ascii="Times New Roman" w:hAnsi="Times New Roman"/>
          <w:sz w:val="24"/>
          <w:szCs w:val="24"/>
        </w:rPr>
        <w:t>1</w:t>
      </w:r>
      <w:r w:rsidR="00BE1669" w:rsidRPr="00344357">
        <w:rPr>
          <w:rFonts w:ascii="Times New Roman" w:hAnsi="Times New Roman"/>
          <w:sz w:val="24"/>
          <w:szCs w:val="24"/>
        </w:rPr>
        <w:t>1</w:t>
      </w:r>
      <w:r w:rsidRPr="00344357">
        <w:rPr>
          <w:rFonts w:ascii="Times New Roman" w:hAnsi="Times New Roman"/>
          <w:sz w:val="24"/>
          <w:szCs w:val="24"/>
        </w:rPr>
        <w:t>]:</w:t>
      </w:r>
    </w:p>
    <w:p w14:paraId="11812813" w14:textId="77777777" w:rsidR="002B3E3A" w:rsidRPr="00900FC6" w:rsidRDefault="00344357" w:rsidP="00344357">
      <w:pPr>
        <w:pStyle w:val="Body"/>
        <w:numPr>
          <w:ilvl w:val="0"/>
          <w:numId w:val="14"/>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2B3E3A" w:rsidRPr="00900FC6">
        <w:rPr>
          <w:rFonts w:ascii="Times New Roman" w:hAnsi="Times New Roman"/>
          <w:sz w:val="24"/>
          <w:szCs w:val="24"/>
        </w:rPr>
        <w:t>stimation of the Charpy impact test values at 20</w:t>
      </w:r>
      <w:r w:rsidR="00900FC6">
        <w:rPr>
          <w:rFonts w:ascii="Times New Roman" w:hAnsi="Times New Roman"/>
          <w:sz w:val="24"/>
          <w:szCs w:val="24"/>
        </w:rPr>
        <w:t xml:space="preserve"> </w:t>
      </w:r>
      <w:r w:rsidR="00B23E05" w:rsidRPr="00900FC6">
        <w:rPr>
          <w:rFonts w:ascii="Times New Roman" w:hAnsi="Times New Roman"/>
          <w:sz w:val="24"/>
          <w:szCs w:val="24"/>
        </w:rPr>
        <w:t>°C</w:t>
      </w:r>
      <w:r w:rsidR="002B3E3A" w:rsidRPr="00900FC6">
        <w:rPr>
          <w:rFonts w:ascii="Times New Roman" w:hAnsi="Times New Roman"/>
          <w:sz w:val="24"/>
          <w:szCs w:val="24"/>
        </w:rPr>
        <w:t xml:space="preserve"> and 320</w:t>
      </w:r>
      <w:r w:rsidR="00900FC6">
        <w:rPr>
          <w:rFonts w:ascii="Times New Roman" w:hAnsi="Times New Roman"/>
          <w:sz w:val="24"/>
          <w:szCs w:val="24"/>
        </w:rPr>
        <w:t xml:space="preserve"> </w:t>
      </w:r>
      <w:r w:rsidR="002B3E3A" w:rsidRPr="00900FC6">
        <w:rPr>
          <w:rFonts w:ascii="Times New Roman" w:hAnsi="Times New Roman"/>
          <w:sz w:val="24"/>
          <w:szCs w:val="24"/>
        </w:rPr>
        <w:t>°C using the chemical composition of the steel (Cr%, Mo%, Si%, C%, N%, Ni%), the ferrite content, the unaged Charpy impact test values and the aging conditions (temperature and duration)</w:t>
      </w:r>
      <w:r>
        <w:rPr>
          <w:rFonts w:ascii="Times New Roman" w:hAnsi="Times New Roman"/>
          <w:sz w:val="24"/>
          <w:szCs w:val="24"/>
        </w:rPr>
        <w:t>;</w:t>
      </w:r>
    </w:p>
    <w:p w14:paraId="22EB0C70" w14:textId="77777777" w:rsidR="002B3E3A" w:rsidRPr="00900FC6" w:rsidRDefault="00344357" w:rsidP="00344357">
      <w:pPr>
        <w:pStyle w:val="Body"/>
        <w:numPr>
          <w:ilvl w:val="0"/>
          <w:numId w:val="14"/>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2B3E3A" w:rsidRPr="00900FC6">
        <w:rPr>
          <w:rFonts w:ascii="Times New Roman" w:hAnsi="Times New Roman"/>
          <w:sz w:val="24"/>
          <w:szCs w:val="24"/>
        </w:rPr>
        <w:t>stimation of the J-R curve at 20</w:t>
      </w:r>
      <w:r w:rsidR="00900FC6">
        <w:rPr>
          <w:rFonts w:ascii="Times New Roman" w:hAnsi="Times New Roman"/>
          <w:sz w:val="24"/>
          <w:szCs w:val="24"/>
        </w:rPr>
        <w:t xml:space="preserve"> </w:t>
      </w:r>
      <w:r w:rsidR="00B23E05" w:rsidRPr="00900FC6">
        <w:rPr>
          <w:rFonts w:ascii="Times New Roman" w:hAnsi="Times New Roman"/>
          <w:sz w:val="24"/>
          <w:szCs w:val="24"/>
        </w:rPr>
        <w:t>°C</w:t>
      </w:r>
      <w:r w:rsidR="002B3E3A" w:rsidRPr="00900FC6">
        <w:rPr>
          <w:rFonts w:ascii="Times New Roman" w:hAnsi="Times New Roman"/>
          <w:sz w:val="24"/>
          <w:szCs w:val="24"/>
        </w:rPr>
        <w:t xml:space="preserve"> and 320</w:t>
      </w:r>
      <w:r w:rsidR="00900FC6">
        <w:rPr>
          <w:rFonts w:ascii="Times New Roman" w:hAnsi="Times New Roman"/>
          <w:sz w:val="24"/>
          <w:szCs w:val="24"/>
        </w:rPr>
        <w:t xml:space="preserve"> </w:t>
      </w:r>
      <w:r w:rsidR="002B3E3A" w:rsidRPr="00900FC6">
        <w:rPr>
          <w:rFonts w:ascii="Times New Roman" w:hAnsi="Times New Roman"/>
          <w:sz w:val="24"/>
          <w:szCs w:val="24"/>
        </w:rPr>
        <w:t>°C – defined by a power law J = C.</w:t>
      </w:r>
      <w:r w:rsidR="002B3E3A" w:rsidRPr="00900FC6">
        <w:rPr>
          <w:rFonts w:ascii="Times New Roman" w:hAnsi="Times New Roman"/>
          <w:sz w:val="24"/>
          <w:szCs w:val="24"/>
        </w:rPr>
        <w:sym w:font="Symbol" w:char="F044"/>
      </w:r>
      <w:r w:rsidR="002B3E3A" w:rsidRPr="00900FC6">
        <w:rPr>
          <w:rFonts w:ascii="Times New Roman" w:hAnsi="Times New Roman"/>
          <w:sz w:val="24"/>
          <w:szCs w:val="24"/>
        </w:rPr>
        <w:t xml:space="preserve">an </w:t>
      </w:r>
      <w:r w:rsidR="00B23E05" w:rsidRPr="00900FC6">
        <w:rPr>
          <w:rFonts w:ascii="Times New Roman" w:hAnsi="Times New Roman"/>
          <w:sz w:val="24"/>
          <w:szCs w:val="24"/>
        </w:rPr>
        <w:t>–</w:t>
      </w:r>
      <w:r w:rsidR="002B3E3A" w:rsidRPr="00900FC6">
        <w:rPr>
          <w:rFonts w:ascii="Times New Roman" w:hAnsi="Times New Roman"/>
          <w:sz w:val="24"/>
          <w:szCs w:val="24"/>
        </w:rPr>
        <w:t xml:space="preserve"> </w:t>
      </w:r>
      <w:r w:rsidR="00B23E05" w:rsidRPr="00900FC6">
        <w:rPr>
          <w:rFonts w:ascii="Times New Roman" w:hAnsi="Times New Roman"/>
          <w:sz w:val="24"/>
          <w:szCs w:val="24"/>
        </w:rPr>
        <w:t>based on</w:t>
      </w:r>
      <w:r w:rsidR="002B3E3A" w:rsidRPr="00900FC6">
        <w:rPr>
          <w:rFonts w:ascii="Times New Roman" w:hAnsi="Times New Roman"/>
          <w:sz w:val="24"/>
          <w:szCs w:val="24"/>
        </w:rPr>
        <w:t xml:space="preserve"> correlations between n and C and the Charpy impact test values</w:t>
      </w:r>
      <w:r>
        <w:rPr>
          <w:rFonts w:ascii="Times New Roman" w:hAnsi="Times New Roman"/>
          <w:sz w:val="24"/>
          <w:szCs w:val="24"/>
        </w:rPr>
        <w:t>;</w:t>
      </w:r>
    </w:p>
    <w:p w14:paraId="2E48EC9F" w14:textId="77777777" w:rsidR="002B3E3A" w:rsidRPr="00900FC6" w:rsidRDefault="00344357" w:rsidP="00344357">
      <w:pPr>
        <w:pStyle w:val="Body"/>
        <w:numPr>
          <w:ilvl w:val="0"/>
          <w:numId w:val="14"/>
        </w:numPr>
        <w:spacing w:before="0" w:after="0" w:line="276" w:lineRule="auto"/>
        <w:ind w:left="714" w:hanging="357"/>
        <w:jc w:val="both"/>
        <w:rPr>
          <w:rFonts w:ascii="Times New Roman" w:hAnsi="Times New Roman"/>
          <w:sz w:val="24"/>
          <w:szCs w:val="24"/>
        </w:rPr>
      </w:pPr>
      <w:r>
        <w:rPr>
          <w:rFonts w:ascii="Times New Roman" w:hAnsi="Times New Roman"/>
          <w:sz w:val="24"/>
          <w:szCs w:val="24"/>
        </w:rPr>
        <w:t>E</w:t>
      </w:r>
      <w:r w:rsidR="002B3E3A" w:rsidRPr="00900FC6">
        <w:rPr>
          <w:rFonts w:ascii="Times New Roman" w:hAnsi="Times New Roman"/>
          <w:sz w:val="24"/>
          <w:szCs w:val="24"/>
        </w:rPr>
        <w:t>stimation of the J-R curve at any temperature between 20</w:t>
      </w:r>
      <w:r w:rsidR="00900FC6">
        <w:rPr>
          <w:rFonts w:ascii="Times New Roman" w:hAnsi="Times New Roman"/>
          <w:sz w:val="24"/>
          <w:szCs w:val="24"/>
        </w:rPr>
        <w:t xml:space="preserve"> </w:t>
      </w:r>
      <w:r w:rsidR="00B23E05" w:rsidRPr="00900FC6">
        <w:rPr>
          <w:rFonts w:ascii="Times New Roman" w:hAnsi="Times New Roman"/>
          <w:sz w:val="24"/>
          <w:szCs w:val="24"/>
        </w:rPr>
        <w:t>°C</w:t>
      </w:r>
      <w:r w:rsidR="002B3E3A" w:rsidRPr="00900FC6">
        <w:rPr>
          <w:rFonts w:ascii="Times New Roman" w:hAnsi="Times New Roman"/>
          <w:sz w:val="24"/>
          <w:szCs w:val="24"/>
        </w:rPr>
        <w:t xml:space="preserve"> and 320</w:t>
      </w:r>
      <w:r w:rsidR="00900FC6">
        <w:rPr>
          <w:rFonts w:ascii="Times New Roman" w:hAnsi="Times New Roman"/>
          <w:sz w:val="24"/>
          <w:szCs w:val="24"/>
        </w:rPr>
        <w:t xml:space="preserve"> </w:t>
      </w:r>
      <w:r w:rsidR="002B3E3A" w:rsidRPr="00900FC6">
        <w:rPr>
          <w:rFonts w:ascii="Times New Roman" w:hAnsi="Times New Roman"/>
          <w:sz w:val="24"/>
          <w:szCs w:val="24"/>
        </w:rPr>
        <w:t xml:space="preserve">°C </w:t>
      </w:r>
      <w:r w:rsidR="00B23E05" w:rsidRPr="00900FC6">
        <w:rPr>
          <w:rFonts w:ascii="Times New Roman" w:hAnsi="Times New Roman"/>
          <w:sz w:val="24"/>
          <w:szCs w:val="24"/>
        </w:rPr>
        <w:t>using</w:t>
      </w:r>
      <w:r w:rsidR="002B3E3A" w:rsidRPr="00900FC6">
        <w:rPr>
          <w:rFonts w:ascii="Times New Roman" w:hAnsi="Times New Roman"/>
          <w:sz w:val="24"/>
          <w:szCs w:val="24"/>
        </w:rPr>
        <w:t xml:space="preserve"> interpolation formulas.</w:t>
      </w:r>
    </w:p>
    <w:p w14:paraId="3EAA51A0" w14:textId="4D760DFF" w:rsidR="00544135" w:rsidRPr="00D90BC0" w:rsidRDefault="00990268" w:rsidP="002B3E3A">
      <w:pPr>
        <w:pStyle w:val="Body"/>
        <w:spacing w:line="276" w:lineRule="auto"/>
        <w:jc w:val="both"/>
        <w:rPr>
          <w:rFonts w:ascii="Times New Roman" w:hAnsi="Times New Roman"/>
          <w:color w:val="FF0000"/>
          <w:sz w:val="24"/>
          <w:szCs w:val="24"/>
        </w:rPr>
      </w:pPr>
      <w:r w:rsidRPr="00D90BC0">
        <w:rPr>
          <w:rFonts w:ascii="Times New Roman" w:hAnsi="Times New Roman"/>
          <w:color w:val="FF0000"/>
          <w:sz w:val="24"/>
          <w:szCs w:val="24"/>
        </w:rPr>
        <w:t>To validate these formulas, elbows were removed in the same time than the replacement of steam generators. These aged comp</w:t>
      </w:r>
      <w:r w:rsidR="00C416D3" w:rsidRPr="00D90BC0">
        <w:rPr>
          <w:rFonts w:ascii="Times New Roman" w:hAnsi="Times New Roman"/>
          <w:color w:val="FF0000"/>
          <w:sz w:val="24"/>
          <w:szCs w:val="24"/>
        </w:rPr>
        <w:t>onents were studied in hot</w:t>
      </w:r>
      <w:r w:rsidR="00111B47" w:rsidRPr="00D90BC0">
        <w:rPr>
          <w:rFonts w:ascii="Times New Roman" w:hAnsi="Times New Roman"/>
          <w:color w:val="FF0000"/>
          <w:sz w:val="24"/>
          <w:szCs w:val="24"/>
        </w:rPr>
        <w:t xml:space="preserve"> </w:t>
      </w:r>
      <w:r w:rsidR="00C416D3" w:rsidRPr="00D90BC0">
        <w:rPr>
          <w:rFonts w:ascii="Times New Roman" w:hAnsi="Times New Roman"/>
          <w:color w:val="FF0000"/>
          <w:sz w:val="24"/>
          <w:szCs w:val="24"/>
        </w:rPr>
        <w:t>cell</w:t>
      </w:r>
      <w:r w:rsidRPr="00D90BC0">
        <w:rPr>
          <w:rFonts w:ascii="Times New Roman" w:hAnsi="Times New Roman"/>
          <w:color w:val="FF0000"/>
          <w:sz w:val="24"/>
          <w:szCs w:val="24"/>
        </w:rPr>
        <w:t xml:space="preserve">s </w:t>
      </w:r>
      <w:r w:rsidR="00C416D3" w:rsidRPr="00D90BC0">
        <w:rPr>
          <w:rFonts w:ascii="Times New Roman" w:hAnsi="Times New Roman"/>
          <w:color w:val="FF0000"/>
          <w:sz w:val="24"/>
          <w:szCs w:val="24"/>
        </w:rPr>
        <w:t xml:space="preserve">[8-9] </w:t>
      </w:r>
      <w:r w:rsidRPr="00D90BC0">
        <w:rPr>
          <w:rFonts w:ascii="Times New Roman" w:hAnsi="Times New Roman"/>
          <w:color w:val="FF0000"/>
          <w:sz w:val="24"/>
          <w:szCs w:val="24"/>
        </w:rPr>
        <w:t>and their actual properties were compared to prediction</w:t>
      </w:r>
      <w:r w:rsidR="004774CA" w:rsidRPr="00D90BC0">
        <w:rPr>
          <w:rFonts w:ascii="Times New Roman" w:hAnsi="Times New Roman"/>
          <w:color w:val="FF0000"/>
          <w:sz w:val="24"/>
          <w:szCs w:val="24"/>
        </w:rPr>
        <w:t>s</w:t>
      </w:r>
      <w:r w:rsidRPr="00D90BC0">
        <w:rPr>
          <w:rFonts w:ascii="Times New Roman" w:hAnsi="Times New Roman"/>
          <w:color w:val="FF0000"/>
          <w:sz w:val="24"/>
          <w:szCs w:val="24"/>
        </w:rPr>
        <w:t>.</w:t>
      </w:r>
    </w:p>
    <w:p w14:paraId="4D79CBC6" w14:textId="533F0DBB" w:rsidR="00E92276" w:rsidRPr="00D90BC0" w:rsidRDefault="00990268" w:rsidP="002B3E3A">
      <w:pPr>
        <w:pStyle w:val="Body"/>
        <w:spacing w:line="276" w:lineRule="auto"/>
        <w:jc w:val="both"/>
        <w:rPr>
          <w:rFonts w:ascii="Times New Roman" w:hAnsi="Times New Roman"/>
          <w:color w:val="FF0000"/>
          <w:sz w:val="24"/>
          <w:szCs w:val="24"/>
        </w:rPr>
      </w:pPr>
      <w:r w:rsidRPr="00D90BC0">
        <w:rPr>
          <w:rFonts w:ascii="Times New Roman" w:hAnsi="Times New Roman"/>
          <w:color w:val="FF0000"/>
          <w:sz w:val="24"/>
          <w:szCs w:val="24"/>
        </w:rPr>
        <w:t>EDF has developed an in-situ device to evaluate in a non-destructive way the ageing of components</w:t>
      </w:r>
      <w:r w:rsidR="00870E97" w:rsidRPr="00D90BC0">
        <w:rPr>
          <w:rFonts w:ascii="Times New Roman" w:hAnsi="Times New Roman"/>
          <w:color w:val="FF0000"/>
          <w:sz w:val="24"/>
          <w:szCs w:val="24"/>
        </w:rPr>
        <w:t>. This</w:t>
      </w:r>
      <w:r w:rsidR="00E92276" w:rsidRPr="00D90BC0">
        <w:rPr>
          <w:rFonts w:ascii="Times New Roman" w:hAnsi="Times New Roman"/>
          <w:color w:val="FF0000"/>
          <w:sz w:val="24"/>
          <w:szCs w:val="24"/>
        </w:rPr>
        <w:t xml:space="preserve"> new portable device was developed </w:t>
      </w:r>
      <w:proofErr w:type="gramStart"/>
      <w:r w:rsidR="00E92276" w:rsidRPr="00D90BC0">
        <w:rPr>
          <w:rFonts w:ascii="Times New Roman" w:hAnsi="Times New Roman"/>
          <w:color w:val="FF0000"/>
          <w:sz w:val="24"/>
          <w:szCs w:val="24"/>
        </w:rPr>
        <w:t>in order to</w:t>
      </w:r>
      <w:proofErr w:type="gramEnd"/>
      <w:r w:rsidR="00E92276" w:rsidRPr="00D90BC0">
        <w:rPr>
          <w:rFonts w:ascii="Times New Roman" w:hAnsi="Times New Roman"/>
          <w:color w:val="FF0000"/>
          <w:sz w:val="24"/>
          <w:szCs w:val="24"/>
        </w:rPr>
        <w:t xml:space="preserve"> perform thermoe</w:t>
      </w:r>
      <w:r w:rsidR="005C4A64" w:rsidRPr="00D90BC0">
        <w:rPr>
          <w:rFonts w:ascii="Times New Roman" w:hAnsi="Times New Roman"/>
          <w:color w:val="FF0000"/>
          <w:sz w:val="24"/>
          <w:szCs w:val="24"/>
        </w:rPr>
        <w:t>le</w:t>
      </w:r>
      <w:r w:rsidR="00E92276" w:rsidRPr="00D90BC0">
        <w:rPr>
          <w:rFonts w:ascii="Times New Roman" w:hAnsi="Times New Roman"/>
          <w:color w:val="FF0000"/>
          <w:sz w:val="24"/>
          <w:szCs w:val="24"/>
        </w:rPr>
        <w:t>ctrical power measurements in industrial conditions on large components (e.g. pipes</w:t>
      </w:r>
      <w:r w:rsidR="005C4A64" w:rsidRPr="00D90BC0">
        <w:rPr>
          <w:rFonts w:ascii="Times New Roman" w:hAnsi="Times New Roman"/>
          <w:color w:val="FF0000"/>
          <w:sz w:val="24"/>
          <w:szCs w:val="24"/>
        </w:rPr>
        <w:t xml:space="preserve"> and </w:t>
      </w:r>
      <w:r w:rsidR="00E92276" w:rsidRPr="00D90BC0">
        <w:rPr>
          <w:rFonts w:ascii="Times New Roman" w:hAnsi="Times New Roman"/>
          <w:color w:val="FF0000"/>
          <w:sz w:val="24"/>
          <w:szCs w:val="24"/>
        </w:rPr>
        <w:t>elbows). The principle of measurements is based on a thermal gradient generated in the material by two test prods of a reference metal, set at different temperatures, applied on the surface of the component to inspect. The differences of potential and temperature between the two prods are measured and the TEP of the heated area of the material is calculated.</w:t>
      </w:r>
    </w:p>
    <w:p w14:paraId="548B5AB9" w14:textId="396C27F3" w:rsidR="004C4A2C" w:rsidRPr="00D90BC0" w:rsidRDefault="004C4A2C" w:rsidP="002B3E3A">
      <w:pPr>
        <w:pStyle w:val="Body"/>
        <w:spacing w:line="276" w:lineRule="auto"/>
        <w:jc w:val="both"/>
        <w:rPr>
          <w:rFonts w:ascii="Times New Roman" w:hAnsi="Times New Roman"/>
          <w:color w:val="FF0000"/>
          <w:sz w:val="24"/>
          <w:szCs w:val="24"/>
        </w:rPr>
      </w:pPr>
      <w:r w:rsidRPr="00D90BC0">
        <w:rPr>
          <w:rFonts w:ascii="Times New Roman" w:hAnsi="Times New Roman"/>
          <w:color w:val="FF0000"/>
          <w:sz w:val="24"/>
          <w:szCs w:val="24"/>
        </w:rPr>
        <w:t>To complement, laboratory studies have established a linear relationship (abacus) between the TEP of cast duplex stainless steels, the ferrite content, the mechanical properties and an Arrhenius-type aging parameter depending on aging time and temperature</w:t>
      </w:r>
      <w:r w:rsidR="000D5CA7" w:rsidRPr="00D90BC0">
        <w:rPr>
          <w:rFonts w:ascii="Times New Roman" w:hAnsi="Times New Roman"/>
          <w:color w:val="FF0000"/>
          <w:sz w:val="24"/>
          <w:szCs w:val="24"/>
        </w:rPr>
        <w:t xml:space="preserve"> [14-16]</w:t>
      </w:r>
      <w:r w:rsidRPr="00D90BC0">
        <w:rPr>
          <w:rFonts w:ascii="Times New Roman" w:hAnsi="Times New Roman"/>
          <w:color w:val="FF0000"/>
          <w:sz w:val="24"/>
          <w:szCs w:val="24"/>
        </w:rPr>
        <w:t>.</w:t>
      </w:r>
    </w:p>
    <w:p w14:paraId="0124455A" w14:textId="77777777" w:rsidR="00D71D4A" w:rsidRPr="00697DD3" w:rsidRDefault="00B77A14" w:rsidP="00697DD3">
      <w:pPr>
        <w:pStyle w:val="Body"/>
        <w:numPr>
          <w:ilvl w:val="0"/>
          <w:numId w:val="9"/>
        </w:numPr>
        <w:spacing w:line="276" w:lineRule="auto"/>
        <w:ind w:left="426" w:hanging="426"/>
        <w:rPr>
          <w:rFonts w:ascii="Times New Roman" w:hAnsi="Times New Roman"/>
          <w:b/>
          <w:i/>
          <w:sz w:val="24"/>
          <w:szCs w:val="24"/>
        </w:rPr>
      </w:pPr>
      <w:r w:rsidRPr="00AC2156">
        <w:rPr>
          <w:rFonts w:ascii="Times New Roman" w:hAnsi="Times New Roman"/>
          <w:b/>
          <w:i/>
          <w:sz w:val="24"/>
          <w:szCs w:val="24"/>
        </w:rPr>
        <w:lastRenderedPageBreak/>
        <w:t xml:space="preserve">Quality management: </w:t>
      </w:r>
    </w:p>
    <w:p w14:paraId="67852E83" w14:textId="1837A947" w:rsidR="00B77A14" w:rsidRPr="00D71D4A" w:rsidRDefault="00B77A14" w:rsidP="00697DD3">
      <w:pPr>
        <w:pStyle w:val="Body"/>
        <w:spacing w:line="276" w:lineRule="auto"/>
        <w:jc w:val="both"/>
        <w:rPr>
          <w:rFonts w:ascii="Times New Roman" w:hAnsi="Times New Roman"/>
          <w:sz w:val="24"/>
          <w:szCs w:val="24"/>
        </w:rPr>
      </w:pPr>
      <w:r w:rsidRPr="00D71D4A">
        <w:rPr>
          <w:rFonts w:ascii="Times New Roman" w:hAnsi="Times New Roman"/>
          <w:sz w:val="24"/>
          <w:szCs w:val="24"/>
        </w:rPr>
        <w:t>Site quality assurance procedures, review and approval processes, and administrative controls are implemented</w:t>
      </w:r>
      <w:r w:rsidR="003D776C">
        <w:rPr>
          <w:rFonts w:ascii="Times New Roman" w:hAnsi="Times New Roman"/>
          <w:sz w:val="24"/>
          <w:szCs w:val="24"/>
        </w:rPr>
        <w:t xml:space="preserve"> (e.g. 10 CFR Part 50, Appendix </w:t>
      </w:r>
      <w:r w:rsidR="003D776C" w:rsidRPr="002F461B">
        <w:rPr>
          <w:rFonts w:ascii="Times New Roman" w:hAnsi="Times New Roman"/>
          <w:sz w:val="24"/>
          <w:szCs w:val="24"/>
        </w:rPr>
        <w:t>B [</w:t>
      </w:r>
      <w:r w:rsidR="00111B47" w:rsidRPr="002F461B">
        <w:rPr>
          <w:rFonts w:ascii="Times New Roman" w:hAnsi="Times New Roman"/>
          <w:sz w:val="24"/>
          <w:szCs w:val="24"/>
        </w:rPr>
        <w:t>1</w:t>
      </w:r>
      <w:r w:rsidR="00FA7F58">
        <w:rPr>
          <w:rFonts w:ascii="Times New Roman" w:hAnsi="Times New Roman"/>
          <w:sz w:val="24"/>
          <w:szCs w:val="24"/>
        </w:rPr>
        <w:t>7</w:t>
      </w:r>
      <w:r w:rsidR="003D776C" w:rsidRPr="002F461B">
        <w:rPr>
          <w:rFonts w:ascii="Times New Roman" w:hAnsi="Times New Roman"/>
          <w:sz w:val="24"/>
          <w:szCs w:val="24"/>
        </w:rPr>
        <w:t>]).</w:t>
      </w:r>
    </w:p>
    <w:p w14:paraId="7B5646DB" w14:textId="77777777" w:rsidR="00983641" w:rsidRPr="00AC2156" w:rsidRDefault="00983641" w:rsidP="00697DD3">
      <w:pPr>
        <w:pStyle w:val="Body"/>
        <w:spacing w:line="276" w:lineRule="auto"/>
        <w:ind w:left="360"/>
        <w:jc w:val="both"/>
        <w:rPr>
          <w:rFonts w:ascii="Times New Roman" w:hAnsi="Times New Roman"/>
          <w:sz w:val="24"/>
          <w:szCs w:val="24"/>
        </w:rPr>
      </w:pPr>
    </w:p>
    <w:p w14:paraId="37E9411C" w14:textId="77777777" w:rsidR="00F90ECA" w:rsidRDefault="00F90ECA" w:rsidP="00697DD3">
      <w:pPr>
        <w:pStyle w:val="Heading3"/>
        <w:spacing w:before="120" w:line="276" w:lineRule="auto"/>
        <w:jc w:val="both"/>
        <w:rPr>
          <w:rFonts w:ascii="Times New Roman" w:hAnsi="Times New Roman"/>
          <w:sz w:val="24"/>
          <w:szCs w:val="24"/>
        </w:rPr>
      </w:pPr>
      <w:bookmarkStart w:id="3" w:name="_Toc88877621"/>
      <w:r w:rsidRPr="00AC2156">
        <w:rPr>
          <w:rFonts w:ascii="Times New Roman" w:hAnsi="Times New Roman"/>
          <w:sz w:val="24"/>
          <w:szCs w:val="24"/>
        </w:rPr>
        <w:t>References</w:t>
      </w:r>
      <w:bookmarkEnd w:id="3"/>
    </w:p>
    <w:p w14:paraId="0A73AB43" w14:textId="77777777" w:rsidR="00AB7102" w:rsidRDefault="00AB7102" w:rsidP="00EF1E30">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833A2">
        <w:rPr>
          <w:rFonts w:ascii="Times New Roman" w:hAnsi="Times New Roman" w:cs="Times New Roman"/>
          <w:sz w:val="24"/>
          <w:szCs w:val="24"/>
        </w:rPr>
        <w:t>[1]</w:t>
      </w:r>
      <w:r w:rsidRPr="002833A2">
        <w:rPr>
          <w:rFonts w:ascii="Times New Roman" w:hAnsi="Times New Roman" w:cs="Times New Roman"/>
          <w:sz w:val="24"/>
          <w:szCs w:val="24"/>
        </w:rPr>
        <w:tab/>
      </w:r>
      <w:r w:rsidRPr="002833A2">
        <w:rPr>
          <w:rFonts w:ascii="Times New Roman" w:eastAsia="Times New Roman" w:hAnsi="Times New Roman" w:cs="Times New Roman"/>
          <w:sz w:val="24"/>
          <w:szCs w:val="24"/>
        </w:rPr>
        <w:t>UNITED STATES NUCLEAR REGULATORY COMMISSION, Letter from Christopher I. Grimes, USNRC License Renewal and Standardization Branch, to Douglas J. Walters, Nuclear Energy Institute, License Renewal Issue No. 98-0030, Thermal Ageing Embrittlement of Cast Stainless Steel Components, May 19, 2000, (ADAMS Accession No. ML003717179), USNRC</w:t>
      </w:r>
    </w:p>
    <w:p w14:paraId="127DE5E3" w14:textId="77777777" w:rsidR="00AB7102" w:rsidRPr="00900FC6" w:rsidRDefault="00AB7102" w:rsidP="00EF1E30">
      <w:pPr>
        <w:pStyle w:val="References"/>
        <w:tabs>
          <w:tab w:val="left" w:pos="0"/>
        </w:tabs>
        <w:spacing w:line="276" w:lineRule="auto"/>
        <w:ind w:left="539" w:hanging="539"/>
        <w:jc w:val="both"/>
        <w:rPr>
          <w:rFonts w:ascii="Times New Roman" w:hAnsi="Times New Roman" w:cs="Times New Roman"/>
          <w:sz w:val="24"/>
          <w:szCs w:val="24"/>
        </w:rPr>
      </w:pPr>
      <w:r w:rsidRPr="00900FC6">
        <w:rPr>
          <w:rFonts w:ascii="Times New Roman" w:hAnsi="Times New Roman" w:cs="Times New Roman"/>
          <w:sz w:val="24"/>
          <w:szCs w:val="24"/>
        </w:rPr>
        <w:t>[</w:t>
      </w:r>
      <w:r w:rsidR="006C5617" w:rsidRPr="00900FC6">
        <w:rPr>
          <w:rFonts w:ascii="Times New Roman" w:hAnsi="Times New Roman" w:cs="Times New Roman"/>
          <w:sz w:val="24"/>
          <w:szCs w:val="24"/>
        </w:rPr>
        <w:t>2</w:t>
      </w:r>
      <w:r w:rsidRPr="00900FC6">
        <w:rPr>
          <w:rFonts w:ascii="Times New Roman" w:hAnsi="Times New Roman" w:cs="Times New Roman"/>
          <w:sz w:val="24"/>
          <w:szCs w:val="24"/>
        </w:rPr>
        <w:t xml:space="preserve">] </w:t>
      </w:r>
      <w:r w:rsidR="00900FC6">
        <w:rPr>
          <w:rFonts w:ascii="Times New Roman" w:hAnsi="Times New Roman" w:cs="Times New Roman"/>
          <w:sz w:val="24"/>
          <w:szCs w:val="24"/>
        </w:rPr>
        <w:tab/>
      </w:r>
      <w:r w:rsidRPr="00900FC6">
        <w:rPr>
          <w:rFonts w:ascii="Times New Roman" w:hAnsi="Times New Roman" w:cs="Times New Roman"/>
          <w:sz w:val="24"/>
          <w:szCs w:val="24"/>
        </w:rPr>
        <w:t xml:space="preserve">JAPAN NUCLEAR ENERGY SAFETY ORGANIZATION, Review Manual for Aging-Related Technical Evaluation Thermal Aging of </w:t>
      </w:r>
      <w:proofErr w:type="gramStart"/>
      <w:r w:rsidRPr="00900FC6">
        <w:rPr>
          <w:rFonts w:ascii="Times New Roman" w:hAnsi="Times New Roman" w:cs="Times New Roman"/>
          <w:sz w:val="24"/>
          <w:szCs w:val="24"/>
        </w:rPr>
        <w:t>two phase</w:t>
      </w:r>
      <w:proofErr w:type="gramEnd"/>
      <w:r w:rsidRPr="00900FC6">
        <w:rPr>
          <w:rFonts w:ascii="Times New Roman" w:hAnsi="Times New Roman" w:cs="Times New Roman"/>
          <w:sz w:val="24"/>
          <w:szCs w:val="24"/>
        </w:rPr>
        <w:t xml:space="preserve"> stainless steel, JNES-SS-0812-01, JNES</w:t>
      </w:r>
    </w:p>
    <w:p w14:paraId="02E8DFF4" w14:textId="77777777" w:rsidR="00AB7102" w:rsidRPr="00900FC6" w:rsidRDefault="00AB7102" w:rsidP="00EF1E30">
      <w:pPr>
        <w:pStyle w:val="References"/>
        <w:tabs>
          <w:tab w:val="left" w:pos="0"/>
        </w:tabs>
        <w:spacing w:line="276" w:lineRule="auto"/>
        <w:ind w:left="539" w:hanging="539"/>
        <w:jc w:val="both"/>
        <w:rPr>
          <w:rFonts w:ascii="Times New Roman" w:hAnsi="Times New Roman" w:cs="Times New Roman"/>
          <w:sz w:val="24"/>
          <w:szCs w:val="24"/>
        </w:rPr>
      </w:pPr>
      <w:r w:rsidRPr="00900FC6">
        <w:rPr>
          <w:rFonts w:ascii="Times New Roman" w:hAnsi="Times New Roman" w:cs="Times New Roman"/>
          <w:sz w:val="24"/>
          <w:szCs w:val="24"/>
        </w:rPr>
        <w:t>[</w:t>
      </w:r>
      <w:r w:rsidR="006C5617" w:rsidRPr="00900FC6">
        <w:rPr>
          <w:rFonts w:ascii="Times New Roman" w:hAnsi="Times New Roman" w:cs="Times New Roman"/>
          <w:sz w:val="24"/>
          <w:szCs w:val="24"/>
        </w:rPr>
        <w:t>3</w:t>
      </w:r>
      <w:r w:rsidRPr="00900FC6">
        <w:rPr>
          <w:rFonts w:ascii="Times New Roman" w:hAnsi="Times New Roman" w:cs="Times New Roman"/>
          <w:sz w:val="24"/>
          <w:szCs w:val="24"/>
        </w:rPr>
        <w:t>]</w:t>
      </w:r>
      <w:r w:rsidRPr="00900FC6">
        <w:rPr>
          <w:rFonts w:ascii="Times New Roman" w:hAnsi="Times New Roman" w:cs="Times New Roman"/>
          <w:sz w:val="24"/>
          <w:szCs w:val="24"/>
        </w:rPr>
        <w:tab/>
        <w:t>AMERICAN SOCIETY OF MECHANICAL ENGINEERS, Rules for Inservice Inspection of Nuclear Power Plant Components, The ASME Boiler and Pressure Vessel Code, ASME Section XI, as approved in 10 CFR 50.55a, ASME, New York, NY</w:t>
      </w:r>
    </w:p>
    <w:p w14:paraId="3AE446BE" w14:textId="77777777" w:rsidR="00AB7102" w:rsidRDefault="00AB7102" w:rsidP="002A17B1">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900FC6">
        <w:rPr>
          <w:rFonts w:ascii="Times New Roman" w:hAnsi="Times New Roman" w:cs="Times New Roman"/>
          <w:sz w:val="24"/>
          <w:szCs w:val="24"/>
        </w:rPr>
        <w:t>[</w:t>
      </w:r>
      <w:r w:rsidR="002966AA" w:rsidRPr="00900FC6">
        <w:rPr>
          <w:rFonts w:ascii="Times New Roman" w:hAnsi="Times New Roman" w:cs="Times New Roman"/>
          <w:sz w:val="24"/>
          <w:szCs w:val="24"/>
        </w:rPr>
        <w:t>4</w:t>
      </w:r>
      <w:r w:rsidRPr="00900FC6">
        <w:rPr>
          <w:rFonts w:ascii="Times New Roman" w:hAnsi="Times New Roman" w:cs="Times New Roman"/>
          <w:sz w:val="24"/>
          <w:szCs w:val="24"/>
        </w:rPr>
        <w:t>]</w:t>
      </w:r>
      <w:r w:rsidRPr="00900FC6">
        <w:rPr>
          <w:rFonts w:ascii="Times New Roman" w:hAnsi="Times New Roman" w:cs="Times New Roman"/>
          <w:sz w:val="24"/>
          <w:szCs w:val="24"/>
        </w:rPr>
        <w:tab/>
        <w:t>UNITED STATES NUCLEAR REGULATORY COMMISSION, NUREG/CR-4513,</w:t>
      </w:r>
      <w:r w:rsidRPr="002833A2">
        <w:rPr>
          <w:rFonts w:ascii="Times New Roman" w:eastAsia="Times New Roman" w:hAnsi="Times New Roman" w:cs="Times New Roman"/>
          <w:sz w:val="24"/>
          <w:szCs w:val="24"/>
        </w:rPr>
        <w:t xml:space="preserve"> Rev. 1, Estimation of Fracture Toughness of Cast Stainless Steels during Thermal Aging in LWR Systems, USNRC, August 1994</w:t>
      </w:r>
    </w:p>
    <w:p w14:paraId="627ABC38" w14:textId="77777777" w:rsidR="00BE1669" w:rsidRPr="002833A2" w:rsidRDefault="00AB7102" w:rsidP="00BE1669">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833A2">
        <w:rPr>
          <w:rFonts w:ascii="Times New Roman" w:eastAsia="Times New Roman" w:hAnsi="Times New Roman" w:cs="Times New Roman"/>
          <w:sz w:val="24"/>
          <w:szCs w:val="24"/>
        </w:rPr>
        <w:t>[</w:t>
      </w:r>
      <w:r w:rsidR="002966AA">
        <w:rPr>
          <w:rFonts w:ascii="Times New Roman" w:eastAsia="Times New Roman" w:hAnsi="Times New Roman" w:cs="Times New Roman"/>
          <w:sz w:val="24"/>
          <w:szCs w:val="24"/>
        </w:rPr>
        <w:t>5</w:t>
      </w:r>
      <w:r w:rsidRPr="002833A2">
        <w:rPr>
          <w:rFonts w:ascii="Times New Roman" w:eastAsia="Times New Roman" w:hAnsi="Times New Roman" w:cs="Times New Roman"/>
          <w:sz w:val="24"/>
          <w:szCs w:val="24"/>
        </w:rPr>
        <w:t xml:space="preserve">] </w:t>
      </w:r>
      <w:r w:rsidR="00900FC6">
        <w:rPr>
          <w:rFonts w:ascii="Times New Roman" w:eastAsia="Times New Roman" w:hAnsi="Times New Roman" w:cs="Times New Roman"/>
          <w:sz w:val="24"/>
          <w:szCs w:val="24"/>
        </w:rPr>
        <w:tab/>
      </w:r>
      <w:r w:rsidR="00BE1669" w:rsidRPr="002833A2">
        <w:rPr>
          <w:rFonts w:ascii="Times New Roman" w:eastAsia="Times New Roman" w:hAnsi="Times New Roman" w:cs="Times New Roman"/>
          <w:sz w:val="24"/>
          <w:szCs w:val="24"/>
        </w:rPr>
        <w:t xml:space="preserve">ELECTRIC POWER RESEARCH INSTITUTE, BWR Vessel and Internals Project, Reactor Pressure Vessel and Internals Examination Guidelines, BWRVIP-03, (EPRI Technical Report </w:t>
      </w:r>
      <w:r w:rsidR="00BE1669" w:rsidRPr="002833A2">
        <w:rPr>
          <w:rFonts w:ascii="Times New Roman" w:hAnsi="Times New Roman" w:cs="Times New Roman"/>
          <w:sz w:val="24"/>
          <w:szCs w:val="24"/>
        </w:rPr>
        <w:t>3002005571</w:t>
      </w:r>
      <w:r w:rsidR="00BE1669" w:rsidRPr="002833A2">
        <w:rPr>
          <w:rFonts w:ascii="Times New Roman" w:eastAsia="Times New Roman" w:hAnsi="Times New Roman" w:cs="Times New Roman"/>
          <w:sz w:val="24"/>
          <w:szCs w:val="24"/>
        </w:rPr>
        <w:t>), EPRI, Palo Alto, CA, December 2015</w:t>
      </w:r>
    </w:p>
    <w:p w14:paraId="19938EFB" w14:textId="77777777" w:rsidR="00AB7102" w:rsidRPr="002833A2" w:rsidRDefault="00BE1669" w:rsidP="00EF1E30">
      <w:pPr>
        <w:pStyle w:val="References"/>
        <w:tabs>
          <w:tab w:val="left" w:pos="0"/>
        </w:tabs>
        <w:spacing w:line="276" w:lineRule="auto"/>
        <w:ind w:left="539" w:hanging="5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00AB7102" w:rsidRPr="002833A2">
        <w:rPr>
          <w:rFonts w:ascii="Times New Roman" w:eastAsia="Times New Roman" w:hAnsi="Times New Roman" w:cs="Times New Roman"/>
          <w:sz w:val="24"/>
          <w:szCs w:val="24"/>
        </w:rPr>
        <w:t xml:space="preserve">AMERICAN SOCIETY OF MECHANICAL ENGINEERS, ASME Code Case N-824, Ultrasonic Examination of Cast Austenitic Piping Welds </w:t>
      </w:r>
      <w:proofErr w:type="gramStart"/>
      <w:r w:rsidR="00AB7102" w:rsidRPr="002833A2">
        <w:rPr>
          <w:rFonts w:ascii="Times New Roman" w:eastAsia="Times New Roman" w:hAnsi="Times New Roman" w:cs="Times New Roman"/>
          <w:sz w:val="24"/>
          <w:szCs w:val="24"/>
        </w:rPr>
        <w:t>From</w:t>
      </w:r>
      <w:proofErr w:type="gramEnd"/>
      <w:r w:rsidR="00AB7102" w:rsidRPr="002833A2">
        <w:rPr>
          <w:rFonts w:ascii="Times New Roman" w:eastAsia="Times New Roman" w:hAnsi="Times New Roman" w:cs="Times New Roman"/>
          <w:sz w:val="24"/>
          <w:szCs w:val="24"/>
        </w:rPr>
        <w:t xml:space="preserve"> the Outside Surface, Section XI, Division 1, ASME, New York, NY</w:t>
      </w:r>
    </w:p>
    <w:p w14:paraId="4CE0F678" w14:textId="018DC80C" w:rsidR="00AB7102" w:rsidRPr="00D90BC0" w:rsidRDefault="00AB7102" w:rsidP="00EF1E30">
      <w:pPr>
        <w:pStyle w:val="References"/>
        <w:tabs>
          <w:tab w:val="left" w:pos="0"/>
        </w:tabs>
        <w:spacing w:line="276" w:lineRule="auto"/>
        <w:ind w:left="539" w:hanging="539"/>
        <w:jc w:val="both"/>
        <w:rPr>
          <w:rFonts w:ascii="Times New Roman" w:eastAsia="Times New Roman" w:hAnsi="Times New Roman" w:cs="Times New Roman"/>
          <w:color w:val="FF0000"/>
          <w:sz w:val="24"/>
          <w:szCs w:val="24"/>
        </w:rPr>
      </w:pPr>
      <w:r w:rsidRPr="00D90BC0">
        <w:rPr>
          <w:rFonts w:ascii="Times New Roman" w:eastAsia="Times New Roman" w:hAnsi="Times New Roman" w:cs="Times New Roman"/>
          <w:color w:val="FF0000"/>
          <w:sz w:val="24"/>
          <w:szCs w:val="24"/>
        </w:rPr>
        <w:t>[</w:t>
      </w:r>
      <w:r w:rsidR="002966AA" w:rsidRPr="00D90BC0">
        <w:rPr>
          <w:rFonts w:ascii="Times New Roman" w:eastAsia="Times New Roman" w:hAnsi="Times New Roman" w:cs="Times New Roman"/>
          <w:color w:val="FF0000"/>
          <w:sz w:val="24"/>
          <w:szCs w:val="24"/>
        </w:rPr>
        <w:t>7</w:t>
      </w:r>
      <w:r w:rsidRPr="00D90BC0">
        <w:rPr>
          <w:rFonts w:ascii="Times New Roman" w:eastAsia="Times New Roman" w:hAnsi="Times New Roman" w:cs="Times New Roman"/>
          <w:color w:val="FF0000"/>
          <w:sz w:val="24"/>
          <w:szCs w:val="24"/>
        </w:rPr>
        <w:t>]</w:t>
      </w:r>
      <w:r w:rsidRPr="00D90BC0">
        <w:rPr>
          <w:rFonts w:ascii="Times New Roman" w:eastAsia="Times New Roman" w:hAnsi="Times New Roman" w:cs="Times New Roman"/>
          <w:color w:val="FF0000"/>
          <w:sz w:val="24"/>
          <w:szCs w:val="24"/>
        </w:rPr>
        <w:tab/>
        <w:t>ELECTRIC POWER RESEARCH INSTITUTE, Materials Reliability Program: Inspection Standard for P</w:t>
      </w:r>
      <w:r w:rsidR="00870E97" w:rsidRPr="00D90BC0">
        <w:rPr>
          <w:rFonts w:ascii="Times New Roman" w:eastAsia="Times New Roman" w:hAnsi="Times New Roman" w:cs="Times New Roman"/>
          <w:color w:val="FF0000"/>
          <w:sz w:val="24"/>
          <w:szCs w:val="24"/>
        </w:rPr>
        <w:t xml:space="preserve">ressurized </w:t>
      </w:r>
      <w:r w:rsidRPr="00D90BC0">
        <w:rPr>
          <w:rFonts w:ascii="Times New Roman" w:eastAsia="Times New Roman" w:hAnsi="Times New Roman" w:cs="Times New Roman"/>
          <w:color w:val="FF0000"/>
          <w:sz w:val="24"/>
          <w:szCs w:val="24"/>
        </w:rPr>
        <w:t>W</w:t>
      </w:r>
      <w:r w:rsidR="00870E97" w:rsidRPr="00D90BC0">
        <w:rPr>
          <w:rFonts w:ascii="Times New Roman" w:eastAsia="Times New Roman" w:hAnsi="Times New Roman" w:cs="Times New Roman"/>
          <w:color w:val="FF0000"/>
          <w:sz w:val="24"/>
          <w:szCs w:val="24"/>
        </w:rPr>
        <w:t xml:space="preserve">ater </w:t>
      </w:r>
      <w:r w:rsidRPr="00D90BC0">
        <w:rPr>
          <w:rFonts w:ascii="Times New Roman" w:eastAsia="Times New Roman" w:hAnsi="Times New Roman" w:cs="Times New Roman"/>
          <w:color w:val="FF0000"/>
          <w:sz w:val="24"/>
          <w:szCs w:val="24"/>
        </w:rPr>
        <w:t>R</w:t>
      </w:r>
      <w:r w:rsidR="00870E97" w:rsidRPr="00D90BC0">
        <w:rPr>
          <w:rFonts w:ascii="Times New Roman" w:eastAsia="Times New Roman" w:hAnsi="Times New Roman" w:cs="Times New Roman"/>
          <w:color w:val="FF0000"/>
          <w:sz w:val="24"/>
          <w:szCs w:val="24"/>
        </w:rPr>
        <w:t>eactor</w:t>
      </w:r>
      <w:r w:rsidRPr="00D90BC0">
        <w:rPr>
          <w:rFonts w:ascii="Times New Roman" w:eastAsia="Times New Roman" w:hAnsi="Times New Roman" w:cs="Times New Roman"/>
          <w:color w:val="FF0000"/>
          <w:sz w:val="24"/>
          <w:szCs w:val="24"/>
        </w:rPr>
        <w:t xml:space="preserve"> Internals</w:t>
      </w:r>
      <w:r w:rsidR="00870E97" w:rsidRPr="00D90BC0">
        <w:rPr>
          <w:rFonts w:ascii="Times New Roman" w:eastAsia="Times New Roman" w:hAnsi="Times New Roman" w:cs="Times New Roman"/>
          <w:color w:val="FF0000"/>
          <w:sz w:val="24"/>
          <w:szCs w:val="24"/>
        </w:rPr>
        <w:t xml:space="preserve"> – 2018 update</w:t>
      </w:r>
      <w:r w:rsidRPr="00D90BC0">
        <w:rPr>
          <w:rFonts w:ascii="Times New Roman" w:eastAsia="Times New Roman" w:hAnsi="Times New Roman" w:cs="Times New Roman"/>
          <w:color w:val="FF0000"/>
          <w:sz w:val="24"/>
          <w:szCs w:val="24"/>
        </w:rPr>
        <w:t xml:space="preserve"> </w:t>
      </w:r>
      <w:r w:rsidR="00870E97" w:rsidRPr="00D90BC0">
        <w:rPr>
          <w:rFonts w:ascii="Times New Roman" w:eastAsia="Times New Roman" w:hAnsi="Times New Roman" w:cs="Times New Roman"/>
          <w:color w:val="FF0000"/>
          <w:sz w:val="24"/>
          <w:szCs w:val="24"/>
        </w:rPr>
        <w:t>(</w:t>
      </w:r>
      <w:r w:rsidRPr="00D90BC0">
        <w:rPr>
          <w:rFonts w:ascii="Times New Roman" w:eastAsia="Times New Roman" w:hAnsi="Times New Roman" w:cs="Times New Roman"/>
          <w:color w:val="FF0000"/>
          <w:sz w:val="24"/>
          <w:szCs w:val="24"/>
        </w:rPr>
        <w:t>MRP-228</w:t>
      </w:r>
      <w:r w:rsidR="00870E97" w:rsidRPr="00D90BC0">
        <w:rPr>
          <w:rFonts w:ascii="Times New Roman" w:eastAsia="Times New Roman" w:hAnsi="Times New Roman" w:cs="Times New Roman"/>
          <w:color w:val="FF0000"/>
          <w:sz w:val="24"/>
          <w:szCs w:val="24"/>
        </w:rPr>
        <w:t>, rev. 3),</w:t>
      </w:r>
      <w:r w:rsidRPr="00D90BC0">
        <w:rPr>
          <w:rFonts w:ascii="Times New Roman" w:eastAsia="Times New Roman" w:hAnsi="Times New Roman" w:cs="Times New Roman"/>
          <w:color w:val="FF0000"/>
          <w:sz w:val="24"/>
          <w:szCs w:val="24"/>
        </w:rPr>
        <w:t xml:space="preserve"> EPRI Technical Report </w:t>
      </w:r>
      <w:r w:rsidR="00870E97" w:rsidRPr="00D90BC0">
        <w:rPr>
          <w:rFonts w:ascii="Times New Roman" w:eastAsia="Times New Roman" w:hAnsi="Times New Roman" w:cs="Times New Roman"/>
          <w:color w:val="FF0000"/>
          <w:sz w:val="24"/>
          <w:szCs w:val="24"/>
        </w:rPr>
        <w:t>3002010399</w:t>
      </w:r>
      <w:r w:rsidRPr="00D90BC0">
        <w:rPr>
          <w:rFonts w:ascii="Times New Roman" w:eastAsia="Times New Roman" w:hAnsi="Times New Roman" w:cs="Times New Roman"/>
          <w:color w:val="FF0000"/>
          <w:sz w:val="24"/>
          <w:szCs w:val="24"/>
        </w:rPr>
        <w:t xml:space="preserve">, EPRI, Palo Alto, CA, </w:t>
      </w:r>
      <w:r w:rsidR="00870E97" w:rsidRPr="00D90BC0">
        <w:rPr>
          <w:rFonts w:ascii="Times New Roman" w:eastAsia="Times New Roman" w:hAnsi="Times New Roman" w:cs="Times New Roman"/>
          <w:color w:val="FF0000"/>
          <w:sz w:val="24"/>
          <w:szCs w:val="24"/>
        </w:rPr>
        <w:t>2018</w:t>
      </w:r>
    </w:p>
    <w:p w14:paraId="6D5C37C7" w14:textId="77777777" w:rsidR="00AB7102" w:rsidRPr="002833A2" w:rsidRDefault="00AB7102" w:rsidP="00EF1E30">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833A2">
        <w:rPr>
          <w:rFonts w:ascii="Times New Roman" w:eastAsia="Times New Roman" w:hAnsi="Times New Roman" w:cs="Times New Roman"/>
          <w:sz w:val="24"/>
          <w:szCs w:val="24"/>
        </w:rPr>
        <w:t>[</w:t>
      </w:r>
      <w:r w:rsidR="002966AA">
        <w:rPr>
          <w:rFonts w:ascii="Times New Roman" w:eastAsia="Times New Roman" w:hAnsi="Times New Roman" w:cs="Times New Roman"/>
          <w:sz w:val="24"/>
          <w:szCs w:val="24"/>
        </w:rPr>
        <w:t>8</w:t>
      </w:r>
      <w:r w:rsidRPr="002833A2">
        <w:rPr>
          <w:rFonts w:ascii="Times New Roman" w:eastAsia="Times New Roman" w:hAnsi="Times New Roman" w:cs="Times New Roman"/>
          <w:sz w:val="24"/>
          <w:szCs w:val="24"/>
        </w:rPr>
        <w:t>]</w:t>
      </w:r>
      <w:r w:rsidRPr="002833A2">
        <w:rPr>
          <w:rFonts w:ascii="Times New Roman" w:eastAsia="Times New Roman" w:hAnsi="Times New Roman" w:cs="Times New Roman"/>
          <w:sz w:val="24"/>
          <w:szCs w:val="24"/>
        </w:rPr>
        <w:tab/>
        <w:t>Massoud J.P. and al</w:t>
      </w:r>
      <w:r w:rsidR="00B51967">
        <w:rPr>
          <w:rFonts w:ascii="Times New Roman" w:eastAsia="Times New Roman" w:hAnsi="Times New Roman" w:cs="Times New Roman"/>
          <w:sz w:val="24"/>
          <w:szCs w:val="24"/>
        </w:rPr>
        <w:t>.</w:t>
      </w:r>
      <w:r w:rsidRPr="002833A2">
        <w:rPr>
          <w:rFonts w:ascii="Times New Roman" w:eastAsia="Times New Roman" w:hAnsi="Times New Roman" w:cs="Times New Roman"/>
          <w:sz w:val="24"/>
          <w:szCs w:val="24"/>
        </w:rPr>
        <w:t xml:space="preserve">: Thermal Aging of PWR duplex </w:t>
      </w:r>
      <w:proofErr w:type="gramStart"/>
      <w:r w:rsidRPr="002833A2">
        <w:rPr>
          <w:rFonts w:ascii="Times New Roman" w:eastAsia="Times New Roman" w:hAnsi="Times New Roman" w:cs="Times New Roman"/>
          <w:sz w:val="24"/>
          <w:szCs w:val="24"/>
        </w:rPr>
        <w:t>stainless steel</w:t>
      </w:r>
      <w:proofErr w:type="gramEnd"/>
      <w:r w:rsidRPr="002833A2">
        <w:rPr>
          <w:rFonts w:ascii="Times New Roman" w:eastAsia="Times New Roman" w:hAnsi="Times New Roman" w:cs="Times New Roman"/>
          <w:sz w:val="24"/>
          <w:szCs w:val="24"/>
        </w:rPr>
        <w:t xml:space="preserve"> components – Development of a Thermoelectrical Technique as a NonDestructive Evaluation Method of Aging, 7th International Conference on Nuclear Engineering - ICONE 7</w:t>
      </w:r>
    </w:p>
    <w:p w14:paraId="05D4B380" w14:textId="77777777" w:rsidR="00AB7102" w:rsidRPr="002833A2" w:rsidRDefault="00AB7102" w:rsidP="00EF1E30">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833A2">
        <w:rPr>
          <w:rFonts w:ascii="Times New Roman" w:eastAsia="Times New Roman" w:hAnsi="Times New Roman" w:cs="Times New Roman"/>
          <w:sz w:val="24"/>
          <w:szCs w:val="24"/>
        </w:rPr>
        <w:t>[</w:t>
      </w:r>
      <w:r w:rsidR="002966AA">
        <w:rPr>
          <w:rFonts w:ascii="Times New Roman" w:eastAsia="Times New Roman" w:hAnsi="Times New Roman" w:cs="Times New Roman"/>
          <w:sz w:val="24"/>
          <w:szCs w:val="24"/>
        </w:rPr>
        <w:t>9</w:t>
      </w:r>
      <w:r w:rsidRPr="002833A2">
        <w:rPr>
          <w:rFonts w:ascii="Times New Roman" w:eastAsia="Times New Roman" w:hAnsi="Times New Roman" w:cs="Times New Roman"/>
          <w:sz w:val="24"/>
          <w:szCs w:val="24"/>
        </w:rPr>
        <w:t>]</w:t>
      </w:r>
      <w:r w:rsidRPr="002833A2">
        <w:rPr>
          <w:rFonts w:ascii="Times New Roman" w:eastAsia="Times New Roman" w:hAnsi="Times New Roman" w:cs="Times New Roman"/>
          <w:sz w:val="24"/>
          <w:szCs w:val="24"/>
        </w:rPr>
        <w:tab/>
        <w:t>Coste, J.F., Kawaguchi, Y.: Non-Destructive Monitoring of the Thermal Aging of Cast Duplex Stainless Steels Using Thermopower Measurements, 8th International Conference on Nuclear Engineering - ICONE 8</w:t>
      </w:r>
    </w:p>
    <w:p w14:paraId="4BF6DFAF" w14:textId="77777777" w:rsidR="00AB7102" w:rsidRDefault="00AB7102" w:rsidP="00EF1E30">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833A2">
        <w:rPr>
          <w:rFonts w:ascii="Times New Roman" w:eastAsia="Times New Roman" w:hAnsi="Times New Roman" w:cs="Times New Roman"/>
          <w:sz w:val="24"/>
          <w:szCs w:val="24"/>
        </w:rPr>
        <w:t>[1</w:t>
      </w:r>
      <w:r w:rsidR="002966AA">
        <w:rPr>
          <w:rFonts w:ascii="Times New Roman" w:eastAsia="Times New Roman" w:hAnsi="Times New Roman" w:cs="Times New Roman"/>
          <w:sz w:val="24"/>
          <w:szCs w:val="24"/>
        </w:rPr>
        <w:t>0</w:t>
      </w:r>
      <w:r w:rsidRPr="002833A2">
        <w:rPr>
          <w:rFonts w:ascii="Times New Roman" w:eastAsia="Times New Roman" w:hAnsi="Times New Roman" w:cs="Times New Roman"/>
          <w:sz w:val="24"/>
          <w:szCs w:val="24"/>
        </w:rPr>
        <w:t>]</w:t>
      </w:r>
      <w:r w:rsidRPr="002833A2">
        <w:rPr>
          <w:rFonts w:ascii="Times New Roman" w:eastAsia="Times New Roman" w:hAnsi="Times New Roman" w:cs="Times New Roman"/>
          <w:sz w:val="24"/>
          <w:szCs w:val="24"/>
        </w:rPr>
        <w:tab/>
        <w:t>Massoud J.P. and al.: "Evaluation of the thermal ageing of duplex stainless steels. Proceedings of the 6th International Symposium on Environmental Degradation of Materials in Nuclear Power Systems, TMS publication, San Diego, 1993</w:t>
      </w:r>
    </w:p>
    <w:p w14:paraId="58F02087" w14:textId="77777777" w:rsidR="00174EA5" w:rsidRPr="00900FC6" w:rsidRDefault="00BE1669" w:rsidP="00900FC6">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900FC6">
        <w:rPr>
          <w:rFonts w:ascii="Times New Roman" w:eastAsia="Times New Roman" w:hAnsi="Times New Roman" w:cs="Times New Roman"/>
          <w:sz w:val="24"/>
          <w:szCs w:val="24"/>
        </w:rPr>
        <w:lastRenderedPageBreak/>
        <w:t xml:space="preserve"> </w:t>
      </w:r>
      <w:r w:rsidR="00174EA5" w:rsidRPr="00900FC6">
        <w:rPr>
          <w:rFonts w:ascii="Times New Roman" w:eastAsia="Times New Roman" w:hAnsi="Times New Roman" w:cs="Times New Roman"/>
          <w:sz w:val="24"/>
          <w:szCs w:val="24"/>
        </w:rPr>
        <w:t>[</w:t>
      </w:r>
      <w:r w:rsidR="002966AA" w:rsidRPr="00900FC6">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00174EA5" w:rsidRPr="00900FC6">
        <w:rPr>
          <w:rFonts w:ascii="Times New Roman" w:eastAsia="Times New Roman" w:hAnsi="Times New Roman" w:cs="Times New Roman"/>
          <w:sz w:val="24"/>
          <w:szCs w:val="24"/>
        </w:rPr>
        <w:t>]</w:t>
      </w:r>
      <w:r w:rsidR="00174EA5" w:rsidRPr="00900FC6">
        <w:rPr>
          <w:rFonts w:ascii="Times New Roman" w:eastAsia="Times New Roman" w:hAnsi="Times New Roman" w:cs="Times New Roman"/>
          <w:sz w:val="24"/>
          <w:szCs w:val="24"/>
        </w:rPr>
        <w:tab/>
        <w:t>Le Delliou P. et Saillet S. Recent improvements in toughness prediction of cast duplex stainless steel components. PVP2018-84707. Pressure Vessels and Piping Conference PVP2018 July 15-20, 2018, Prague, Czech Republic. PVP2018-84707</w:t>
      </w:r>
    </w:p>
    <w:p w14:paraId="0F1CC0B9" w14:textId="77777777" w:rsidR="00174EA5" w:rsidRPr="00EE257D" w:rsidRDefault="00174EA5" w:rsidP="002966AA">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966AA">
        <w:rPr>
          <w:rFonts w:ascii="Times New Roman" w:eastAsia="Times New Roman" w:hAnsi="Times New Roman" w:cs="Times New Roman"/>
          <w:sz w:val="24"/>
          <w:szCs w:val="24"/>
        </w:rPr>
        <w:t>[</w:t>
      </w:r>
      <w:r w:rsidR="002966AA" w:rsidRPr="002966AA">
        <w:rPr>
          <w:rFonts w:ascii="Times New Roman" w:eastAsia="Times New Roman" w:hAnsi="Times New Roman" w:cs="Times New Roman"/>
          <w:sz w:val="24"/>
          <w:szCs w:val="24"/>
        </w:rPr>
        <w:t>1</w:t>
      </w:r>
      <w:r w:rsidR="00BE1669">
        <w:rPr>
          <w:rFonts w:ascii="Times New Roman" w:eastAsia="Times New Roman" w:hAnsi="Times New Roman" w:cs="Times New Roman"/>
          <w:sz w:val="24"/>
          <w:szCs w:val="24"/>
        </w:rPr>
        <w:t>2</w:t>
      </w:r>
      <w:r w:rsidRPr="002966AA">
        <w:rPr>
          <w:rFonts w:ascii="Times New Roman" w:eastAsia="Times New Roman" w:hAnsi="Times New Roman" w:cs="Times New Roman"/>
          <w:sz w:val="24"/>
          <w:szCs w:val="24"/>
        </w:rPr>
        <w:t xml:space="preserve">] </w:t>
      </w:r>
      <w:r w:rsidRPr="00A1091E">
        <w:rPr>
          <w:rFonts w:ascii="Times New Roman" w:eastAsia="Times New Roman" w:hAnsi="Times New Roman" w:cs="Times New Roman"/>
          <w:sz w:val="24"/>
          <w:szCs w:val="24"/>
        </w:rPr>
        <w:t>Thermal aging of cast duplex stainless steels of PWR: material assessment on removed cast elbows, Fontevraud 6, Report Number INIS-FR--08-0343, 2006</w:t>
      </w:r>
    </w:p>
    <w:p w14:paraId="5D1A3F57" w14:textId="77777777" w:rsidR="00BE1669" w:rsidRDefault="00AB7102" w:rsidP="00BE1669">
      <w:pPr>
        <w:pStyle w:val="References"/>
        <w:tabs>
          <w:tab w:val="left" w:pos="0"/>
        </w:tabs>
        <w:spacing w:line="276" w:lineRule="auto"/>
        <w:ind w:left="539" w:hanging="539"/>
        <w:jc w:val="both"/>
        <w:rPr>
          <w:rFonts w:ascii="Times New Roman" w:eastAsia="Times New Roman" w:hAnsi="Times New Roman" w:cs="Times New Roman"/>
          <w:sz w:val="24"/>
          <w:szCs w:val="24"/>
        </w:rPr>
      </w:pPr>
      <w:r w:rsidRPr="002833A2">
        <w:rPr>
          <w:rFonts w:ascii="Times New Roman" w:eastAsia="Times New Roman" w:hAnsi="Times New Roman" w:cs="Times New Roman"/>
          <w:sz w:val="24"/>
          <w:szCs w:val="24"/>
        </w:rPr>
        <w:t>[1</w:t>
      </w:r>
      <w:r w:rsidR="00BE1669">
        <w:rPr>
          <w:rFonts w:ascii="Times New Roman" w:eastAsia="Times New Roman" w:hAnsi="Times New Roman" w:cs="Times New Roman"/>
          <w:sz w:val="24"/>
          <w:szCs w:val="24"/>
        </w:rPr>
        <w:t>3</w:t>
      </w:r>
      <w:r w:rsidRPr="002833A2">
        <w:rPr>
          <w:rFonts w:ascii="Times New Roman" w:eastAsia="Times New Roman" w:hAnsi="Times New Roman" w:cs="Times New Roman"/>
          <w:sz w:val="24"/>
          <w:szCs w:val="24"/>
        </w:rPr>
        <w:t>]</w:t>
      </w:r>
      <w:r w:rsidRPr="002833A2">
        <w:rPr>
          <w:rFonts w:ascii="Times New Roman" w:eastAsia="Times New Roman" w:hAnsi="Times New Roman" w:cs="Times New Roman"/>
          <w:sz w:val="24"/>
          <w:szCs w:val="24"/>
        </w:rPr>
        <w:tab/>
      </w:r>
      <w:r w:rsidR="00BE1669" w:rsidRPr="002833A2">
        <w:rPr>
          <w:rFonts w:ascii="Times New Roman" w:eastAsia="Times New Roman" w:hAnsi="Times New Roman" w:cs="Times New Roman"/>
          <w:sz w:val="24"/>
          <w:szCs w:val="24"/>
        </w:rPr>
        <w:t>UNITED STATES NUCLEAR REGULATORY COMMISSION, Regulatory Guide (RG) 1.147, Inservice Inspection Code Case Acceptability, ASME Section XI, Division 1, USNRC, 2014</w:t>
      </w:r>
    </w:p>
    <w:p w14:paraId="52FCC70B" w14:textId="4BB0A568" w:rsidR="00111B47" w:rsidRPr="00D90BC0" w:rsidRDefault="00BE1669" w:rsidP="00174EA5">
      <w:pPr>
        <w:pStyle w:val="References"/>
        <w:tabs>
          <w:tab w:val="left" w:pos="0"/>
        </w:tabs>
        <w:spacing w:line="276" w:lineRule="auto"/>
        <w:ind w:left="539" w:hanging="539"/>
        <w:jc w:val="both"/>
        <w:rPr>
          <w:rFonts w:ascii="Times New Roman" w:eastAsia="Times New Roman" w:hAnsi="Times New Roman" w:cs="Times New Roman"/>
          <w:color w:val="FF0000"/>
          <w:sz w:val="24"/>
          <w:szCs w:val="24"/>
        </w:rPr>
      </w:pPr>
      <w:r w:rsidRPr="00D90BC0">
        <w:rPr>
          <w:rFonts w:ascii="Times New Roman" w:eastAsia="Times New Roman" w:hAnsi="Times New Roman" w:cs="Times New Roman"/>
          <w:color w:val="FF0000"/>
          <w:sz w:val="24"/>
          <w:szCs w:val="24"/>
        </w:rPr>
        <w:t>[14]</w:t>
      </w:r>
      <w:r w:rsidRPr="00D90BC0">
        <w:rPr>
          <w:rFonts w:ascii="Times New Roman" w:eastAsia="Times New Roman" w:hAnsi="Times New Roman" w:cs="Times New Roman"/>
          <w:color w:val="FF0000"/>
          <w:sz w:val="24"/>
          <w:szCs w:val="24"/>
        </w:rPr>
        <w:tab/>
      </w:r>
      <w:r w:rsidR="00111B47" w:rsidRPr="00D90BC0">
        <w:rPr>
          <w:rFonts w:ascii="Times New Roman" w:eastAsia="Times New Roman" w:hAnsi="Times New Roman" w:cs="Times New Roman"/>
          <w:color w:val="FF0000"/>
          <w:sz w:val="24"/>
          <w:szCs w:val="24"/>
        </w:rPr>
        <w:t>T</w:t>
      </w:r>
      <w:r w:rsidR="00010A15" w:rsidRPr="00D90BC0">
        <w:rPr>
          <w:rFonts w:ascii="Times New Roman" w:eastAsia="Times New Roman" w:hAnsi="Times New Roman" w:cs="Times New Roman"/>
          <w:color w:val="FF0000"/>
          <w:sz w:val="24"/>
          <w:szCs w:val="24"/>
        </w:rPr>
        <w:t>hermal Ageing of Cast Duplex Stainless Steels of</w:t>
      </w:r>
      <w:r w:rsidR="00111B47" w:rsidRPr="00D90BC0">
        <w:rPr>
          <w:rFonts w:ascii="Times New Roman" w:eastAsia="Times New Roman" w:hAnsi="Times New Roman" w:cs="Times New Roman"/>
          <w:color w:val="FF0000"/>
          <w:sz w:val="24"/>
          <w:szCs w:val="24"/>
        </w:rPr>
        <w:t xml:space="preserve"> PWR: M</w:t>
      </w:r>
      <w:r w:rsidR="00010A15" w:rsidRPr="00D90BC0">
        <w:rPr>
          <w:rFonts w:ascii="Times New Roman" w:eastAsia="Times New Roman" w:hAnsi="Times New Roman" w:cs="Times New Roman"/>
          <w:color w:val="FF0000"/>
          <w:sz w:val="24"/>
          <w:szCs w:val="24"/>
        </w:rPr>
        <w:t>aterial Assessment on Removed Cast Elbows</w:t>
      </w:r>
      <w:r w:rsidR="00111B47" w:rsidRPr="00D90BC0">
        <w:rPr>
          <w:rFonts w:ascii="Times New Roman" w:eastAsia="Times New Roman" w:hAnsi="Times New Roman" w:cs="Times New Roman"/>
          <w:color w:val="FF0000"/>
          <w:sz w:val="24"/>
          <w:szCs w:val="24"/>
        </w:rPr>
        <w:t>, Fontevraud 6, Report Number INIS-FR--08-0343, 2006</w:t>
      </w:r>
    </w:p>
    <w:p w14:paraId="466CD40D" w14:textId="35AF129C" w:rsidR="000D5CA7" w:rsidRPr="00D90BC0" w:rsidRDefault="000D5CA7" w:rsidP="00174EA5">
      <w:pPr>
        <w:pStyle w:val="References"/>
        <w:tabs>
          <w:tab w:val="left" w:pos="0"/>
        </w:tabs>
        <w:spacing w:line="276" w:lineRule="auto"/>
        <w:ind w:left="539" w:hanging="539"/>
        <w:jc w:val="both"/>
        <w:rPr>
          <w:rFonts w:ascii="Times New Roman" w:eastAsia="Times New Roman" w:hAnsi="Times New Roman" w:cs="Times New Roman"/>
          <w:color w:val="FF0000"/>
          <w:sz w:val="24"/>
          <w:szCs w:val="24"/>
        </w:rPr>
      </w:pPr>
      <w:r w:rsidRPr="00D90BC0">
        <w:rPr>
          <w:rFonts w:ascii="Times New Roman" w:eastAsia="Times New Roman" w:hAnsi="Times New Roman" w:cs="Times New Roman"/>
          <w:color w:val="FF0000"/>
          <w:sz w:val="24"/>
          <w:szCs w:val="24"/>
        </w:rPr>
        <w:t xml:space="preserve">[15] </w:t>
      </w:r>
      <w:r w:rsidR="0012028E" w:rsidRPr="00D90BC0">
        <w:rPr>
          <w:rFonts w:ascii="Times New Roman" w:eastAsia="Times New Roman" w:hAnsi="Times New Roman" w:cs="Times New Roman"/>
          <w:color w:val="FF0000"/>
          <w:sz w:val="24"/>
          <w:szCs w:val="24"/>
        </w:rPr>
        <w:t>Faidy C</w:t>
      </w:r>
      <w:r w:rsidR="00010A15" w:rsidRPr="00D90BC0">
        <w:rPr>
          <w:rFonts w:ascii="Times New Roman" w:eastAsia="Times New Roman" w:hAnsi="Times New Roman" w:cs="Times New Roman"/>
          <w:color w:val="FF0000"/>
          <w:sz w:val="24"/>
          <w:szCs w:val="24"/>
        </w:rPr>
        <w:t>,</w:t>
      </w:r>
      <w:r w:rsidR="0012028E" w:rsidRPr="00D90BC0">
        <w:rPr>
          <w:rFonts w:ascii="Times New Roman" w:eastAsia="Times New Roman" w:hAnsi="Times New Roman" w:cs="Times New Roman"/>
          <w:color w:val="FF0000"/>
          <w:sz w:val="24"/>
          <w:szCs w:val="24"/>
        </w:rPr>
        <w:t xml:space="preserve"> A</w:t>
      </w:r>
      <w:r w:rsidR="00010A15" w:rsidRPr="00D90BC0">
        <w:rPr>
          <w:rFonts w:ascii="Times New Roman" w:eastAsia="Times New Roman" w:hAnsi="Times New Roman" w:cs="Times New Roman"/>
          <w:color w:val="FF0000"/>
          <w:sz w:val="24"/>
          <w:szCs w:val="24"/>
        </w:rPr>
        <w:t>geing Management of Cast Stainless Steel Components in French PWRs,</w:t>
      </w:r>
      <w:r w:rsidR="0012028E" w:rsidRPr="00D90BC0">
        <w:rPr>
          <w:rFonts w:ascii="Times New Roman" w:eastAsia="Times New Roman" w:hAnsi="Times New Roman" w:cs="Times New Roman"/>
          <w:color w:val="FF0000"/>
          <w:sz w:val="24"/>
          <w:szCs w:val="24"/>
        </w:rPr>
        <w:t xml:space="preserve"> Pressure Vessels and Piping Conference PVP2012 July 15-19, 2012, Toronto, Ontario, Canada. PVP2012-78843</w:t>
      </w:r>
    </w:p>
    <w:p w14:paraId="580FD581" w14:textId="2DBE5A97" w:rsidR="0012028E" w:rsidRPr="00D90BC0" w:rsidRDefault="0012028E" w:rsidP="0012028E">
      <w:pPr>
        <w:pStyle w:val="References"/>
        <w:tabs>
          <w:tab w:val="left" w:pos="0"/>
        </w:tabs>
        <w:spacing w:line="276" w:lineRule="auto"/>
        <w:ind w:left="539" w:hanging="539"/>
        <w:jc w:val="both"/>
        <w:rPr>
          <w:rFonts w:ascii="Times New Roman" w:eastAsia="Times New Roman" w:hAnsi="Times New Roman" w:cs="Times New Roman"/>
          <w:color w:val="FF0000"/>
          <w:sz w:val="24"/>
          <w:szCs w:val="24"/>
        </w:rPr>
      </w:pPr>
      <w:r w:rsidRPr="00D90BC0">
        <w:rPr>
          <w:rFonts w:ascii="Times New Roman" w:eastAsia="Times New Roman" w:hAnsi="Times New Roman" w:cs="Times New Roman"/>
          <w:color w:val="FF0000"/>
          <w:sz w:val="24"/>
          <w:szCs w:val="24"/>
        </w:rPr>
        <w:t>[16] Saillet S. and Le Delliou</w:t>
      </w:r>
      <w:r w:rsidR="00010A15" w:rsidRPr="00D90BC0">
        <w:rPr>
          <w:rFonts w:ascii="Times New Roman" w:eastAsia="Times New Roman" w:hAnsi="Times New Roman" w:cs="Times New Roman"/>
          <w:color w:val="FF0000"/>
          <w:sz w:val="24"/>
          <w:szCs w:val="24"/>
        </w:rPr>
        <w:t>,</w:t>
      </w:r>
      <w:r w:rsidRPr="00D90BC0">
        <w:rPr>
          <w:rFonts w:ascii="Times New Roman" w:eastAsia="Times New Roman" w:hAnsi="Times New Roman" w:cs="Times New Roman"/>
          <w:color w:val="FF0000"/>
          <w:sz w:val="24"/>
          <w:szCs w:val="24"/>
        </w:rPr>
        <w:t xml:space="preserve"> P</w:t>
      </w:r>
      <w:r w:rsidR="00010A15" w:rsidRPr="00D90BC0">
        <w:rPr>
          <w:rFonts w:ascii="Times New Roman" w:eastAsia="Times New Roman" w:hAnsi="Times New Roman" w:cs="Times New Roman"/>
          <w:color w:val="FF0000"/>
          <w:sz w:val="24"/>
          <w:szCs w:val="24"/>
        </w:rPr>
        <w:t xml:space="preserve">rediction of J-R Curves and Thermoelectric Power Evolution of Cast Austenitic Stainless Steel after Very Long-term Ageing </w:t>
      </w:r>
      <w:r w:rsidRPr="00D90BC0">
        <w:rPr>
          <w:rFonts w:ascii="Times New Roman" w:eastAsia="Times New Roman" w:hAnsi="Times New Roman" w:cs="Times New Roman"/>
          <w:color w:val="FF0000"/>
          <w:sz w:val="24"/>
          <w:szCs w:val="24"/>
        </w:rPr>
        <w:t>(200,000 h)</w:t>
      </w:r>
      <w:r w:rsidR="00F41C1F" w:rsidRPr="00D90BC0">
        <w:rPr>
          <w:rFonts w:ascii="Times New Roman" w:eastAsia="Times New Roman" w:hAnsi="Times New Roman" w:cs="Times New Roman"/>
          <w:color w:val="FF0000"/>
          <w:sz w:val="24"/>
          <w:szCs w:val="24"/>
        </w:rPr>
        <w:t xml:space="preserve"> </w:t>
      </w:r>
      <w:r w:rsidR="00010A15" w:rsidRPr="00D90BC0">
        <w:rPr>
          <w:rFonts w:ascii="Times New Roman" w:eastAsia="Times New Roman" w:hAnsi="Times New Roman" w:cs="Times New Roman"/>
          <w:color w:val="FF0000"/>
          <w:sz w:val="24"/>
          <w:szCs w:val="24"/>
        </w:rPr>
        <w:t xml:space="preserve">at Temperatures below </w:t>
      </w:r>
      <w:r w:rsidR="00F41C1F" w:rsidRPr="00D90BC0">
        <w:rPr>
          <w:rFonts w:ascii="Times New Roman" w:eastAsia="Times New Roman" w:hAnsi="Times New Roman" w:cs="Times New Roman"/>
          <w:color w:val="FF0000"/>
          <w:sz w:val="24"/>
          <w:szCs w:val="24"/>
        </w:rPr>
        <w:t>350°C</w:t>
      </w:r>
      <w:r w:rsidR="00010A15" w:rsidRPr="00D90BC0">
        <w:rPr>
          <w:rFonts w:ascii="Times New Roman" w:eastAsia="Times New Roman" w:hAnsi="Times New Roman" w:cs="Times New Roman"/>
          <w:color w:val="FF0000"/>
          <w:sz w:val="24"/>
          <w:szCs w:val="24"/>
        </w:rPr>
        <w:t>,</w:t>
      </w:r>
      <w:r w:rsidRPr="00D90BC0">
        <w:rPr>
          <w:rFonts w:ascii="Times New Roman" w:eastAsia="Times New Roman" w:hAnsi="Times New Roman" w:cs="Times New Roman"/>
          <w:color w:val="FF0000"/>
          <w:sz w:val="24"/>
          <w:szCs w:val="24"/>
        </w:rPr>
        <w:t xml:space="preserve"> </w:t>
      </w:r>
      <w:r w:rsidR="00F41C1F" w:rsidRPr="00D90BC0">
        <w:rPr>
          <w:rFonts w:ascii="Times New Roman" w:eastAsia="Times New Roman" w:hAnsi="Times New Roman" w:cs="Times New Roman"/>
          <w:color w:val="FF0000"/>
          <w:sz w:val="24"/>
          <w:szCs w:val="24"/>
        </w:rPr>
        <w:t>Journal of Nuclear Materials 540 (2020) 152328</w:t>
      </w:r>
    </w:p>
    <w:p w14:paraId="727EAD72" w14:textId="7AA61803" w:rsidR="00AB7102" w:rsidRDefault="00111B47" w:rsidP="00174EA5">
      <w:pPr>
        <w:pStyle w:val="References"/>
        <w:tabs>
          <w:tab w:val="left" w:pos="0"/>
        </w:tabs>
        <w:spacing w:line="276" w:lineRule="auto"/>
        <w:ind w:left="539" w:hanging="5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2028E">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AB7102" w:rsidRPr="002833A2">
        <w:rPr>
          <w:rFonts w:ascii="Times New Roman" w:eastAsia="Times New Roman" w:hAnsi="Times New Roman" w:cs="Times New Roman"/>
          <w:sz w:val="24"/>
          <w:szCs w:val="24"/>
        </w:rPr>
        <w:t xml:space="preserve">UNITED STATES NUCLEAR REGULATORY COMMISSION, 10 CFR Part 50, Appendix B, Quality Assurance Criteria for Nuclear Power Plants, Office of the Federal Register, National Archives and Records Administration, USNRC, </w:t>
      </w:r>
      <w:r w:rsidR="00900FC6">
        <w:rPr>
          <w:rFonts w:ascii="Times New Roman" w:eastAsia="Times New Roman" w:hAnsi="Times New Roman" w:cs="Times New Roman"/>
          <w:sz w:val="24"/>
          <w:szCs w:val="24"/>
        </w:rPr>
        <w:t>Latest Edition</w:t>
      </w:r>
    </w:p>
    <w:p w14:paraId="00D0EAB9" w14:textId="77777777" w:rsidR="00A53512" w:rsidRPr="002833A2" w:rsidRDefault="00A53512" w:rsidP="00EF1E30">
      <w:pPr>
        <w:pStyle w:val="References"/>
        <w:tabs>
          <w:tab w:val="left" w:pos="0"/>
        </w:tabs>
        <w:spacing w:line="276" w:lineRule="auto"/>
        <w:ind w:left="539" w:hanging="539"/>
        <w:jc w:val="both"/>
        <w:rPr>
          <w:rFonts w:ascii="Times New Roman" w:eastAsia="Times New Roman" w:hAnsi="Times New Roman" w:cs="Times New Roman"/>
          <w:sz w:val="24"/>
          <w:szCs w:val="24"/>
        </w:rPr>
      </w:pPr>
    </w:p>
    <w:p w14:paraId="69C97BDE" w14:textId="77777777" w:rsidR="004B46F6" w:rsidRPr="0040305E" w:rsidRDefault="004B46F6" w:rsidP="0040305E">
      <w:pPr>
        <w:pStyle w:val="References"/>
        <w:tabs>
          <w:tab w:val="left" w:pos="900"/>
        </w:tabs>
        <w:ind w:left="540" w:hanging="540"/>
        <w:jc w:val="both"/>
        <w:rPr>
          <w:rFonts w:ascii="Times New Roman" w:eastAsia="Times New Roman" w:hAnsi="Times New Roman" w:cs="Times New Roman"/>
          <w:sz w:val="24"/>
          <w:szCs w:val="24"/>
        </w:rPr>
      </w:pPr>
    </w:p>
    <w:sectPr w:rsidR="004B46F6" w:rsidRPr="0040305E" w:rsidSect="00D40353">
      <w:headerReference w:type="even" r:id="rId12"/>
      <w:headerReference w:type="default" r:id="rId13"/>
      <w:footerReference w:type="even" r:id="rId14"/>
      <w:footerReference w:type="default" r:id="rId15"/>
      <w:headerReference w:type="first" r:id="rId16"/>
      <w:footerReference w:type="first" r:id="rId17"/>
      <w:pgSz w:w="11906" w:h="16838" w:code="9"/>
      <w:pgMar w:top="1417" w:right="1274" w:bottom="1985" w:left="1417" w:header="708" w:footer="9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AE4A6" w14:textId="77777777" w:rsidR="004F7E1D" w:rsidRDefault="004F7E1D" w:rsidP="0084585B">
      <w:r>
        <w:separator/>
      </w:r>
    </w:p>
  </w:endnote>
  <w:endnote w:type="continuationSeparator" w:id="0">
    <w:p w14:paraId="14EEA55A" w14:textId="77777777" w:rsidR="004F7E1D" w:rsidRDefault="004F7E1D" w:rsidP="0084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3849" w14:textId="77777777" w:rsidR="00E92276" w:rsidRDefault="00E92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F21EF" w14:textId="77777777" w:rsidR="00533858" w:rsidRPr="00B51967" w:rsidRDefault="00533858" w:rsidP="00B51967">
    <w:pPr>
      <w:pStyle w:val="Footer"/>
      <w:spacing w:before="240"/>
      <w:jc w:val="center"/>
      <w:rPr>
        <w:sz w:val="20"/>
      </w:rPr>
    </w:pPr>
    <w:r w:rsidRPr="00B51967">
      <w:rPr>
        <w:sz w:val="20"/>
      </w:rPr>
      <w:fldChar w:fldCharType="begin"/>
    </w:r>
    <w:r w:rsidRPr="00B51967">
      <w:rPr>
        <w:sz w:val="20"/>
      </w:rPr>
      <w:instrText>PAGE   \* MERGEFORMAT</w:instrText>
    </w:r>
    <w:r w:rsidRPr="00B51967">
      <w:rPr>
        <w:sz w:val="20"/>
      </w:rPr>
      <w:fldChar w:fldCharType="separate"/>
    </w:r>
    <w:r w:rsidR="00870E97" w:rsidRPr="00870E97">
      <w:rPr>
        <w:noProof/>
        <w:sz w:val="20"/>
        <w:lang w:val="de-DE"/>
      </w:rPr>
      <w:t>6</w:t>
    </w:r>
    <w:r w:rsidRPr="00B51967">
      <w:rPr>
        <w:sz w:val="20"/>
      </w:rPr>
      <w:fldChar w:fldCharType="end"/>
    </w:r>
  </w:p>
  <w:p w14:paraId="5555C3D6" w14:textId="77777777" w:rsidR="00533858" w:rsidRDefault="00533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03982" w14:textId="77777777" w:rsidR="00E92276" w:rsidRDefault="00E92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3AB3" w14:textId="77777777" w:rsidR="004F7E1D" w:rsidRDefault="004F7E1D" w:rsidP="0084585B">
      <w:r>
        <w:separator/>
      </w:r>
    </w:p>
  </w:footnote>
  <w:footnote w:type="continuationSeparator" w:id="0">
    <w:p w14:paraId="7867C10C" w14:textId="77777777" w:rsidR="004F7E1D" w:rsidRDefault="004F7E1D" w:rsidP="0084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3FB3F" w14:textId="77777777" w:rsidR="00E92276" w:rsidRDefault="00E92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69BC8" w14:textId="77777777" w:rsidR="00E92276" w:rsidRDefault="00E92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21A1C" w14:textId="77777777" w:rsidR="00E92276" w:rsidRDefault="00E92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4B4BEE8"/>
    <w:lvl w:ilvl="0">
      <w:numFmt w:val="bullet"/>
      <w:lvlText w:val="*"/>
      <w:lvlJc w:val="left"/>
    </w:lvl>
  </w:abstractNum>
  <w:abstractNum w:abstractNumId="1" w15:restartNumberingAfterBreak="0">
    <w:nsid w:val="0C670D02"/>
    <w:multiLevelType w:val="hybridMultilevel"/>
    <w:tmpl w:val="9606D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CC6BD1"/>
    <w:multiLevelType w:val="hybridMultilevel"/>
    <w:tmpl w:val="140E9F9A"/>
    <w:lvl w:ilvl="0" w:tplc="5B90388A">
      <w:start w:val="1"/>
      <w:numFmt w:val="decimal"/>
      <w:lvlText w:val="%1."/>
      <w:lvlJc w:val="left"/>
      <w:pPr>
        <w:ind w:left="660" w:hanging="540"/>
      </w:pPr>
      <w:rPr>
        <w:rFonts w:ascii="Times New Roman" w:eastAsia="Times New Roman" w:hAnsi="Times New Roman" w:hint="default"/>
        <w:sz w:val="24"/>
        <w:szCs w:val="24"/>
      </w:rPr>
    </w:lvl>
    <w:lvl w:ilvl="1" w:tplc="7D0E1326">
      <w:start w:val="1"/>
      <w:numFmt w:val="bullet"/>
      <w:lvlText w:val="•"/>
      <w:lvlJc w:val="left"/>
      <w:pPr>
        <w:ind w:left="1588" w:hanging="540"/>
      </w:pPr>
      <w:rPr>
        <w:rFonts w:hint="default"/>
      </w:rPr>
    </w:lvl>
    <w:lvl w:ilvl="2" w:tplc="EA6605F0">
      <w:start w:val="1"/>
      <w:numFmt w:val="bullet"/>
      <w:lvlText w:val="•"/>
      <w:lvlJc w:val="left"/>
      <w:pPr>
        <w:ind w:left="2516" w:hanging="540"/>
      </w:pPr>
      <w:rPr>
        <w:rFonts w:hint="default"/>
      </w:rPr>
    </w:lvl>
    <w:lvl w:ilvl="3" w:tplc="48F44846">
      <w:start w:val="1"/>
      <w:numFmt w:val="bullet"/>
      <w:lvlText w:val="•"/>
      <w:lvlJc w:val="left"/>
      <w:pPr>
        <w:ind w:left="3444" w:hanging="540"/>
      </w:pPr>
      <w:rPr>
        <w:rFonts w:hint="default"/>
      </w:rPr>
    </w:lvl>
    <w:lvl w:ilvl="4" w:tplc="2922541C">
      <w:start w:val="1"/>
      <w:numFmt w:val="bullet"/>
      <w:lvlText w:val="•"/>
      <w:lvlJc w:val="left"/>
      <w:pPr>
        <w:ind w:left="4372" w:hanging="540"/>
      </w:pPr>
      <w:rPr>
        <w:rFonts w:hint="default"/>
      </w:rPr>
    </w:lvl>
    <w:lvl w:ilvl="5" w:tplc="215663BA">
      <w:start w:val="1"/>
      <w:numFmt w:val="bullet"/>
      <w:lvlText w:val="•"/>
      <w:lvlJc w:val="left"/>
      <w:pPr>
        <w:ind w:left="5300" w:hanging="540"/>
      </w:pPr>
      <w:rPr>
        <w:rFonts w:hint="default"/>
      </w:rPr>
    </w:lvl>
    <w:lvl w:ilvl="6" w:tplc="49084F8A">
      <w:start w:val="1"/>
      <w:numFmt w:val="bullet"/>
      <w:lvlText w:val="•"/>
      <w:lvlJc w:val="left"/>
      <w:pPr>
        <w:ind w:left="6228" w:hanging="540"/>
      </w:pPr>
      <w:rPr>
        <w:rFonts w:hint="default"/>
      </w:rPr>
    </w:lvl>
    <w:lvl w:ilvl="7" w:tplc="E4400572">
      <w:start w:val="1"/>
      <w:numFmt w:val="bullet"/>
      <w:lvlText w:val="•"/>
      <w:lvlJc w:val="left"/>
      <w:pPr>
        <w:ind w:left="7156" w:hanging="540"/>
      </w:pPr>
      <w:rPr>
        <w:rFonts w:hint="default"/>
      </w:rPr>
    </w:lvl>
    <w:lvl w:ilvl="8" w:tplc="5F968BFE">
      <w:start w:val="1"/>
      <w:numFmt w:val="bullet"/>
      <w:lvlText w:val="•"/>
      <w:lvlJc w:val="left"/>
      <w:pPr>
        <w:ind w:left="8084" w:hanging="540"/>
      </w:pPr>
      <w:rPr>
        <w:rFonts w:hint="default"/>
      </w:rPr>
    </w:lvl>
  </w:abstractNum>
  <w:abstractNum w:abstractNumId="3"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3D7C7A53"/>
    <w:multiLevelType w:val="hybridMultilevel"/>
    <w:tmpl w:val="28FC9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7B368A9"/>
    <w:multiLevelType w:val="hybridMultilevel"/>
    <w:tmpl w:val="AE52F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86F08EB"/>
    <w:multiLevelType w:val="hybridMultilevel"/>
    <w:tmpl w:val="DEBEBB74"/>
    <w:lvl w:ilvl="0" w:tplc="1AC44CE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4A3C1A8C"/>
    <w:multiLevelType w:val="hybridMultilevel"/>
    <w:tmpl w:val="569E6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4645B0"/>
    <w:multiLevelType w:val="hybridMultilevel"/>
    <w:tmpl w:val="5D1ED9EC"/>
    <w:lvl w:ilvl="0" w:tplc="7218703A">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4766D0"/>
    <w:multiLevelType w:val="hybridMultilevel"/>
    <w:tmpl w:val="114E1C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08106D"/>
    <w:multiLevelType w:val="hybridMultilevel"/>
    <w:tmpl w:val="C8B2DDF6"/>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 w15:restartNumberingAfterBreak="0">
    <w:nsid w:val="7F28064A"/>
    <w:multiLevelType w:val="multilevel"/>
    <w:tmpl w:val="AE52F2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3"/>
  </w:num>
  <w:num w:numId="3">
    <w:abstractNumId w:val="1"/>
  </w:num>
  <w:num w:numId="4">
    <w:abstractNumId w:val="5"/>
  </w:num>
  <w:num w:numId="5">
    <w:abstractNumId w:val="11"/>
  </w:num>
  <w:num w:numId="6">
    <w:abstractNumId w:val="9"/>
  </w:num>
  <w:num w:numId="7">
    <w:abstractNumId w:val="0"/>
    <w:lvlOverride w:ilvl="0">
      <w:lvl w:ilvl="0">
        <w:numFmt w:val="bullet"/>
        <w:lvlText w:val="•"/>
        <w:legacy w:legacy="1" w:legacySpace="0" w:legacyIndent="0"/>
        <w:lvlJc w:val="left"/>
        <w:rPr>
          <w:rFonts w:ascii="Helv" w:hAnsi="Helv" w:hint="default"/>
        </w:rPr>
      </w:lvl>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 w:numId="12">
    <w:abstractNumId w:val="7"/>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4585B"/>
    <w:rsid w:val="000038CA"/>
    <w:rsid w:val="00010A15"/>
    <w:rsid w:val="000118D0"/>
    <w:rsid w:val="00012D7C"/>
    <w:rsid w:val="00015BD2"/>
    <w:rsid w:val="0002169D"/>
    <w:rsid w:val="00021F65"/>
    <w:rsid w:val="0002420F"/>
    <w:rsid w:val="00031E47"/>
    <w:rsid w:val="000324D1"/>
    <w:rsid w:val="00033D18"/>
    <w:rsid w:val="0004052D"/>
    <w:rsid w:val="00042707"/>
    <w:rsid w:val="00046A46"/>
    <w:rsid w:val="00064B56"/>
    <w:rsid w:val="000673BF"/>
    <w:rsid w:val="000674DD"/>
    <w:rsid w:val="00072E79"/>
    <w:rsid w:val="00080B9C"/>
    <w:rsid w:val="0008172C"/>
    <w:rsid w:val="000818FF"/>
    <w:rsid w:val="000915A6"/>
    <w:rsid w:val="000970BB"/>
    <w:rsid w:val="000A02C5"/>
    <w:rsid w:val="000A680A"/>
    <w:rsid w:val="000B525B"/>
    <w:rsid w:val="000B7E6F"/>
    <w:rsid w:val="000B7EA8"/>
    <w:rsid w:val="000C0B13"/>
    <w:rsid w:val="000C2C42"/>
    <w:rsid w:val="000D21B6"/>
    <w:rsid w:val="000D4F5C"/>
    <w:rsid w:val="000D5CA7"/>
    <w:rsid w:val="000D7260"/>
    <w:rsid w:val="000E0AED"/>
    <w:rsid w:val="000E3E16"/>
    <w:rsid w:val="00111B47"/>
    <w:rsid w:val="00113A95"/>
    <w:rsid w:val="00114BD8"/>
    <w:rsid w:val="001175C9"/>
    <w:rsid w:val="0012028E"/>
    <w:rsid w:val="00123C34"/>
    <w:rsid w:val="0012496B"/>
    <w:rsid w:val="00125A53"/>
    <w:rsid w:val="00126F0A"/>
    <w:rsid w:val="00144F79"/>
    <w:rsid w:val="00147062"/>
    <w:rsid w:val="0015439B"/>
    <w:rsid w:val="001742C3"/>
    <w:rsid w:val="00174EA5"/>
    <w:rsid w:val="00175D20"/>
    <w:rsid w:val="0017747C"/>
    <w:rsid w:val="00182769"/>
    <w:rsid w:val="001A36C4"/>
    <w:rsid w:val="001A4EC4"/>
    <w:rsid w:val="001A6CF6"/>
    <w:rsid w:val="001B0406"/>
    <w:rsid w:val="001B36AE"/>
    <w:rsid w:val="001B5B91"/>
    <w:rsid w:val="001C0322"/>
    <w:rsid w:val="001C36D1"/>
    <w:rsid w:val="001C774D"/>
    <w:rsid w:val="001D0056"/>
    <w:rsid w:val="001D4BA2"/>
    <w:rsid w:val="001E5EB1"/>
    <w:rsid w:val="001F05DC"/>
    <w:rsid w:val="001F35C9"/>
    <w:rsid w:val="00206B97"/>
    <w:rsid w:val="00212661"/>
    <w:rsid w:val="002157AB"/>
    <w:rsid w:val="00216E4A"/>
    <w:rsid w:val="00220DE9"/>
    <w:rsid w:val="00242267"/>
    <w:rsid w:val="00253B10"/>
    <w:rsid w:val="00254D9D"/>
    <w:rsid w:val="0026039F"/>
    <w:rsid w:val="002668D6"/>
    <w:rsid w:val="002966AA"/>
    <w:rsid w:val="002A008E"/>
    <w:rsid w:val="002A03D6"/>
    <w:rsid w:val="002A17B1"/>
    <w:rsid w:val="002A7B1F"/>
    <w:rsid w:val="002B1ACF"/>
    <w:rsid w:val="002B3E3A"/>
    <w:rsid w:val="002C7281"/>
    <w:rsid w:val="002D1EED"/>
    <w:rsid w:val="002D2A77"/>
    <w:rsid w:val="002D2D0E"/>
    <w:rsid w:val="002E2B4B"/>
    <w:rsid w:val="002E42E3"/>
    <w:rsid w:val="002E4C5B"/>
    <w:rsid w:val="002E624A"/>
    <w:rsid w:val="002F2925"/>
    <w:rsid w:val="002F590C"/>
    <w:rsid w:val="00300CF8"/>
    <w:rsid w:val="003029FE"/>
    <w:rsid w:val="00303205"/>
    <w:rsid w:val="00310D18"/>
    <w:rsid w:val="00313FBC"/>
    <w:rsid w:val="00315FA4"/>
    <w:rsid w:val="00320259"/>
    <w:rsid w:val="00340E37"/>
    <w:rsid w:val="00344357"/>
    <w:rsid w:val="003470C3"/>
    <w:rsid w:val="00362230"/>
    <w:rsid w:val="003720A4"/>
    <w:rsid w:val="00372B57"/>
    <w:rsid w:val="00383D35"/>
    <w:rsid w:val="00385EF7"/>
    <w:rsid w:val="00386346"/>
    <w:rsid w:val="003A1A13"/>
    <w:rsid w:val="003A4BA6"/>
    <w:rsid w:val="003A4DD0"/>
    <w:rsid w:val="003A4F33"/>
    <w:rsid w:val="003A7F4F"/>
    <w:rsid w:val="003B005E"/>
    <w:rsid w:val="003B14F2"/>
    <w:rsid w:val="003C3042"/>
    <w:rsid w:val="003C667B"/>
    <w:rsid w:val="003D2FDA"/>
    <w:rsid w:val="003D72A2"/>
    <w:rsid w:val="003D776C"/>
    <w:rsid w:val="003E29EF"/>
    <w:rsid w:val="003F1586"/>
    <w:rsid w:val="003F3A12"/>
    <w:rsid w:val="003F7FA1"/>
    <w:rsid w:val="0040305E"/>
    <w:rsid w:val="00403346"/>
    <w:rsid w:val="00405991"/>
    <w:rsid w:val="00406DF4"/>
    <w:rsid w:val="004140B0"/>
    <w:rsid w:val="004211A1"/>
    <w:rsid w:val="0042534F"/>
    <w:rsid w:val="00441FF4"/>
    <w:rsid w:val="00444F40"/>
    <w:rsid w:val="00450669"/>
    <w:rsid w:val="0045540A"/>
    <w:rsid w:val="00462E5C"/>
    <w:rsid w:val="004631E2"/>
    <w:rsid w:val="004774CA"/>
    <w:rsid w:val="00477872"/>
    <w:rsid w:val="00480009"/>
    <w:rsid w:val="00486CD3"/>
    <w:rsid w:val="004A1EF7"/>
    <w:rsid w:val="004A4961"/>
    <w:rsid w:val="004A5757"/>
    <w:rsid w:val="004B46F6"/>
    <w:rsid w:val="004B6ADE"/>
    <w:rsid w:val="004C4A2C"/>
    <w:rsid w:val="004C605B"/>
    <w:rsid w:val="004C6C3B"/>
    <w:rsid w:val="004E1277"/>
    <w:rsid w:val="004E26AB"/>
    <w:rsid w:val="004E4B52"/>
    <w:rsid w:val="004E647F"/>
    <w:rsid w:val="004F0F70"/>
    <w:rsid w:val="004F7E1D"/>
    <w:rsid w:val="00500308"/>
    <w:rsid w:val="005017E2"/>
    <w:rsid w:val="0050395A"/>
    <w:rsid w:val="00507679"/>
    <w:rsid w:val="00522748"/>
    <w:rsid w:val="0053039F"/>
    <w:rsid w:val="00533858"/>
    <w:rsid w:val="0054067F"/>
    <w:rsid w:val="00541C2A"/>
    <w:rsid w:val="005425F6"/>
    <w:rsid w:val="00544135"/>
    <w:rsid w:val="005543FD"/>
    <w:rsid w:val="00554CD9"/>
    <w:rsid w:val="00560F5E"/>
    <w:rsid w:val="00561445"/>
    <w:rsid w:val="00563B5F"/>
    <w:rsid w:val="0056603A"/>
    <w:rsid w:val="00576F77"/>
    <w:rsid w:val="00581724"/>
    <w:rsid w:val="00581D8B"/>
    <w:rsid w:val="00597BDE"/>
    <w:rsid w:val="005B068C"/>
    <w:rsid w:val="005B7956"/>
    <w:rsid w:val="005C4A64"/>
    <w:rsid w:val="005C4B0A"/>
    <w:rsid w:val="005C4D83"/>
    <w:rsid w:val="005C7A90"/>
    <w:rsid w:val="005D23B0"/>
    <w:rsid w:val="005D4306"/>
    <w:rsid w:val="005E2B4B"/>
    <w:rsid w:val="005E4455"/>
    <w:rsid w:val="005F5813"/>
    <w:rsid w:val="0061063F"/>
    <w:rsid w:val="00613BCA"/>
    <w:rsid w:val="006152DA"/>
    <w:rsid w:val="006165F9"/>
    <w:rsid w:val="00621331"/>
    <w:rsid w:val="00633A0D"/>
    <w:rsid w:val="006379ED"/>
    <w:rsid w:val="00642329"/>
    <w:rsid w:val="00643D6E"/>
    <w:rsid w:val="00654691"/>
    <w:rsid w:val="00667B6F"/>
    <w:rsid w:val="00670528"/>
    <w:rsid w:val="006758F4"/>
    <w:rsid w:val="00677429"/>
    <w:rsid w:val="006827D0"/>
    <w:rsid w:val="00690E21"/>
    <w:rsid w:val="00694F1C"/>
    <w:rsid w:val="00697DD3"/>
    <w:rsid w:val="006B4115"/>
    <w:rsid w:val="006B48E2"/>
    <w:rsid w:val="006C0FAE"/>
    <w:rsid w:val="006C5617"/>
    <w:rsid w:val="006C6B50"/>
    <w:rsid w:val="0070675F"/>
    <w:rsid w:val="00707405"/>
    <w:rsid w:val="007148DB"/>
    <w:rsid w:val="007211DB"/>
    <w:rsid w:val="007245CD"/>
    <w:rsid w:val="00726E19"/>
    <w:rsid w:val="00733984"/>
    <w:rsid w:val="00740196"/>
    <w:rsid w:val="00745BB9"/>
    <w:rsid w:val="00756E9B"/>
    <w:rsid w:val="007572B4"/>
    <w:rsid w:val="00762CF1"/>
    <w:rsid w:val="00765693"/>
    <w:rsid w:val="00785E02"/>
    <w:rsid w:val="00791661"/>
    <w:rsid w:val="00791A82"/>
    <w:rsid w:val="00792B46"/>
    <w:rsid w:val="00795C1C"/>
    <w:rsid w:val="007A11CA"/>
    <w:rsid w:val="007A5B2F"/>
    <w:rsid w:val="007B3E57"/>
    <w:rsid w:val="007B6DEB"/>
    <w:rsid w:val="00801B81"/>
    <w:rsid w:val="00802894"/>
    <w:rsid w:val="00805FC8"/>
    <w:rsid w:val="008160C5"/>
    <w:rsid w:val="0082284E"/>
    <w:rsid w:val="0082382C"/>
    <w:rsid w:val="00827C38"/>
    <w:rsid w:val="00836F7D"/>
    <w:rsid w:val="00842926"/>
    <w:rsid w:val="00842E55"/>
    <w:rsid w:val="0084585B"/>
    <w:rsid w:val="00850A45"/>
    <w:rsid w:val="00850CD1"/>
    <w:rsid w:val="00851552"/>
    <w:rsid w:val="00852D58"/>
    <w:rsid w:val="00861BEF"/>
    <w:rsid w:val="00861C5F"/>
    <w:rsid w:val="0086220C"/>
    <w:rsid w:val="008632E1"/>
    <w:rsid w:val="00870E97"/>
    <w:rsid w:val="00883876"/>
    <w:rsid w:val="00883AD3"/>
    <w:rsid w:val="00883F7D"/>
    <w:rsid w:val="00895817"/>
    <w:rsid w:val="00897F6F"/>
    <w:rsid w:val="008A0143"/>
    <w:rsid w:val="008C3F97"/>
    <w:rsid w:val="008C5685"/>
    <w:rsid w:val="008C5F62"/>
    <w:rsid w:val="008D624F"/>
    <w:rsid w:val="008E7E75"/>
    <w:rsid w:val="008F0848"/>
    <w:rsid w:val="008F0F52"/>
    <w:rsid w:val="008F20C1"/>
    <w:rsid w:val="008F740A"/>
    <w:rsid w:val="00900FC6"/>
    <w:rsid w:val="0090143D"/>
    <w:rsid w:val="0090622F"/>
    <w:rsid w:val="009100D3"/>
    <w:rsid w:val="009250A3"/>
    <w:rsid w:val="00930BC3"/>
    <w:rsid w:val="00940A6F"/>
    <w:rsid w:val="009429B5"/>
    <w:rsid w:val="00950F34"/>
    <w:rsid w:val="0095111F"/>
    <w:rsid w:val="00951327"/>
    <w:rsid w:val="00961926"/>
    <w:rsid w:val="009627F0"/>
    <w:rsid w:val="00963146"/>
    <w:rsid w:val="00964FED"/>
    <w:rsid w:val="00965EF8"/>
    <w:rsid w:val="00983641"/>
    <w:rsid w:val="00990268"/>
    <w:rsid w:val="009A1A73"/>
    <w:rsid w:val="009A4A25"/>
    <w:rsid w:val="009B621F"/>
    <w:rsid w:val="009C2C30"/>
    <w:rsid w:val="009D73CB"/>
    <w:rsid w:val="009D7B60"/>
    <w:rsid w:val="009F34FF"/>
    <w:rsid w:val="009F57A0"/>
    <w:rsid w:val="009F7A4D"/>
    <w:rsid w:val="00A00D2D"/>
    <w:rsid w:val="00A03805"/>
    <w:rsid w:val="00A1091E"/>
    <w:rsid w:val="00A15909"/>
    <w:rsid w:val="00A22ED5"/>
    <w:rsid w:val="00A2364F"/>
    <w:rsid w:val="00A32EFF"/>
    <w:rsid w:val="00A3441D"/>
    <w:rsid w:val="00A35AC6"/>
    <w:rsid w:val="00A37F49"/>
    <w:rsid w:val="00A448E7"/>
    <w:rsid w:val="00A46732"/>
    <w:rsid w:val="00A502CF"/>
    <w:rsid w:val="00A51BCB"/>
    <w:rsid w:val="00A51F9A"/>
    <w:rsid w:val="00A532A2"/>
    <w:rsid w:val="00A53512"/>
    <w:rsid w:val="00A63A74"/>
    <w:rsid w:val="00A6477A"/>
    <w:rsid w:val="00A71AF0"/>
    <w:rsid w:val="00A75E5E"/>
    <w:rsid w:val="00A8409B"/>
    <w:rsid w:val="00A92AC6"/>
    <w:rsid w:val="00A94121"/>
    <w:rsid w:val="00A9705D"/>
    <w:rsid w:val="00A97186"/>
    <w:rsid w:val="00AA6019"/>
    <w:rsid w:val="00AB4A51"/>
    <w:rsid w:val="00AB7102"/>
    <w:rsid w:val="00AC1A26"/>
    <w:rsid w:val="00AC2156"/>
    <w:rsid w:val="00AC3155"/>
    <w:rsid w:val="00AC48BF"/>
    <w:rsid w:val="00AC7F58"/>
    <w:rsid w:val="00AD30E6"/>
    <w:rsid w:val="00AD33DC"/>
    <w:rsid w:val="00AD6CD3"/>
    <w:rsid w:val="00AE1023"/>
    <w:rsid w:val="00AE6AB8"/>
    <w:rsid w:val="00AF5D85"/>
    <w:rsid w:val="00B10A52"/>
    <w:rsid w:val="00B12EFF"/>
    <w:rsid w:val="00B17429"/>
    <w:rsid w:val="00B17B31"/>
    <w:rsid w:val="00B23E05"/>
    <w:rsid w:val="00B313D2"/>
    <w:rsid w:val="00B317E0"/>
    <w:rsid w:val="00B341C5"/>
    <w:rsid w:val="00B36D9D"/>
    <w:rsid w:val="00B51967"/>
    <w:rsid w:val="00B55D11"/>
    <w:rsid w:val="00B64065"/>
    <w:rsid w:val="00B64DAB"/>
    <w:rsid w:val="00B70BB3"/>
    <w:rsid w:val="00B74F9B"/>
    <w:rsid w:val="00B767A4"/>
    <w:rsid w:val="00B77A14"/>
    <w:rsid w:val="00B83211"/>
    <w:rsid w:val="00BA1BBC"/>
    <w:rsid w:val="00BA467E"/>
    <w:rsid w:val="00BA5E9B"/>
    <w:rsid w:val="00BC2215"/>
    <w:rsid w:val="00BC6554"/>
    <w:rsid w:val="00BD7765"/>
    <w:rsid w:val="00BD7E43"/>
    <w:rsid w:val="00BE1669"/>
    <w:rsid w:val="00BE4A34"/>
    <w:rsid w:val="00BE7BA1"/>
    <w:rsid w:val="00C0128F"/>
    <w:rsid w:val="00C01B0A"/>
    <w:rsid w:val="00C02CE8"/>
    <w:rsid w:val="00C03C55"/>
    <w:rsid w:val="00C07DE3"/>
    <w:rsid w:val="00C10736"/>
    <w:rsid w:val="00C126CD"/>
    <w:rsid w:val="00C177F0"/>
    <w:rsid w:val="00C20B01"/>
    <w:rsid w:val="00C30E3B"/>
    <w:rsid w:val="00C363DF"/>
    <w:rsid w:val="00C37103"/>
    <w:rsid w:val="00C416D3"/>
    <w:rsid w:val="00C45A64"/>
    <w:rsid w:val="00C47423"/>
    <w:rsid w:val="00C517E4"/>
    <w:rsid w:val="00C7019F"/>
    <w:rsid w:val="00C72880"/>
    <w:rsid w:val="00C8751F"/>
    <w:rsid w:val="00CB5273"/>
    <w:rsid w:val="00CD09D7"/>
    <w:rsid w:val="00CF521B"/>
    <w:rsid w:val="00CF5A98"/>
    <w:rsid w:val="00D01BB8"/>
    <w:rsid w:val="00D12D60"/>
    <w:rsid w:val="00D2037E"/>
    <w:rsid w:val="00D224AE"/>
    <w:rsid w:val="00D266C6"/>
    <w:rsid w:val="00D33CCD"/>
    <w:rsid w:val="00D40353"/>
    <w:rsid w:val="00D447C8"/>
    <w:rsid w:val="00D504FE"/>
    <w:rsid w:val="00D63FD4"/>
    <w:rsid w:val="00D71D4A"/>
    <w:rsid w:val="00D7531B"/>
    <w:rsid w:val="00D76968"/>
    <w:rsid w:val="00D85688"/>
    <w:rsid w:val="00D86B82"/>
    <w:rsid w:val="00D86BBC"/>
    <w:rsid w:val="00D90BC0"/>
    <w:rsid w:val="00D915EF"/>
    <w:rsid w:val="00D962E7"/>
    <w:rsid w:val="00DB21C1"/>
    <w:rsid w:val="00DD0EB2"/>
    <w:rsid w:val="00DD3CBE"/>
    <w:rsid w:val="00DD55C1"/>
    <w:rsid w:val="00DD6ED1"/>
    <w:rsid w:val="00DE5C09"/>
    <w:rsid w:val="00DF1839"/>
    <w:rsid w:val="00E019D5"/>
    <w:rsid w:val="00E12233"/>
    <w:rsid w:val="00E26057"/>
    <w:rsid w:val="00E261AC"/>
    <w:rsid w:val="00E277A9"/>
    <w:rsid w:val="00E41316"/>
    <w:rsid w:val="00E42E13"/>
    <w:rsid w:val="00E433A7"/>
    <w:rsid w:val="00E52A20"/>
    <w:rsid w:val="00E73C96"/>
    <w:rsid w:val="00E74CF6"/>
    <w:rsid w:val="00E7676C"/>
    <w:rsid w:val="00E81531"/>
    <w:rsid w:val="00E8546E"/>
    <w:rsid w:val="00E85FD5"/>
    <w:rsid w:val="00E873DC"/>
    <w:rsid w:val="00E90198"/>
    <w:rsid w:val="00E92276"/>
    <w:rsid w:val="00E935ED"/>
    <w:rsid w:val="00EA1493"/>
    <w:rsid w:val="00EB2BCF"/>
    <w:rsid w:val="00EC14CD"/>
    <w:rsid w:val="00EC28F7"/>
    <w:rsid w:val="00EC28FA"/>
    <w:rsid w:val="00EC3590"/>
    <w:rsid w:val="00EC7851"/>
    <w:rsid w:val="00ED6D6E"/>
    <w:rsid w:val="00EE0F59"/>
    <w:rsid w:val="00EE23EF"/>
    <w:rsid w:val="00EE257D"/>
    <w:rsid w:val="00EF1E30"/>
    <w:rsid w:val="00EF22E9"/>
    <w:rsid w:val="00EF2DC1"/>
    <w:rsid w:val="00F0122D"/>
    <w:rsid w:val="00F16593"/>
    <w:rsid w:val="00F24781"/>
    <w:rsid w:val="00F26732"/>
    <w:rsid w:val="00F31E12"/>
    <w:rsid w:val="00F41C1F"/>
    <w:rsid w:val="00F52ECB"/>
    <w:rsid w:val="00F53A14"/>
    <w:rsid w:val="00F71E13"/>
    <w:rsid w:val="00F832A2"/>
    <w:rsid w:val="00F90DDF"/>
    <w:rsid w:val="00F90ECA"/>
    <w:rsid w:val="00FA0434"/>
    <w:rsid w:val="00FA5A81"/>
    <w:rsid w:val="00FA7801"/>
    <w:rsid w:val="00FA7F58"/>
    <w:rsid w:val="00FB2409"/>
    <w:rsid w:val="00FB768E"/>
    <w:rsid w:val="00FC1B53"/>
    <w:rsid w:val="00FD5815"/>
    <w:rsid w:val="00FE74AB"/>
    <w:rsid w:val="00FF0344"/>
    <w:rsid w:val="00FF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89CAE9D"/>
  <w15:chartTrackingRefBased/>
  <w15:docId w15:val="{6AF2B4DD-0FB4-4711-B628-1180C731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85B"/>
    <w:rPr>
      <w:rFonts w:ascii="Arial" w:hAnsi="Arial"/>
      <w:sz w:val="22"/>
      <w:lang w:val="en-US" w:eastAsia="en-US"/>
    </w:rPr>
  </w:style>
  <w:style w:type="paragraph" w:styleId="Heading1">
    <w:name w:val="heading 1"/>
    <w:basedOn w:val="Normal"/>
    <w:next w:val="Normal"/>
    <w:link w:val="Heading1Char"/>
    <w:uiPriority w:val="9"/>
    <w:qFormat/>
    <w:rsid w:val="0084585B"/>
    <w:pPr>
      <w:keepNext/>
      <w:keepLines/>
      <w:spacing w:before="480"/>
      <w:outlineLvl w:val="0"/>
    </w:pPr>
    <w:rPr>
      <w:rFonts w:ascii="Cambria" w:hAnsi="Cambria"/>
      <w:b/>
      <w:bCs/>
      <w:color w:val="365F91"/>
      <w:sz w:val="28"/>
      <w:szCs w:val="28"/>
      <w:lang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84585B"/>
    <w:pPr>
      <w:keepLines w:val="0"/>
      <w:tabs>
        <w:tab w:val="left" w:pos="360"/>
      </w:tabs>
      <w:spacing w:before="0"/>
      <w:outlineLvl w:val="1"/>
    </w:pPr>
    <w:rPr>
      <w:rFonts w:eastAsia="Times New Roman"/>
      <w:i/>
      <w:iCs/>
      <w:color w:val="auto"/>
      <w:lang w:val="x-none"/>
    </w:rPr>
  </w:style>
  <w:style w:type="paragraph" w:styleId="Heading3">
    <w:name w:val="heading 3"/>
    <w:basedOn w:val="Normal"/>
    <w:next w:val="Normal"/>
    <w:link w:val="Heading3Char"/>
    <w:uiPriority w:val="9"/>
    <w:qFormat/>
    <w:rsid w:val="0084585B"/>
    <w:pPr>
      <w:keepNext/>
      <w:spacing w:before="240" w:after="120"/>
      <w:outlineLvl w:val="2"/>
    </w:pPr>
    <w:rPr>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4585B"/>
    <w:rPr>
      <w:rFonts w:ascii="Cambria" w:hAnsi="Cambria" w:cs="Times New Roman"/>
      <w:b/>
      <w:bCs/>
      <w:color w:val="365F91"/>
      <w:sz w:val="28"/>
      <w:szCs w:val="28"/>
      <w:lang w:val="en-US" w:eastAsia="x-none"/>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91B01"/>
    <w:rPr>
      <w:rFonts w:ascii="Cambria" w:eastAsia="Times New Roman" w:hAnsi="Cambria" w:cs="Times New Roman"/>
      <w:b/>
      <w:bCs/>
      <w:i/>
      <w:iCs/>
      <w:sz w:val="28"/>
      <w:szCs w:val="28"/>
    </w:rPr>
  </w:style>
  <w:style w:type="character" w:customStyle="1" w:styleId="Heading3Char">
    <w:name w:val="Heading 3 Char"/>
    <w:link w:val="Heading3"/>
    <w:uiPriority w:val="9"/>
    <w:locked/>
    <w:rsid w:val="0084585B"/>
    <w:rPr>
      <w:rFonts w:ascii="Arial" w:hAnsi="Arial" w:cs="Arial"/>
      <w:b/>
      <w:bCs/>
      <w:sz w:val="26"/>
      <w:szCs w:val="26"/>
      <w:lang w:val="en-US" w:eastAsia="x-none"/>
    </w:rPr>
  </w:style>
  <w:style w:type="paragraph" w:styleId="FootnoteText">
    <w:name w:val="footnote text"/>
    <w:basedOn w:val="Normal"/>
    <w:link w:val="FootnoteTextChar"/>
    <w:uiPriority w:val="99"/>
    <w:rsid w:val="0084585B"/>
    <w:rPr>
      <w:sz w:val="20"/>
      <w:lang w:eastAsia="x-none"/>
    </w:rPr>
  </w:style>
  <w:style w:type="character" w:customStyle="1" w:styleId="FootnoteTextChar">
    <w:name w:val="Footnote Text Char"/>
    <w:link w:val="FootnoteText"/>
    <w:uiPriority w:val="99"/>
    <w:locked/>
    <w:rsid w:val="0084585B"/>
    <w:rPr>
      <w:rFonts w:ascii="Arial" w:hAnsi="Arial" w:cs="Times New Roman"/>
      <w:sz w:val="20"/>
      <w:szCs w:val="20"/>
      <w:lang w:val="en-US" w:eastAsia="x-none"/>
    </w:rPr>
  </w:style>
  <w:style w:type="character" w:styleId="FootnoteReference">
    <w:name w:val="footnote reference"/>
    <w:uiPriority w:val="99"/>
    <w:rsid w:val="0084585B"/>
    <w:rPr>
      <w:rFonts w:cs="Times New Roman"/>
      <w:vertAlign w:val="superscript"/>
    </w:rPr>
  </w:style>
  <w:style w:type="paragraph" w:customStyle="1" w:styleId="Body">
    <w:name w:val="Body"/>
    <w:basedOn w:val="Normal"/>
    <w:link w:val="BodyChar"/>
    <w:uiPriority w:val="99"/>
    <w:qFormat/>
    <w:rsid w:val="0084585B"/>
    <w:pPr>
      <w:spacing w:before="120" w:after="120"/>
    </w:pPr>
  </w:style>
  <w:style w:type="paragraph" w:customStyle="1" w:styleId="BodyNumbered">
    <w:name w:val="Body Numbered"/>
    <w:basedOn w:val="Normal"/>
    <w:link w:val="BodyNumberedChar"/>
    <w:rsid w:val="0084585B"/>
    <w:pPr>
      <w:tabs>
        <w:tab w:val="num" w:pos="360"/>
      </w:tabs>
      <w:spacing w:before="120" w:after="120"/>
      <w:ind w:left="360" w:hanging="360"/>
    </w:pPr>
    <w:rPr>
      <w:sz w:val="20"/>
      <w:lang w:eastAsia="x-none"/>
    </w:rPr>
  </w:style>
  <w:style w:type="paragraph" w:customStyle="1" w:styleId="References">
    <w:name w:val="References"/>
    <w:basedOn w:val="Normal"/>
    <w:uiPriority w:val="99"/>
    <w:rsid w:val="0084585B"/>
    <w:pPr>
      <w:spacing w:before="120" w:after="120"/>
      <w:ind w:left="346" w:hanging="346"/>
    </w:pPr>
    <w:rPr>
      <w:rFonts w:cs="Arial"/>
    </w:rPr>
  </w:style>
  <w:style w:type="character" w:customStyle="1" w:styleId="BodyChar">
    <w:name w:val="Body Char"/>
    <w:link w:val="Body"/>
    <w:uiPriority w:val="99"/>
    <w:locked/>
    <w:rsid w:val="0084585B"/>
    <w:rPr>
      <w:rFonts w:ascii="Arial" w:hAnsi="Arial"/>
      <w:sz w:val="22"/>
      <w:lang w:val="en-US" w:eastAsia="en-US" w:bidi="ar-SA"/>
    </w:rPr>
  </w:style>
  <w:style w:type="character" w:customStyle="1" w:styleId="BodyNumberedChar">
    <w:name w:val="Body Numbered Char"/>
    <w:link w:val="BodyNumbered"/>
    <w:locked/>
    <w:rsid w:val="0084585B"/>
    <w:rPr>
      <w:rFonts w:ascii="Arial" w:hAnsi="Arial" w:cs="Arial"/>
      <w:sz w:val="20"/>
      <w:szCs w:val="20"/>
      <w:lang w:val="en-US" w:eastAsia="x-none"/>
    </w:rPr>
  </w:style>
  <w:style w:type="paragraph" w:styleId="BalloonText">
    <w:name w:val="Balloon Text"/>
    <w:basedOn w:val="Normal"/>
    <w:semiHidden/>
    <w:rsid w:val="004C6C3B"/>
    <w:rPr>
      <w:rFonts w:ascii="Tahoma" w:hAnsi="Tahoma" w:cs="Tahoma"/>
      <w:sz w:val="16"/>
      <w:szCs w:val="16"/>
    </w:rPr>
  </w:style>
  <w:style w:type="character" w:styleId="CommentReference">
    <w:name w:val="annotation reference"/>
    <w:semiHidden/>
    <w:rsid w:val="00B77A14"/>
    <w:rPr>
      <w:sz w:val="16"/>
      <w:szCs w:val="16"/>
    </w:rPr>
  </w:style>
  <w:style w:type="paragraph" w:styleId="CommentText">
    <w:name w:val="annotation text"/>
    <w:basedOn w:val="Normal"/>
    <w:semiHidden/>
    <w:rsid w:val="00B77A14"/>
    <w:rPr>
      <w:sz w:val="20"/>
    </w:rPr>
  </w:style>
  <w:style w:type="paragraph" w:styleId="CommentSubject">
    <w:name w:val="annotation subject"/>
    <w:basedOn w:val="CommentText"/>
    <w:next w:val="CommentText"/>
    <w:semiHidden/>
    <w:rsid w:val="00B77A14"/>
    <w:rPr>
      <w:b/>
      <w:bCs/>
    </w:rPr>
  </w:style>
  <w:style w:type="paragraph" w:styleId="Header">
    <w:name w:val="header"/>
    <w:basedOn w:val="Normal"/>
    <w:link w:val="HeaderChar"/>
    <w:uiPriority w:val="99"/>
    <w:unhideWhenUsed/>
    <w:rsid w:val="00745BB9"/>
    <w:pPr>
      <w:tabs>
        <w:tab w:val="center" w:pos="4536"/>
        <w:tab w:val="right" w:pos="9072"/>
      </w:tabs>
    </w:pPr>
  </w:style>
  <w:style w:type="character" w:customStyle="1" w:styleId="HeaderChar">
    <w:name w:val="Header Char"/>
    <w:link w:val="Header"/>
    <w:uiPriority w:val="99"/>
    <w:rsid w:val="00745BB9"/>
    <w:rPr>
      <w:rFonts w:ascii="Arial" w:hAnsi="Arial"/>
      <w:sz w:val="22"/>
      <w:lang w:val="en-US" w:eastAsia="en-US"/>
    </w:rPr>
  </w:style>
  <w:style w:type="paragraph" w:styleId="Footer">
    <w:name w:val="footer"/>
    <w:basedOn w:val="Normal"/>
    <w:link w:val="FooterChar"/>
    <w:uiPriority w:val="99"/>
    <w:unhideWhenUsed/>
    <w:rsid w:val="00745BB9"/>
    <w:pPr>
      <w:tabs>
        <w:tab w:val="center" w:pos="4536"/>
        <w:tab w:val="right" w:pos="9072"/>
      </w:tabs>
    </w:pPr>
  </w:style>
  <w:style w:type="character" w:customStyle="1" w:styleId="FooterChar">
    <w:name w:val="Footer Char"/>
    <w:link w:val="Footer"/>
    <w:uiPriority w:val="99"/>
    <w:rsid w:val="00745BB9"/>
    <w:rPr>
      <w:rFonts w:ascii="Arial" w:hAnsi="Arial"/>
      <w:sz w:val="22"/>
      <w:lang w:val="en-US" w:eastAsia="en-US"/>
    </w:rPr>
  </w:style>
  <w:style w:type="paragraph" w:styleId="ListParagraph">
    <w:name w:val="List Paragraph"/>
    <w:basedOn w:val="Normal"/>
    <w:uiPriority w:val="34"/>
    <w:qFormat/>
    <w:rsid w:val="00544135"/>
    <w:pPr>
      <w:ind w:left="708"/>
    </w:pPr>
  </w:style>
  <w:style w:type="paragraph" w:styleId="Revision">
    <w:name w:val="Revision"/>
    <w:hidden/>
    <w:uiPriority w:val="99"/>
    <w:semiHidden/>
    <w:rsid w:val="00AB7102"/>
    <w:rPr>
      <w:rFonts w:ascii="Arial" w:hAnsi="Arial"/>
      <w:sz w:val="22"/>
      <w:lang w:val="en-US" w:eastAsia="en-US"/>
    </w:rPr>
  </w:style>
  <w:style w:type="paragraph" w:styleId="BodyText">
    <w:name w:val="Body Text"/>
    <w:basedOn w:val="Normal"/>
    <w:link w:val="BodyTextChar"/>
    <w:uiPriority w:val="1"/>
    <w:qFormat/>
    <w:rsid w:val="00A53512"/>
    <w:pPr>
      <w:widowControl w:val="0"/>
      <w:ind w:left="640" w:hanging="540"/>
    </w:pPr>
    <w:rPr>
      <w:rFonts w:ascii="Times New Roman" w:eastAsia="Times New Roman" w:hAnsi="Times New Roman"/>
      <w:sz w:val="24"/>
      <w:szCs w:val="24"/>
    </w:rPr>
  </w:style>
  <w:style w:type="character" w:customStyle="1" w:styleId="BodyTextChar">
    <w:name w:val="Body Text Char"/>
    <w:link w:val="BodyText"/>
    <w:uiPriority w:val="1"/>
    <w:rsid w:val="00A53512"/>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8988">
      <w:bodyDiv w:val="1"/>
      <w:marLeft w:val="0"/>
      <w:marRight w:val="0"/>
      <w:marTop w:val="0"/>
      <w:marBottom w:val="0"/>
      <w:divBdr>
        <w:top w:val="none" w:sz="0" w:space="0" w:color="auto"/>
        <w:left w:val="none" w:sz="0" w:space="0" w:color="auto"/>
        <w:bottom w:val="none" w:sz="0" w:space="0" w:color="auto"/>
        <w:right w:val="none" w:sz="0" w:space="0" w:color="auto"/>
      </w:divBdr>
    </w:div>
    <w:div w:id="470483719">
      <w:bodyDiv w:val="1"/>
      <w:marLeft w:val="0"/>
      <w:marRight w:val="0"/>
      <w:marTop w:val="0"/>
      <w:marBottom w:val="0"/>
      <w:divBdr>
        <w:top w:val="none" w:sz="0" w:space="0" w:color="auto"/>
        <w:left w:val="none" w:sz="0" w:space="0" w:color="auto"/>
        <w:bottom w:val="none" w:sz="0" w:space="0" w:color="auto"/>
        <w:right w:val="none" w:sz="0" w:space="0" w:color="auto"/>
      </w:divBdr>
    </w:div>
    <w:div w:id="931278558">
      <w:bodyDiv w:val="1"/>
      <w:marLeft w:val="0"/>
      <w:marRight w:val="0"/>
      <w:marTop w:val="0"/>
      <w:marBottom w:val="0"/>
      <w:divBdr>
        <w:top w:val="none" w:sz="0" w:space="0" w:color="auto"/>
        <w:left w:val="none" w:sz="0" w:space="0" w:color="auto"/>
        <w:bottom w:val="none" w:sz="0" w:space="0" w:color="auto"/>
        <w:right w:val="none" w:sz="0" w:space="0" w:color="auto"/>
      </w:divBdr>
    </w:div>
    <w:div w:id="1073048559">
      <w:bodyDiv w:val="1"/>
      <w:marLeft w:val="0"/>
      <w:marRight w:val="0"/>
      <w:marTop w:val="0"/>
      <w:marBottom w:val="0"/>
      <w:divBdr>
        <w:top w:val="none" w:sz="0" w:space="0" w:color="auto"/>
        <w:left w:val="none" w:sz="0" w:space="0" w:color="auto"/>
        <w:bottom w:val="none" w:sz="0" w:space="0" w:color="auto"/>
        <w:right w:val="none" w:sz="0" w:space="0" w:color="auto"/>
      </w:divBdr>
    </w:div>
    <w:div w:id="1518735085">
      <w:bodyDiv w:val="1"/>
      <w:marLeft w:val="0"/>
      <w:marRight w:val="0"/>
      <w:marTop w:val="0"/>
      <w:marBottom w:val="0"/>
      <w:divBdr>
        <w:top w:val="none" w:sz="0" w:space="0" w:color="auto"/>
        <w:left w:val="none" w:sz="0" w:space="0" w:color="auto"/>
        <w:bottom w:val="none" w:sz="0" w:space="0" w:color="auto"/>
        <w:right w:val="none" w:sz="0" w:space="0" w:color="auto"/>
      </w:divBdr>
    </w:div>
    <w:div w:id="1584534801">
      <w:bodyDiv w:val="1"/>
      <w:marLeft w:val="0"/>
      <w:marRight w:val="0"/>
      <w:marTop w:val="0"/>
      <w:marBottom w:val="0"/>
      <w:divBdr>
        <w:top w:val="none" w:sz="0" w:space="0" w:color="auto"/>
        <w:left w:val="none" w:sz="0" w:space="0" w:color="auto"/>
        <w:bottom w:val="none" w:sz="0" w:space="0" w:color="auto"/>
        <w:right w:val="none" w:sz="0" w:space="0" w:color="auto"/>
      </w:divBdr>
    </w:div>
    <w:div w:id="208025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B3F119-5A07-44C8-8282-E67F74B5D045}">
  <ds:schemaRefs>
    <ds:schemaRef ds:uri="http://schemas.microsoft.com/sharepoint/v3/contenttype/forms"/>
  </ds:schemaRefs>
</ds:datastoreItem>
</file>

<file path=customXml/itemProps2.xml><?xml version="1.0" encoding="utf-8"?>
<ds:datastoreItem xmlns:ds="http://schemas.openxmlformats.org/officeDocument/2006/customXml" ds:itemID="{AFC8FD40-EEC9-4552-8DD4-EB2634F2CA46}">
  <ds:schemaRefs>
    <ds:schemaRef ds:uri="http://schemas.microsoft.com/office/2006/metadata/customXsn"/>
  </ds:schemaRefs>
</ds:datastoreItem>
</file>

<file path=customXml/itemProps3.xml><?xml version="1.0" encoding="utf-8"?>
<ds:datastoreItem xmlns:ds="http://schemas.openxmlformats.org/officeDocument/2006/customXml" ds:itemID="{A954A2BB-9993-4124-810F-4A3329BCE6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258EA1-9919-4337-8E58-2AED0DB2792B}">
  <ds:schemaRefs>
    <ds:schemaRef ds:uri="http://schemas.openxmlformats.org/officeDocument/2006/bibliography"/>
  </ds:schemaRefs>
</ds:datastoreItem>
</file>

<file path=customXml/itemProps5.xml><?xml version="1.0" encoding="utf-8"?>
<ds:datastoreItem xmlns:ds="http://schemas.openxmlformats.org/officeDocument/2006/customXml" ds:itemID="{FDC92F7F-6C0B-4D69-A9AD-083BBA7D9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2904</Words>
  <Characters>16556</Characters>
  <Application>Microsoft Office Word</Application>
  <DocSecurity>0</DocSecurity>
  <Lines>137</Lines>
  <Paragraphs>38</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Název</vt:lpstr>
      </vt:variant>
      <vt:variant>
        <vt:i4>1</vt:i4>
      </vt:variant>
    </vt:vector>
  </HeadingPairs>
  <TitlesOfParts>
    <vt:vector size="4" baseType="lpstr">
      <vt:lpstr>XI</vt:lpstr>
      <vt:lpstr>XI</vt:lpstr>
      <vt:lpstr>XI</vt:lpstr>
      <vt:lpstr>XI</vt:lpstr>
    </vt:vector>
  </TitlesOfParts>
  <Company>EDF</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B28218</dc:creator>
  <cp:keywords/>
  <cp:lastModifiedBy>KRIVANEK, Robert</cp:lastModifiedBy>
  <cp:revision>4</cp:revision>
  <cp:lastPrinted>2018-09-27T14:50:00Z</cp:lastPrinted>
  <dcterms:created xsi:type="dcterms:W3CDTF">2020-12-22T16:06:00Z</dcterms:created>
  <dcterms:modified xsi:type="dcterms:W3CDTF">2021-05-04T08:27:00Z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