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47B84" w14:textId="5D2B6733" w:rsidR="002621B9" w:rsidRPr="00DB3254" w:rsidRDefault="004C21E4" w:rsidP="002E6F1E">
      <w:pPr>
        <w:tabs>
          <w:tab w:val="left" w:pos="1134"/>
        </w:tabs>
        <w:spacing w:before="120" w:after="120"/>
        <w:rPr>
          <w:b/>
          <w:lang w:val="fr-CH"/>
        </w:rPr>
      </w:pPr>
      <w:r w:rsidRPr="00DB3254">
        <w:rPr>
          <w:b/>
          <w:lang w:val="fr-CH"/>
        </w:rPr>
        <w:t>AMP</w:t>
      </w:r>
      <w:r w:rsidR="00E01461" w:rsidRPr="00DB3254">
        <w:rPr>
          <w:b/>
          <w:lang w:val="fr-CH"/>
        </w:rPr>
        <w:t xml:space="preserve"> </w:t>
      </w:r>
      <w:r w:rsidR="008E2BD2" w:rsidRPr="00DB3254">
        <w:rPr>
          <w:b/>
          <w:lang w:val="fr-CH"/>
        </w:rPr>
        <w:t>156</w:t>
      </w:r>
      <w:r w:rsidR="00743F40" w:rsidRPr="00DB3254">
        <w:rPr>
          <w:b/>
          <w:lang w:val="fr-CH"/>
        </w:rPr>
        <w:t xml:space="preserve"> </w:t>
      </w:r>
      <w:r w:rsidR="00E01461" w:rsidRPr="00DB3254">
        <w:rPr>
          <w:b/>
          <w:lang w:val="fr-CH"/>
        </w:rPr>
        <w:tab/>
      </w:r>
      <w:r w:rsidR="004B66C7" w:rsidRPr="00DB3254">
        <w:rPr>
          <w:b/>
          <w:lang w:val="fr-CH"/>
        </w:rPr>
        <w:t>P</w:t>
      </w:r>
      <w:r w:rsidR="00A0616F" w:rsidRPr="00DB3254">
        <w:rPr>
          <w:b/>
          <w:lang w:val="fr-CH"/>
        </w:rPr>
        <w:t xml:space="preserve">WR </w:t>
      </w:r>
      <w:r w:rsidR="00203CF0" w:rsidRPr="00DB3254">
        <w:rPr>
          <w:b/>
          <w:lang w:val="fr-CH"/>
        </w:rPr>
        <w:t>MAIN</w:t>
      </w:r>
      <w:r w:rsidRPr="00DB3254">
        <w:rPr>
          <w:b/>
          <w:lang w:val="fr-CH"/>
        </w:rPr>
        <w:t xml:space="preserve"> COOLANT PIPING</w:t>
      </w:r>
      <w:r w:rsidR="00523109" w:rsidRPr="00DB3254">
        <w:rPr>
          <w:b/>
          <w:lang w:val="fr-CH"/>
        </w:rPr>
        <w:t xml:space="preserve"> </w:t>
      </w:r>
      <w:r w:rsidR="00523109" w:rsidRPr="00DB3254">
        <w:rPr>
          <w:b/>
          <w:caps/>
          <w:lang w:val="fr-CH"/>
        </w:rPr>
        <w:t>(VERSION 20</w:t>
      </w:r>
      <w:r w:rsidR="00447A13">
        <w:rPr>
          <w:b/>
          <w:caps/>
          <w:lang w:val="hu-HU"/>
        </w:rPr>
        <w:t>20</w:t>
      </w:r>
      <w:r w:rsidR="00523109" w:rsidRPr="00DB3254">
        <w:rPr>
          <w:b/>
          <w:caps/>
          <w:lang w:val="fr-CH"/>
        </w:rPr>
        <w:t>)</w:t>
      </w:r>
      <w:r w:rsidR="00523109" w:rsidRPr="00DB3254">
        <w:rPr>
          <w:caps/>
          <w:lang w:val="fr-CH"/>
        </w:rPr>
        <w:t xml:space="preserve"> </w:t>
      </w:r>
      <w:r w:rsidR="00523109" w:rsidRPr="00DB3254">
        <w:rPr>
          <w:lang w:val="fr-CH"/>
        </w:rPr>
        <w:t xml:space="preserve"> </w:t>
      </w:r>
    </w:p>
    <w:p w14:paraId="07522D4B" w14:textId="77777777" w:rsidR="004C21E4" w:rsidRPr="00DB3254" w:rsidRDefault="00E01461" w:rsidP="002E6F1E">
      <w:pPr>
        <w:pStyle w:val="Heading3"/>
        <w:spacing w:before="120"/>
        <w:jc w:val="both"/>
        <w:rPr>
          <w:rFonts w:ascii="Times New Roman" w:hAnsi="Times New Roman"/>
          <w:sz w:val="24"/>
          <w:szCs w:val="24"/>
          <w:lang w:val="fr-CH"/>
        </w:rPr>
      </w:pPr>
      <w:bookmarkStart w:id="0" w:name="_Toc88877671"/>
      <w:r w:rsidRPr="00DB3254">
        <w:rPr>
          <w:rFonts w:ascii="Times New Roman" w:hAnsi="Times New Roman"/>
          <w:sz w:val="24"/>
          <w:szCs w:val="24"/>
          <w:lang w:val="fr-CH"/>
        </w:rPr>
        <w:t>Programme Description</w:t>
      </w:r>
      <w:bookmarkEnd w:id="0"/>
    </w:p>
    <w:p w14:paraId="76A04526" w14:textId="77777777" w:rsidR="004C21E4" w:rsidRDefault="004C21E4" w:rsidP="002E6F1E">
      <w:pPr>
        <w:spacing w:before="120" w:after="120"/>
        <w:jc w:val="both"/>
        <w:rPr>
          <w:lang w:val="en-GB"/>
        </w:rPr>
      </w:pPr>
      <w:r w:rsidRPr="004C21E4">
        <w:rPr>
          <w:lang w:val="en-GB"/>
        </w:rPr>
        <w:t xml:space="preserve">This ageing management programme is a component-specific AMP for the </w:t>
      </w:r>
      <w:r w:rsidR="00384EC3">
        <w:rPr>
          <w:lang w:val="en-GB"/>
        </w:rPr>
        <w:t>main</w:t>
      </w:r>
      <w:r w:rsidRPr="004C21E4">
        <w:rPr>
          <w:lang w:val="en-GB"/>
        </w:rPr>
        <w:t xml:space="preserve"> coolant p</w:t>
      </w:r>
      <w:r>
        <w:rPr>
          <w:lang w:val="en-GB"/>
        </w:rPr>
        <w:t xml:space="preserve">iping </w:t>
      </w:r>
      <w:r w:rsidRPr="004C21E4">
        <w:rPr>
          <w:lang w:val="en-GB"/>
        </w:rPr>
        <w:t>(</w:t>
      </w:r>
      <w:r w:rsidR="00203CF0">
        <w:rPr>
          <w:lang w:val="en-GB"/>
        </w:rPr>
        <w:t>M</w:t>
      </w:r>
      <w:r w:rsidRPr="004C21E4">
        <w:rPr>
          <w:lang w:val="en-GB"/>
        </w:rPr>
        <w:t xml:space="preserve">CP) </w:t>
      </w:r>
      <w:r w:rsidR="00A0616F">
        <w:rPr>
          <w:lang w:val="en-GB"/>
        </w:rPr>
        <w:t>and includes</w:t>
      </w:r>
      <w:r w:rsidRPr="004C21E4">
        <w:rPr>
          <w:lang w:val="en-GB"/>
        </w:rPr>
        <w:t xml:space="preserve"> degradation mechanisms the </w:t>
      </w:r>
      <w:r w:rsidR="00384EC3">
        <w:rPr>
          <w:lang w:val="en-GB"/>
        </w:rPr>
        <w:t>M</w:t>
      </w:r>
      <w:r w:rsidRPr="004C21E4">
        <w:rPr>
          <w:lang w:val="en-GB"/>
        </w:rPr>
        <w:t xml:space="preserve">CP may be subjected to </w:t>
      </w:r>
      <w:r w:rsidR="00A0616F">
        <w:rPr>
          <w:lang w:val="en-GB"/>
        </w:rPr>
        <w:t>as well as</w:t>
      </w:r>
      <w:r w:rsidRPr="004C21E4">
        <w:rPr>
          <w:lang w:val="en-GB"/>
        </w:rPr>
        <w:t xml:space="preserve"> activities necessary to manage the ageing mechanisms</w:t>
      </w:r>
      <w:r w:rsidR="00C4248A">
        <w:rPr>
          <w:lang w:val="en-GB"/>
        </w:rPr>
        <w:t>.</w:t>
      </w:r>
      <w:r w:rsidRPr="004C21E4">
        <w:rPr>
          <w:lang w:val="en-GB"/>
        </w:rPr>
        <w:t xml:space="preserve"> As such, this AMP refers to other degradation-specific AMPs that deal with </w:t>
      </w:r>
      <w:proofErr w:type="gramStart"/>
      <w:r w:rsidRPr="004C21E4">
        <w:rPr>
          <w:lang w:val="en-GB"/>
        </w:rPr>
        <w:t>particular degradation</w:t>
      </w:r>
      <w:proofErr w:type="gramEnd"/>
      <w:r w:rsidRPr="004C21E4">
        <w:rPr>
          <w:lang w:val="en-GB"/>
        </w:rPr>
        <w:t xml:space="preserve"> mechanisms and ageing effects.</w:t>
      </w:r>
    </w:p>
    <w:p w14:paraId="275BC8E0" w14:textId="77777777" w:rsidR="00A0616F" w:rsidRDefault="00A0616F" w:rsidP="002E6F1E">
      <w:pPr>
        <w:spacing w:before="120" w:after="120"/>
        <w:jc w:val="both"/>
        <w:rPr>
          <w:lang w:val="en-GB"/>
        </w:rPr>
      </w:pPr>
      <w:r>
        <w:rPr>
          <w:lang w:val="en-GB"/>
        </w:rPr>
        <w:t xml:space="preserve">The </w:t>
      </w:r>
      <w:r w:rsidR="004B66C7">
        <w:rPr>
          <w:lang w:val="en-GB"/>
        </w:rPr>
        <w:t>P</w:t>
      </w:r>
      <w:r>
        <w:rPr>
          <w:lang w:val="en-GB"/>
        </w:rPr>
        <w:t xml:space="preserve">WR </w:t>
      </w:r>
      <w:r w:rsidR="00384EC3">
        <w:rPr>
          <w:lang w:val="en-GB"/>
        </w:rPr>
        <w:t>main</w:t>
      </w:r>
      <w:r>
        <w:rPr>
          <w:lang w:val="en-GB"/>
        </w:rPr>
        <w:t xml:space="preserve"> coolant piping </w:t>
      </w:r>
      <w:r w:rsidR="00E10C7E">
        <w:rPr>
          <w:lang w:val="en-GB"/>
        </w:rPr>
        <w:t xml:space="preserve">provides the barrier to the release of fission products, carries the hot coolant from the reactor </w:t>
      </w:r>
      <w:r w:rsidR="00FC0075">
        <w:rPr>
          <w:lang w:val="en-GB"/>
        </w:rPr>
        <w:t xml:space="preserve">pressure vessel to the steam generators and then provides cold coolant back to the vessel. Maintaining the structural integrity of this piping is essential to the safe operation of a </w:t>
      </w:r>
      <w:r w:rsidR="004B66C7">
        <w:rPr>
          <w:lang w:val="en-GB"/>
        </w:rPr>
        <w:t>P</w:t>
      </w:r>
      <w:r w:rsidR="00FC0075">
        <w:rPr>
          <w:lang w:val="en-GB"/>
        </w:rPr>
        <w:t>WR plant.</w:t>
      </w:r>
    </w:p>
    <w:p w14:paraId="0735F7CB" w14:textId="77777777" w:rsidR="00E01461" w:rsidRDefault="00E01461" w:rsidP="002E6F1E">
      <w:pPr>
        <w:spacing w:before="120" w:after="120"/>
        <w:jc w:val="both"/>
        <w:rPr>
          <w:lang w:val="en-GB"/>
        </w:rPr>
      </w:pPr>
    </w:p>
    <w:p w14:paraId="3C6FE5FC" w14:textId="77777777" w:rsidR="006B29F3" w:rsidRPr="00A019F7" w:rsidRDefault="006B29F3" w:rsidP="002E6F1E">
      <w:pPr>
        <w:pStyle w:val="Heading3"/>
        <w:spacing w:before="120"/>
        <w:rPr>
          <w:rFonts w:ascii="Times New Roman" w:hAnsi="Times New Roman"/>
          <w:sz w:val="24"/>
          <w:szCs w:val="24"/>
        </w:rPr>
      </w:pPr>
      <w:r w:rsidRPr="00A019F7">
        <w:rPr>
          <w:rFonts w:ascii="Times New Roman" w:hAnsi="Times New Roman"/>
          <w:sz w:val="24"/>
          <w:szCs w:val="24"/>
        </w:rPr>
        <w:t>Evaluation and Technical Basis</w:t>
      </w:r>
    </w:p>
    <w:p w14:paraId="2BD6DA14" w14:textId="77777777" w:rsidR="006B29F3" w:rsidRPr="00C4248A" w:rsidRDefault="006B29F3" w:rsidP="002E6F1E">
      <w:pPr>
        <w:pStyle w:val="BodyNumbered"/>
        <w:numPr>
          <w:ilvl w:val="0"/>
          <w:numId w:val="1"/>
        </w:numPr>
        <w:tabs>
          <w:tab w:val="clear" w:pos="360"/>
        </w:tabs>
        <w:ind w:left="426" w:hanging="426"/>
        <w:rPr>
          <w:rFonts w:ascii="Times New Roman" w:hAnsi="Times New Roman"/>
          <w:i/>
          <w:sz w:val="24"/>
          <w:szCs w:val="24"/>
        </w:rPr>
      </w:pPr>
      <w:r w:rsidRPr="00E01461">
        <w:rPr>
          <w:rFonts w:ascii="Times New Roman" w:hAnsi="Times New Roman"/>
          <w:b/>
          <w:i/>
          <w:sz w:val="24"/>
          <w:szCs w:val="24"/>
        </w:rPr>
        <w:t xml:space="preserve">Scope of the ageing management </w:t>
      </w:r>
      <w:proofErr w:type="spellStart"/>
      <w:r w:rsidRPr="00E01461">
        <w:rPr>
          <w:rFonts w:ascii="Times New Roman" w:hAnsi="Times New Roman"/>
          <w:b/>
          <w:i/>
          <w:sz w:val="24"/>
          <w:szCs w:val="24"/>
        </w:rPr>
        <w:t>programme</w:t>
      </w:r>
      <w:proofErr w:type="spellEnd"/>
      <w:r w:rsidRPr="00E01461">
        <w:rPr>
          <w:rFonts w:ascii="Times New Roman" w:hAnsi="Times New Roman"/>
          <w:b/>
          <w:i/>
          <w:sz w:val="24"/>
          <w:szCs w:val="24"/>
        </w:rPr>
        <w:t xml:space="preserve"> based on understanding ageing:</w:t>
      </w:r>
    </w:p>
    <w:p w14:paraId="6C78E976" w14:textId="0F3308B2" w:rsidR="00694D79" w:rsidRPr="00BF04BD" w:rsidRDefault="00694D79" w:rsidP="002E6F1E">
      <w:pPr>
        <w:pStyle w:val="Body"/>
        <w:tabs>
          <w:tab w:val="clear" w:pos="360"/>
        </w:tabs>
        <w:ind w:left="0" w:firstLine="0"/>
        <w:jc w:val="both"/>
        <w:rPr>
          <w:rFonts w:ascii="Times New Roman" w:hAnsi="Times New Roman"/>
          <w:sz w:val="24"/>
          <w:lang w:val="en-GB"/>
        </w:rPr>
      </w:pPr>
      <w:r w:rsidRPr="00E131EB">
        <w:rPr>
          <w:rFonts w:ascii="Times New Roman" w:hAnsi="Times New Roman"/>
          <w:sz w:val="24"/>
          <w:lang w:val="en-GB"/>
        </w:rPr>
        <w:t>The programme includes activities for inspecting,</w:t>
      </w:r>
      <w:r w:rsidRPr="005001FE">
        <w:rPr>
          <w:rFonts w:ascii="Times New Roman" w:hAnsi="Times New Roman"/>
          <w:sz w:val="24"/>
          <w:lang w:val="en-GB"/>
        </w:rPr>
        <w:t xml:space="preserve"> detecting, monitoring, mitigating, </w:t>
      </w:r>
      <w:r w:rsidR="004D03AD">
        <w:rPr>
          <w:rFonts w:ascii="Times New Roman" w:hAnsi="Times New Roman"/>
          <w:sz w:val="24"/>
          <w:lang w:val="en-GB"/>
        </w:rPr>
        <w:t>evaluating</w:t>
      </w:r>
      <w:r w:rsidRPr="00E131EB">
        <w:rPr>
          <w:rFonts w:ascii="Times New Roman" w:hAnsi="Times New Roman"/>
          <w:sz w:val="24"/>
          <w:lang w:val="en-GB"/>
        </w:rPr>
        <w:t>. The programme is a</w:t>
      </w:r>
      <w:r w:rsidR="000F2462">
        <w:rPr>
          <w:rFonts w:ascii="Times New Roman" w:hAnsi="Times New Roman"/>
          <w:sz w:val="24"/>
          <w:lang w:val="en-GB"/>
        </w:rPr>
        <w:t xml:space="preserve"> mixed</w:t>
      </w:r>
      <w:r w:rsidRPr="00E131EB">
        <w:rPr>
          <w:rFonts w:ascii="Times New Roman" w:hAnsi="Times New Roman"/>
          <w:sz w:val="24"/>
          <w:lang w:val="en-GB"/>
        </w:rPr>
        <w:t xml:space="preserve"> condition monitoring</w:t>
      </w:r>
      <w:r w:rsidR="000F2462">
        <w:rPr>
          <w:rFonts w:ascii="Times New Roman" w:hAnsi="Times New Roman"/>
          <w:sz w:val="24"/>
          <w:lang w:val="en-GB"/>
        </w:rPr>
        <w:t xml:space="preserve"> and preventive</w:t>
      </w:r>
      <w:r w:rsidRPr="00E131EB">
        <w:rPr>
          <w:rFonts w:ascii="Times New Roman" w:hAnsi="Times New Roman"/>
          <w:sz w:val="24"/>
          <w:lang w:val="en-GB"/>
        </w:rPr>
        <w:t xml:space="preserve"> programme</w:t>
      </w:r>
      <w:r w:rsidR="000F2462">
        <w:rPr>
          <w:rFonts w:ascii="Times New Roman" w:hAnsi="Times New Roman"/>
          <w:sz w:val="24"/>
          <w:lang w:val="en-GB"/>
        </w:rPr>
        <w:t>,</w:t>
      </w:r>
      <w:r w:rsidRPr="00E131EB">
        <w:rPr>
          <w:rFonts w:ascii="Times New Roman" w:hAnsi="Times New Roman"/>
          <w:sz w:val="24"/>
          <w:lang w:val="en-GB"/>
        </w:rPr>
        <w:t xml:space="preserve"> with periodic examinations and other inspections of highly</w:t>
      </w:r>
      <w:r w:rsidR="00D67495">
        <w:rPr>
          <w:rFonts w:ascii="Times New Roman" w:hAnsi="Times New Roman"/>
          <w:sz w:val="24"/>
          <w:lang w:val="en-GB"/>
        </w:rPr>
        <w:t xml:space="preserve"> </w:t>
      </w:r>
      <w:r w:rsidRPr="00E131EB">
        <w:rPr>
          <w:rFonts w:ascii="Times New Roman" w:hAnsi="Times New Roman"/>
          <w:sz w:val="24"/>
          <w:lang w:val="en-GB"/>
        </w:rPr>
        <w:t xml:space="preserve">affected locations. These examinations provide reasonable assurance that the effects of age-related degradation mechanisms will be managed </w:t>
      </w:r>
      <w:r w:rsidRPr="00BF04BD">
        <w:rPr>
          <w:rFonts w:ascii="Times New Roman" w:hAnsi="Times New Roman"/>
          <w:sz w:val="24"/>
          <w:lang w:val="en-GB"/>
        </w:rPr>
        <w:t xml:space="preserve">during </w:t>
      </w:r>
      <w:r>
        <w:rPr>
          <w:rFonts w:ascii="Times New Roman" w:hAnsi="Times New Roman"/>
          <w:sz w:val="24"/>
        </w:rPr>
        <w:t>operation</w:t>
      </w:r>
      <w:r w:rsidR="005D4604">
        <w:rPr>
          <w:rFonts w:ascii="Times New Roman" w:hAnsi="Times New Roman"/>
          <w:sz w:val="24"/>
        </w:rPr>
        <w:t xml:space="preserve"> [1]</w:t>
      </w:r>
      <w:r w:rsidRPr="00BF04BD">
        <w:rPr>
          <w:rFonts w:ascii="Times New Roman" w:hAnsi="Times New Roman"/>
          <w:sz w:val="24"/>
          <w:lang w:val="en-GB"/>
        </w:rPr>
        <w:t xml:space="preserve">. </w:t>
      </w:r>
    </w:p>
    <w:p w14:paraId="75A1368B" w14:textId="77777777" w:rsidR="006B29F3" w:rsidRPr="008A627E" w:rsidRDefault="006B29F3" w:rsidP="002E6F1E">
      <w:pPr>
        <w:pStyle w:val="Body"/>
        <w:tabs>
          <w:tab w:val="clear" w:pos="360"/>
        </w:tabs>
        <w:ind w:left="0" w:firstLine="0"/>
        <w:jc w:val="both"/>
        <w:rPr>
          <w:rFonts w:ascii="Times New Roman" w:hAnsi="Times New Roman"/>
          <w:sz w:val="24"/>
          <w:szCs w:val="24"/>
        </w:rPr>
      </w:pPr>
      <w:r w:rsidRPr="008A627E">
        <w:rPr>
          <w:rFonts w:ascii="Times New Roman" w:hAnsi="Times New Roman"/>
          <w:sz w:val="24"/>
          <w:szCs w:val="24"/>
        </w:rPr>
        <w:t xml:space="preserve">The </w:t>
      </w:r>
      <w:proofErr w:type="spellStart"/>
      <w:r w:rsidRPr="008A627E">
        <w:rPr>
          <w:rFonts w:ascii="Times New Roman" w:hAnsi="Times New Roman"/>
          <w:sz w:val="24"/>
          <w:szCs w:val="24"/>
        </w:rPr>
        <w:t>programme</w:t>
      </w:r>
      <w:proofErr w:type="spellEnd"/>
      <w:r w:rsidRPr="008A627E">
        <w:rPr>
          <w:rFonts w:ascii="Times New Roman" w:hAnsi="Times New Roman"/>
          <w:sz w:val="24"/>
          <w:szCs w:val="24"/>
        </w:rPr>
        <w:t xml:space="preserve"> controls ageing of the </w:t>
      </w:r>
      <w:r w:rsidR="00384EC3">
        <w:rPr>
          <w:rFonts w:ascii="Times New Roman" w:hAnsi="Times New Roman"/>
          <w:sz w:val="24"/>
          <w:szCs w:val="24"/>
        </w:rPr>
        <w:t>main</w:t>
      </w:r>
      <w:r>
        <w:rPr>
          <w:rFonts w:ascii="Times New Roman" w:hAnsi="Times New Roman"/>
          <w:sz w:val="24"/>
          <w:szCs w:val="24"/>
        </w:rPr>
        <w:t xml:space="preserve"> coolant piping of </w:t>
      </w:r>
      <w:r w:rsidR="00C23876">
        <w:rPr>
          <w:rFonts w:ascii="Times New Roman" w:hAnsi="Times New Roman"/>
          <w:sz w:val="24"/>
          <w:szCs w:val="24"/>
        </w:rPr>
        <w:t xml:space="preserve">PWR </w:t>
      </w:r>
      <w:r>
        <w:rPr>
          <w:rFonts w:ascii="Times New Roman" w:hAnsi="Times New Roman"/>
          <w:sz w:val="24"/>
          <w:szCs w:val="24"/>
        </w:rPr>
        <w:t>NPPs. The following ageing degradation mechanisms are</w:t>
      </w:r>
      <w:r w:rsidR="004402C0">
        <w:rPr>
          <w:rFonts w:ascii="Times New Roman" w:hAnsi="Times New Roman"/>
          <w:sz w:val="24"/>
          <w:szCs w:val="24"/>
        </w:rPr>
        <w:t xml:space="preserve"> relevant</w:t>
      </w:r>
      <w:r>
        <w:rPr>
          <w:rFonts w:ascii="Times New Roman" w:hAnsi="Times New Roman"/>
          <w:sz w:val="24"/>
          <w:szCs w:val="24"/>
        </w:rPr>
        <w:t xml:space="preserve"> </w:t>
      </w:r>
      <w:r w:rsidR="004D03AD">
        <w:rPr>
          <w:rFonts w:ascii="Times New Roman" w:hAnsi="Times New Roman"/>
          <w:sz w:val="24"/>
          <w:szCs w:val="24"/>
        </w:rPr>
        <w:t>for the main coolant piping</w:t>
      </w:r>
      <w:r>
        <w:rPr>
          <w:rFonts w:ascii="Times New Roman" w:hAnsi="Times New Roman"/>
          <w:sz w:val="24"/>
          <w:szCs w:val="24"/>
        </w:rPr>
        <w:t>:</w:t>
      </w:r>
    </w:p>
    <w:p w14:paraId="44B67B3E" w14:textId="73B7ACBE" w:rsidR="00384EC3" w:rsidRDefault="002E6F1E" w:rsidP="002E6F1E">
      <w:pPr>
        <w:numPr>
          <w:ilvl w:val="0"/>
          <w:numId w:val="8"/>
        </w:numPr>
        <w:spacing w:line="276" w:lineRule="auto"/>
        <w:ind w:left="714" w:hanging="357"/>
        <w:rPr>
          <w:lang w:val="en-US"/>
        </w:rPr>
      </w:pPr>
      <w:r>
        <w:rPr>
          <w:lang w:val="en-US"/>
        </w:rPr>
        <w:t>F</w:t>
      </w:r>
      <w:r w:rsidR="00384EC3">
        <w:rPr>
          <w:lang w:val="en-US"/>
        </w:rPr>
        <w:t>atigue</w:t>
      </w:r>
      <w:r w:rsidR="005001FE" w:rsidRPr="005001FE">
        <w:rPr>
          <w:lang w:val="en-US"/>
        </w:rPr>
        <w:t xml:space="preserve"> </w:t>
      </w:r>
      <w:r w:rsidR="005001FE">
        <w:rPr>
          <w:lang w:val="en-US"/>
        </w:rPr>
        <w:t>(low- and high-cycle</w:t>
      </w:r>
      <w:r w:rsidR="00782669">
        <w:rPr>
          <w:lang w:val="en-US"/>
        </w:rPr>
        <w:t xml:space="preserve"> and </w:t>
      </w:r>
      <w:r w:rsidR="00782669" w:rsidRPr="00E01461">
        <w:rPr>
          <w:lang w:val="en-US"/>
        </w:rPr>
        <w:t>environmentally assisted fatigue</w:t>
      </w:r>
      <w:r w:rsidR="005001FE">
        <w:rPr>
          <w:lang w:val="en-US"/>
        </w:rPr>
        <w:t>)</w:t>
      </w:r>
      <w:r w:rsidR="00384EC3">
        <w:rPr>
          <w:lang w:val="en-US"/>
        </w:rPr>
        <w:t>;</w:t>
      </w:r>
    </w:p>
    <w:p w14:paraId="27A2C008" w14:textId="68491B18" w:rsidR="008053FE" w:rsidRDefault="002E6F1E" w:rsidP="002E6F1E">
      <w:pPr>
        <w:numPr>
          <w:ilvl w:val="0"/>
          <w:numId w:val="8"/>
        </w:numPr>
        <w:spacing w:line="276" w:lineRule="auto"/>
        <w:ind w:left="714" w:hanging="357"/>
        <w:rPr>
          <w:lang w:val="en-US"/>
        </w:rPr>
      </w:pPr>
      <w:r>
        <w:rPr>
          <w:lang w:val="en-US"/>
        </w:rPr>
        <w:t>S</w:t>
      </w:r>
      <w:r w:rsidR="00B35472" w:rsidRPr="008053FE">
        <w:rPr>
          <w:lang w:val="en-US"/>
        </w:rPr>
        <w:t>tress corrosion cracking</w:t>
      </w:r>
      <w:r w:rsidR="008053FE">
        <w:rPr>
          <w:lang w:val="en-US"/>
        </w:rPr>
        <w:t xml:space="preserve"> (</w:t>
      </w:r>
      <w:r w:rsidR="003F061C">
        <w:rPr>
          <w:lang w:val="en-US"/>
        </w:rPr>
        <w:t xml:space="preserve">and </w:t>
      </w:r>
      <w:r w:rsidR="008053FE" w:rsidRPr="008053FE">
        <w:rPr>
          <w:lang w:val="en-US"/>
        </w:rPr>
        <w:t>other local corrosions</w:t>
      </w:r>
      <w:r w:rsidR="003F061C">
        <w:rPr>
          <w:lang w:val="en-US"/>
        </w:rPr>
        <w:t>,</w:t>
      </w:r>
      <w:r w:rsidR="008053FE" w:rsidRPr="008053FE">
        <w:rPr>
          <w:lang w:val="en-US"/>
        </w:rPr>
        <w:t xml:space="preserve"> like </w:t>
      </w:r>
      <w:r w:rsidR="00B35472" w:rsidRPr="008053FE">
        <w:rPr>
          <w:lang w:val="en-US"/>
        </w:rPr>
        <w:t>pitting</w:t>
      </w:r>
      <w:r w:rsidR="008053FE">
        <w:rPr>
          <w:lang w:val="en-US"/>
        </w:rPr>
        <w:t>)</w:t>
      </w:r>
      <w:r>
        <w:rPr>
          <w:lang w:val="en-US"/>
        </w:rPr>
        <w:t>;</w:t>
      </w:r>
    </w:p>
    <w:p w14:paraId="29ADC9D3" w14:textId="63455B20" w:rsidR="00963208" w:rsidRDefault="002E6F1E" w:rsidP="002E6F1E">
      <w:pPr>
        <w:numPr>
          <w:ilvl w:val="0"/>
          <w:numId w:val="8"/>
        </w:numPr>
        <w:spacing w:line="276" w:lineRule="auto"/>
        <w:ind w:left="714" w:hanging="357"/>
        <w:rPr>
          <w:lang w:val="en-US"/>
        </w:rPr>
      </w:pPr>
      <w:r>
        <w:rPr>
          <w:lang w:val="en-US"/>
        </w:rPr>
        <w:t>T</w:t>
      </w:r>
      <w:r w:rsidR="005001FE" w:rsidRPr="00E01461">
        <w:rPr>
          <w:lang w:val="en-US"/>
        </w:rPr>
        <w:t xml:space="preserve">hermal </w:t>
      </w:r>
      <w:r w:rsidR="005E361E" w:rsidRPr="00E01461">
        <w:rPr>
          <w:lang w:val="en-US"/>
        </w:rPr>
        <w:t xml:space="preserve">ageing </w:t>
      </w:r>
      <w:r w:rsidR="005001FE" w:rsidRPr="00E01461">
        <w:rPr>
          <w:lang w:val="en-US"/>
        </w:rPr>
        <w:t>embrittlement</w:t>
      </w:r>
      <w:r>
        <w:rPr>
          <w:lang w:val="en-US"/>
        </w:rPr>
        <w:t>;</w:t>
      </w:r>
    </w:p>
    <w:p w14:paraId="0B24721B" w14:textId="1A9D5FEA" w:rsidR="003F061C" w:rsidRPr="00E01461" w:rsidRDefault="002E6F1E" w:rsidP="002E6F1E">
      <w:pPr>
        <w:numPr>
          <w:ilvl w:val="0"/>
          <w:numId w:val="8"/>
        </w:numPr>
        <w:spacing w:line="276" w:lineRule="auto"/>
        <w:ind w:left="714" w:hanging="357"/>
        <w:rPr>
          <w:lang w:val="en-US"/>
        </w:rPr>
      </w:pPr>
      <w:r>
        <w:rPr>
          <w:lang w:val="en-US"/>
        </w:rPr>
        <w:t>B</w:t>
      </w:r>
      <w:r w:rsidR="003F061C" w:rsidRPr="00E01461">
        <w:rPr>
          <w:lang w:val="en-US"/>
        </w:rPr>
        <w:t>oric acid corrosion</w:t>
      </w:r>
      <w:r>
        <w:rPr>
          <w:lang w:val="en-US"/>
        </w:rPr>
        <w:t>.</w:t>
      </w:r>
    </w:p>
    <w:p w14:paraId="23543B6D" w14:textId="77777777" w:rsidR="005001FE" w:rsidRPr="00677BC4" w:rsidRDefault="005001FE" w:rsidP="002E6F1E">
      <w:pPr>
        <w:pStyle w:val="Body"/>
        <w:tabs>
          <w:tab w:val="clear" w:pos="360"/>
        </w:tabs>
        <w:ind w:left="0" w:firstLine="0"/>
        <w:rPr>
          <w:rFonts w:ascii="Times New Roman" w:hAnsi="Times New Roman"/>
          <w:sz w:val="24"/>
          <w:szCs w:val="24"/>
          <w:u w:val="single"/>
        </w:rPr>
      </w:pPr>
      <w:r>
        <w:rPr>
          <w:rFonts w:ascii="Times New Roman" w:hAnsi="Times New Roman"/>
          <w:sz w:val="24"/>
          <w:szCs w:val="24"/>
          <w:u w:val="single"/>
        </w:rPr>
        <w:t>F</w:t>
      </w:r>
      <w:r w:rsidRPr="002A3367">
        <w:rPr>
          <w:rFonts w:ascii="Times New Roman" w:hAnsi="Times New Roman"/>
          <w:sz w:val="24"/>
          <w:szCs w:val="24"/>
          <w:u w:val="single"/>
        </w:rPr>
        <w:t>atigue</w:t>
      </w:r>
      <w:r>
        <w:rPr>
          <w:rFonts w:ascii="Times New Roman" w:hAnsi="Times New Roman"/>
          <w:sz w:val="24"/>
          <w:szCs w:val="24"/>
          <w:u w:val="single"/>
        </w:rPr>
        <w:t xml:space="preserve"> (including low- and high cycle fatigue</w:t>
      </w:r>
      <w:r w:rsidR="00782669">
        <w:rPr>
          <w:rFonts w:ascii="Times New Roman" w:hAnsi="Times New Roman"/>
          <w:sz w:val="24"/>
          <w:szCs w:val="24"/>
          <w:u w:val="single"/>
        </w:rPr>
        <w:t>, and environmentally assisted fatigue</w:t>
      </w:r>
      <w:r>
        <w:rPr>
          <w:rFonts w:ascii="Times New Roman" w:hAnsi="Times New Roman"/>
          <w:sz w:val="24"/>
          <w:szCs w:val="24"/>
          <w:u w:val="single"/>
        </w:rPr>
        <w:t>)</w:t>
      </w:r>
    </w:p>
    <w:p w14:paraId="7178803D" w14:textId="77777777" w:rsidR="005001FE" w:rsidRDefault="005001FE" w:rsidP="002E6F1E">
      <w:pPr>
        <w:pStyle w:val="Body"/>
        <w:tabs>
          <w:tab w:val="clear" w:pos="360"/>
        </w:tabs>
        <w:ind w:left="0" w:firstLine="0"/>
        <w:jc w:val="both"/>
        <w:rPr>
          <w:rFonts w:ascii="Times New Roman" w:hAnsi="Times New Roman"/>
          <w:sz w:val="24"/>
          <w:szCs w:val="24"/>
          <w:u w:val="single"/>
        </w:rPr>
      </w:pPr>
      <w:r w:rsidRPr="00647634">
        <w:rPr>
          <w:rFonts w:ascii="Times New Roman" w:hAnsi="Times New Roman"/>
          <w:sz w:val="24"/>
          <w:szCs w:val="24"/>
        </w:rPr>
        <w:t xml:space="preserve">Low cycle fatigue is caused by cyclic loading of system, structures and components (SSC) </w:t>
      </w:r>
      <w:r w:rsidRPr="00AC1C9D">
        <w:rPr>
          <w:rFonts w:ascii="Times New Roman" w:hAnsi="Times New Roman"/>
          <w:sz w:val="24"/>
          <w:szCs w:val="24"/>
        </w:rPr>
        <w:t xml:space="preserve">during operation. The critical locations for </w:t>
      </w:r>
      <w:r>
        <w:rPr>
          <w:rFonts w:ascii="Times New Roman" w:hAnsi="Times New Roman"/>
          <w:sz w:val="24"/>
          <w:szCs w:val="24"/>
        </w:rPr>
        <w:t xml:space="preserve">low-cycle </w:t>
      </w:r>
      <w:r w:rsidRPr="00AC1C9D">
        <w:rPr>
          <w:rFonts w:ascii="Times New Roman" w:hAnsi="Times New Roman"/>
          <w:sz w:val="24"/>
          <w:szCs w:val="24"/>
        </w:rPr>
        <w:t xml:space="preserve">fatigue of </w:t>
      </w:r>
      <w:r>
        <w:rPr>
          <w:rFonts w:ascii="Times New Roman" w:hAnsi="Times New Roman"/>
          <w:sz w:val="24"/>
          <w:szCs w:val="24"/>
        </w:rPr>
        <w:t>MCPs</w:t>
      </w:r>
      <w:r w:rsidRPr="00AC1C9D">
        <w:rPr>
          <w:rFonts w:ascii="Times New Roman" w:hAnsi="Times New Roman"/>
          <w:sz w:val="24"/>
          <w:szCs w:val="24"/>
        </w:rPr>
        <w:t xml:space="preserve"> are the </w:t>
      </w:r>
      <w:r>
        <w:rPr>
          <w:rFonts w:ascii="Times New Roman" w:hAnsi="Times New Roman"/>
          <w:sz w:val="24"/>
          <w:szCs w:val="24"/>
        </w:rPr>
        <w:t>connections to nozzles</w:t>
      </w:r>
      <w:r w:rsidR="008053FE">
        <w:rPr>
          <w:rFonts w:ascii="Times New Roman" w:hAnsi="Times New Roman"/>
          <w:sz w:val="24"/>
          <w:szCs w:val="24"/>
        </w:rPr>
        <w:t xml:space="preserve"> and </w:t>
      </w:r>
      <w:r w:rsidR="008053FE" w:rsidRPr="008053FE">
        <w:rPr>
          <w:rFonts w:ascii="Times New Roman" w:hAnsi="Times New Roman"/>
          <w:sz w:val="24"/>
          <w:szCs w:val="24"/>
        </w:rPr>
        <w:t>branch connections</w:t>
      </w:r>
      <w:r w:rsidR="00291BAC">
        <w:rPr>
          <w:rFonts w:ascii="Times New Roman" w:hAnsi="Times New Roman"/>
          <w:sz w:val="24"/>
          <w:szCs w:val="24"/>
        </w:rPr>
        <w:t xml:space="preserve"> (AMP</w:t>
      </w:r>
      <w:r w:rsidR="00C4248A">
        <w:rPr>
          <w:rFonts w:ascii="Times New Roman" w:hAnsi="Times New Roman"/>
          <w:sz w:val="24"/>
          <w:szCs w:val="24"/>
        </w:rPr>
        <w:t xml:space="preserve"> </w:t>
      </w:r>
      <w:r w:rsidR="00291BAC">
        <w:rPr>
          <w:rFonts w:ascii="Times New Roman" w:hAnsi="Times New Roman"/>
          <w:sz w:val="24"/>
          <w:szCs w:val="24"/>
        </w:rPr>
        <w:t>101)</w:t>
      </w:r>
      <w:r>
        <w:rPr>
          <w:rFonts w:ascii="Times New Roman" w:hAnsi="Times New Roman"/>
          <w:sz w:val="24"/>
          <w:szCs w:val="24"/>
        </w:rPr>
        <w:t>.</w:t>
      </w:r>
    </w:p>
    <w:p w14:paraId="36DC947B" w14:textId="77777777" w:rsidR="005001FE" w:rsidRDefault="005001FE" w:rsidP="002E6F1E">
      <w:pPr>
        <w:pStyle w:val="Body"/>
        <w:tabs>
          <w:tab w:val="clear" w:pos="360"/>
        </w:tabs>
        <w:ind w:left="0" w:firstLine="0"/>
        <w:jc w:val="both"/>
        <w:rPr>
          <w:rFonts w:ascii="Times New Roman" w:hAnsi="Times New Roman"/>
          <w:sz w:val="24"/>
          <w:szCs w:val="24"/>
          <w:u w:val="single"/>
        </w:rPr>
      </w:pPr>
      <w:r>
        <w:rPr>
          <w:rFonts w:ascii="Times New Roman" w:hAnsi="Times New Roman"/>
          <w:sz w:val="24"/>
          <w:szCs w:val="24"/>
          <w:u w:val="single"/>
        </w:rPr>
        <w:t>S</w:t>
      </w:r>
      <w:r w:rsidRPr="004E121D">
        <w:rPr>
          <w:rFonts w:ascii="Times New Roman" w:hAnsi="Times New Roman"/>
          <w:sz w:val="24"/>
          <w:szCs w:val="24"/>
          <w:u w:val="single"/>
        </w:rPr>
        <w:t>tress corrosion cracking</w:t>
      </w:r>
    </w:p>
    <w:p w14:paraId="4738F0F3" w14:textId="77777777" w:rsidR="005001FE" w:rsidRPr="00D23D42" w:rsidRDefault="005001FE" w:rsidP="002E6F1E">
      <w:pPr>
        <w:pStyle w:val="Body"/>
        <w:tabs>
          <w:tab w:val="clear" w:pos="360"/>
        </w:tabs>
        <w:ind w:left="0" w:firstLine="0"/>
        <w:jc w:val="both"/>
        <w:rPr>
          <w:rFonts w:ascii="Times New Roman" w:hAnsi="Times New Roman"/>
          <w:sz w:val="24"/>
          <w:szCs w:val="24"/>
        </w:rPr>
      </w:pPr>
      <w:r w:rsidRPr="00D23D42">
        <w:rPr>
          <w:rFonts w:ascii="Times New Roman" w:hAnsi="Times New Roman"/>
          <w:sz w:val="24"/>
          <w:szCs w:val="24"/>
        </w:rPr>
        <w:t>Stress corrosion cracking</w:t>
      </w:r>
      <w:r w:rsidR="000F2462">
        <w:rPr>
          <w:rFonts w:ascii="Times New Roman" w:hAnsi="Times New Roman"/>
          <w:sz w:val="24"/>
          <w:szCs w:val="24"/>
        </w:rPr>
        <w:t xml:space="preserve"> (SCC)</w:t>
      </w:r>
      <w:r w:rsidRPr="00D23D42">
        <w:rPr>
          <w:rFonts w:ascii="Times New Roman" w:hAnsi="Times New Roman"/>
          <w:sz w:val="24"/>
          <w:szCs w:val="24"/>
        </w:rPr>
        <w:t xml:space="preserve"> is a complex phenomenon driven by the synergistic interaction of mechanical, electrochemical and metallurgical factor</w:t>
      </w:r>
      <w:r>
        <w:rPr>
          <w:rFonts w:ascii="Times New Roman" w:hAnsi="Times New Roman"/>
          <w:sz w:val="24"/>
          <w:szCs w:val="24"/>
        </w:rPr>
        <w:t>s</w:t>
      </w:r>
      <w:r w:rsidR="000F2462">
        <w:rPr>
          <w:rFonts w:ascii="Times New Roman" w:hAnsi="Times New Roman"/>
          <w:sz w:val="24"/>
          <w:szCs w:val="24"/>
        </w:rPr>
        <w:t>. SCC may be observed on MCP</w:t>
      </w:r>
      <w:r w:rsidR="00FF07AB">
        <w:rPr>
          <w:rFonts w:ascii="Times New Roman" w:hAnsi="Times New Roman"/>
          <w:sz w:val="24"/>
          <w:szCs w:val="24"/>
        </w:rPr>
        <w:t xml:space="preserve"> </w:t>
      </w:r>
      <w:r w:rsidR="000F2462" w:rsidRPr="000F2462">
        <w:rPr>
          <w:rFonts w:ascii="Times New Roman" w:hAnsi="Times New Roman"/>
          <w:sz w:val="24"/>
          <w:szCs w:val="24"/>
        </w:rPr>
        <w:t>components and elements</w:t>
      </w:r>
      <w:r w:rsidR="00291BAC">
        <w:rPr>
          <w:rFonts w:ascii="Times New Roman" w:hAnsi="Times New Roman"/>
          <w:sz w:val="24"/>
          <w:szCs w:val="24"/>
        </w:rPr>
        <w:t xml:space="preserve"> (AMP</w:t>
      </w:r>
      <w:r w:rsidR="00C4248A">
        <w:rPr>
          <w:rFonts w:ascii="Times New Roman" w:hAnsi="Times New Roman"/>
          <w:sz w:val="24"/>
          <w:szCs w:val="24"/>
        </w:rPr>
        <w:t xml:space="preserve"> </w:t>
      </w:r>
      <w:r w:rsidR="00291BAC">
        <w:rPr>
          <w:rFonts w:ascii="Times New Roman" w:hAnsi="Times New Roman"/>
          <w:sz w:val="24"/>
          <w:szCs w:val="24"/>
        </w:rPr>
        <w:t>111)</w:t>
      </w:r>
      <w:r w:rsidR="008053FE">
        <w:rPr>
          <w:rFonts w:ascii="Times New Roman" w:hAnsi="Times New Roman"/>
          <w:sz w:val="24"/>
          <w:szCs w:val="24"/>
        </w:rPr>
        <w:t>.</w:t>
      </w:r>
    </w:p>
    <w:p w14:paraId="6E8071F1" w14:textId="77777777" w:rsidR="005001FE" w:rsidRPr="00E01461" w:rsidRDefault="008053FE" w:rsidP="002E6F1E">
      <w:pPr>
        <w:pStyle w:val="Body"/>
        <w:tabs>
          <w:tab w:val="clear" w:pos="360"/>
        </w:tabs>
        <w:ind w:left="0" w:firstLine="0"/>
        <w:jc w:val="both"/>
        <w:rPr>
          <w:rFonts w:ascii="Times New Roman" w:hAnsi="Times New Roman"/>
          <w:sz w:val="24"/>
          <w:szCs w:val="24"/>
          <w:u w:val="single"/>
        </w:rPr>
      </w:pPr>
      <w:r w:rsidRPr="00E01461">
        <w:rPr>
          <w:rFonts w:ascii="Times New Roman" w:hAnsi="Times New Roman"/>
          <w:sz w:val="24"/>
          <w:szCs w:val="24"/>
          <w:u w:val="single"/>
        </w:rPr>
        <w:t xml:space="preserve">Thermal </w:t>
      </w:r>
      <w:r w:rsidR="005E361E">
        <w:rPr>
          <w:rFonts w:ascii="Times New Roman" w:hAnsi="Times New Roman"/>
          <w:sz w:val="24"/>
          <w:szCs w:val="24"/>
          <w:u w:val="single"/>
        </w:rPr>
        <w:t xml:space="preserve">ageing </w:t>
      </w:r>
      <w:r w:rsidRPr="00E01461">
        <w:rPr>
          <w:rFonts w:ascii="Times New Roman" w:hAnsi="Times New Roman"/>
          <w:sz w:val="24"/>
          <w:szCs w:val="24"/>
          <w:u w:val="single"/>
        </w:rPr>
        <w:t>embrittlement</w:t>
      </w:r>
    </w:p>
    <w:p w14:paraId="50A01852" w14:textId="77777777" w:rsidR="008053FE" w:rsidRDefault="005E361E" w:rsidP="002E6F1E">
      <w:pPr>
        <w:pStyle w:val="Body"/>
        <w:tabs>
          <w:tab w:val="clear" w:pos="360"/>
        </w:tabs>
        <w:ind w:left="0" w:firstLine="0"/>
        <w:jc w:val="both"/>
        <w:rPr>
          <w:rFonts w:ascii="Times New Roman" w:hAnsi="Times New Roman"/>
          <w:sz w:val="24"/>
          <w:szCs w:val="24"/>
        </w:rPr>
      </w:pPr>
      <w:r w:rsidRPr="005E361E">
        <w:rPr>
          <w:rFonts w:ascii="Times New Roman" w:hAnsi="Times New Roman"/>
          <w:sz w:val="24"/>
          <w:szCs w:val="24"/>
        </w:rPr>
        <w:t>Thermal ageing of materials is a time and temperature dependent degradation mechanism that decreases material toughness</w:t>
      </w:r>
      <w:r w:rsidR="00291BAC">
        <w:rPr>
          <w:rFonts w:ascii="Times New Roman" w:hAnsi="Times New Roman"/>
          <w:sz w:val="24"/>
          <w:szCs w:val="24"/>
        </w:rPr>
        <w:t xml:space="preserve"> (AMP</w:t>
      </w:r>
      <w:r w:rsidR="00C4248A">
        <w:rPr>
          <w:rFonts w:ascii="Times New Roman" w:hAnsi="Times New Roman"/>
          <w:sz w:val="24"/>
          <w:szCs w:val="24"/>
        </w:rPr>
        <w:t xml:space="preserve"> </w:t>
      </w:r>
      <w:r w:rsidR="00291BAC">
        <w:rPr>
          <w:rFonts w:ascii="Times New Roman" w:hAnsi="Times New Roman"/>
          <w:sz w:val="24"/>
          <w:szCs w:val="24"/>
        </w:rPr>
        <w:t>112)</w:t>
      </w:r>
      <w:r>
        <w:rPr>
          <w:rFonts w:ascii="Times New Roman" w:hAnsi="Times New Roman"/>
          <w:sz w:val="24"/>
          <w:szCs w:val="24"/>
        </w:rPr>
        <w:t>.</w:t>
      </w:r>
    </w:p>
    <w:p w14:paraId="28D1DFAD" w14:textId="77777777" w:rsidR="00782669" w:rsidRPr="00782669" w:rsidRDefault="00782669" w:rsidP="002E6F1E">
      <w:pPr>
        <w:pStyle w:val="Body"/>
        <w:tabs>
          <w:tab w:val="clear" w:pos="360"/>
        </w:tabs>
        <w:ind w:left="0" w:firstLine="0"/>
        <w:jc w:val="both"/>
        <w:rPr>
          <w:rFonts w:ascii="Times New Roman" w:hAnsi="Times New Roman"/>
          <w:sz w:val="24"/>
          <w:szCs w:val="24"/>
        </w:rPr>
      </w:pPr>
      <w:r w:rsidRPr="00782669">
        <w:rPr>
          <w:rFonts w:ascii="Times New Roman" w:hAnsi="Times New Roman"/>
          <w:sz w:val="24"/>
          <w:szCs w:val="24"/>
        </w:rPr>
        <w:t>At operating temperatures of 260 to 343</w:t>
      </w:r>
      <w:r w:rsidR="00C4248A">
        <w:rPr>
          <w:rFonts w:ascii="Times New Roman" w:hAnsi="Times New Roman"/>
          <w:sz w:val="24"/>
          <w:szCs w:val="24"/>
        </w:rPr>
        <w:t xml:space="preserve"> </w:t>
      </w:r>
      <w:r w:rsidRPr="00782669">
        <w:rPr>
          <w:rFonts w:ascii="Times New Roman" w:hAnsi="Times New Roman"/>
          <w:sz w:val="24"/>
          <w:szCs w:val="24"/>
        </w:rPr>
        <w:t>°C (500 to 650</w:t>
      </w:r>
      <w:r w:rsidR="00C4248A">
        <w:rPr>
          <w:rFonts w:ascii="Times New Roman" w:hAnsi="Times New Roman"/>
          <w:sz w:val="24"/>
          <w:szCs w:val="24"/>
        </w:rPr>
        <w:t xml:space="preserve"> </w:t>
      </w:r>
      <w:r w:rsidRPr="00782669">
        <w:rPr>
          <w:rFonts w:ascii="Times New Roman" w:hAnsi="Times New Roman"/>
          <w:sz w:val="24"/>
          <w:szCs w:val="24"/>
        </w:rPr>
        <w:t xml:space="preserve">°F), CASS exhibits a </w:t>
      </w:r>
      <w:r w:rsidR="00D42A13">
        <w:rPr>
          <w:rFonts w:ascii="Times New Roman" w:hAnsi="Times New Roman"/>
          <w:sz w:val="24"/>
          <w:szCs w:val="24"/>
        </w:rPr>
        <w:t>spinodal</w:t>
      </w:r>
      <w:r w:rsidRPr="00782669">
        <w:rPr>
          <w:rFonts w:ascii="Times New Roman" w:hAnsi="Times New Roman"/>
          <w:sz w:val="24"/>
          <w:szCs w:val="24"/>
        </w:rPr>
        <w:t xml:space="preserve"> decomposition of the ferrite phase into ferrite-rich and chromium-rich phases. This may give rise to significant embrittlement (reduction in fracture toughness), depending on the amount, morphology and distribution of the ferrite phase and the composition of the steel.</w:t>
      </w:r>
    </w:p>
    <w:p w14:paraId="167EBA2E" w14:textId="77777777" w:rsidR="00E65A23" w:rsidRPr="00DC04B4" w:rsidRDefault="00782669" w:rsidP="002E6F1E">
      <w:pPr>
        <w:pStyle w:val="Body"/>
        <w:tabs>
          <w:tab w:val="clear" w:pos="360"/>
        </w:tabs>
        <w:ind w:left="0" w:firstLine="0"/>
        <w:jc w:val="both"/>
        <w:rPr>
          <w:rFonts w:ascii="Times New Roman" w:hAnsi="Times New Roman"/>
          <w:sz w:val="24"/>
          <w:szCs w:val="24"/>
        </w:rPr>
      </w:pPr>
      <w:r w:rsidRPr="00782669">
        <w:rPr>
          <w:rFonts w:ascii="Times New Roman" w:hAnsi="Times New Roman"/>
          <w:sz w:val="24"/>
          <w:szCs w:val="24"/>
        </w:rPr>
        <w:t xml:space="preserve">Thermal ageing of materials other than CASS includes temper embrittlement and strain ageing embrittlement. Ferritic and low-alloy steels are subject to </w:t>
      </w:r>
      <w:proofErr w:type="gramStart"/>
      <w:r w:rsidRPr="00782669">
        <w:rPr>
          <w:rFonts w:ascii="Times New Roman" w:hAnsi="Times New Roman"/>
          <w:sz w:val="24"/>
          <w:szCs w:val="24"/>
        </w:rPr>
        <w:t>both of these</w:t>
      </w:r>
      <w:proofErr w:type="gramEnd"/>
      <w:r w:rsidRPr="00782669">
        <w:rPr>
          <w:rFonts w:ascii="Times New Roman" w:hAnsi="Times New Roman"/>
          <w:sz w:val="24"/>
          <w:szCs w:val="24"/>
        </w:rPr>
        <w:t xml:space="preserve"> types of embrittlement, but wrought stainless steel is not affected by either of these processes.</w:t>
      </w:r>
      <w:r w:rsidR="00E65A23">
        <w:rPr>
          <w:rFonts w:ascii="Times New Roman" w:hAnsi="Times New Roman"/>
          <w:sz w:val="24"/>
          <w:szCs w:val="24"/>
        </w:rPr>
        <w:t xml:space="preserve"> Stainless steel welds </w:t>
      </w:r>
      <w:r w:rsidR="00E65A23">
        <w:rPr>
          <w:rFonts w:ascii="Times New Roman" w:hAnsi="Times New Roman"/>
          <w:sz w:val="24"/>
          <w:szCs w:val="24"/>
        </w:rPr>
        <w:lastRenderedPageBreak/>
        <w:t>contai</w:t>
      </w:r>
      <w:r w:rsidR="00C4248A">
        <w:rPr>
          <w:rFonts w:ascii="Times New Roman" w:hAnsi="Times New Roman"/>
          <w:sz w:val="24"/>
          <w:szCs w:val="24"/>
        </w:rPr>
        <w:t>n</w:t>
      </w:r>
      <w:r w:rsidR="00E65A23">
        <w:rPr>
          <w:rFonts w:ascii="Times New Roman" w:hAnsi="Times New Roman"/>
          <w:sz w:val="24"/>
          <w:szCs w:val="24"/>
        </w:rPr>
        <w:t xml:space="preserve"> certain amount of delta ferrite, and thermal ageing embrittlement can be applicable to stainless steel welds.</w:t>
      </w:r>
    </w:p>
    <w:p w14:paraId="16B93162" w14:textId="77777777" w:rsidR="005001FE" w:rsidRPr="00FF270F" w:rsidRDefault="005001FE" w:rsidP="002E6F1E">
      <w:pPr>
        <w:pStyle w:val="Body"/>
        <w:tabs>
          <w:tab w:val="clear" w:pos="360"/>
        </w:tabs>
        <w:ind w:left="0" w:firstLine="0"/>
        <w:rPr>
          <w:rFonts w:ascii="Times New Roman" w:hAnsi="Times New Roman"/>
          <w:sz w:val="24"/>
          <w:szCs w:val="24"/>
          <w:u w:val="single"/>
        </w:rPr>
      </w:pPr>
      <w:r w:rsidRPr="00FF270F">
        <w:rPr>
          <w:rFonts w:ascii="Times New Roman" w:hAnsi="Times New Roman"/>
          <w:sz w:val="24"/>
          <w:szCs w:val="24"/>
          <w:u w:val="single"/>
        </w:rPr>
        <w:t>Boric acid corrosion</w:t>
      </w:r>
    </w:p>
    <w:p w14:paraId="59A838B1" w14:textId="77777777" w:rsidR="00291BAC" w:rsidRPr="00C4248A" w:rsidRDefault="00B07942"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Bori</w:t>
      </w:r>
      <w:r w:rsidR="0055458B" w:rsidRPr="00C4248A">
        <w:rPr>
          <w:rFonts w:ascii="Times New Roman" w:hAnsi="Times New Roman"/>
          <w:sz w:val="24"/>
          <w:szCs w:val="24"/>
        </w:rPr>
        <w:t>c acid corrosion of</w:t>
      </w:r>
      <w:r w:rsidRPr="00C4248A">
        <w:rPr>
          <w:rFonts w:ascii="Times New Roman" w:hAnsi="Times New Roman"/>
          <w:sz w:val="24"/>
          <w:szCs w:val="24"/>
        </w:rPr>
        <w:t xml:space="preserve"> carbon steel or low alloy steel</w:t>
      </w:r>
      <w:r w:rsidR="0055458B" w:rsidRPr="00C4248A">
        <w:rPr>
          <w:rFonts w:ascii="Times New Roman" w:hAnsi="Times New Roman"/>
          <w:sz w:val="24"/>
          <w:szCs w:val="24"/>
        </w:rPr>
        <w:t xml:space="preserve"> can occur </w:t>
      </w:r>
      <w:r w:rsidRPr="00C4248A">
        <w:rPr>
          <w:rFonts w:ascii="Times New Roman" w:hAnsi="Times New Roman"/>
          <w:sz w:val="24"/>
          <w:szCs w:val="24"/>
        </w:rPr>
        <w:t xml:space="preserve">in main coolant piping due to the breach in the </w:t>
      </w:r>
      <w:r w:rsidR="0055458B" w:rsidRPr="00C4248A">
        <w:rPr>
          <w:rFonts w:ascii="Times New Roman" w:hAnsi="Times New Roman"/>
          <w:sz w:val="24"/>
          <w:szCs w:val="24"/>
        </w:rPr>
        <w:t>stainless</w:t>
      </w:r>
      <w:r w:rsidRPr="00C4248A">
        <w:rPr>
          <w:rFonts w:ascii="Times New Roman" w:hAnsi="Times New Roman"/>
          <w:sz w:val="24"/>
          <w:szCs w:val="24"/>
        </w:rPr>
        <w:t xml:space="preserve"> steel </w:t>
      </w:r>
      <w:proofErr w:type="gramStart"/>
      <w:r w:rsidRPr="00C4248A">
        <w:rPr>
          <w:rFonts w:ascii="Times New Roman" w:hAnsi="Times New Roman"/>
          <w:sz w:val="24"/>
          <w:szCs w:val="24"/>
        </w:rPr>
        <w:t>cladding</w:t>
      </w:r>
      <w:r w:rsidR="0055458B" w:rsidRPr="00C4248A">
        <w:rPr>
          <w:rFonts w:ascii="Times New Roman" w:hAnsi="Times New Roman"/>
          <w:sz w:val="24"/>
          <w:szCs w:val="24"/>
        </w:rPr>
        <w:t>,</w:t>
      </w:r>
      <w:r w:rsidRPr="00C4248A">
        <w:rPr>
          <w:rFonts w:ascii="Times New Roman" w:hAnsi="Times New Roman"/>
          <w:sz w:val="24"/>
          <w:szCs w:val="24"/>
        </w:rPr>
        <w:t xml:space="preserve"> and</w:t>
      </w:r>
      <w:proofErr w:type="gramEnd"/>
      <w:r w:rsidRPr="00C4248A">
        <w:rPr>
          <w:rFonts w:ascii="Times New Roman" w:hAnsi="Times New Roman"/>
          <w:sz w:val="24"/>
          <w:szCs w:val="24"/>
        </w:rPr>
        <w:t xml:space="preserve"> can also </w:t>
      </w:r>
      <w:r w:rsidR="0055458B" w:rsidRPr="00C4248A">
        <w:rPr>
          <w:rFonts w:ascii="Times New Roman" w:hAnsi="Times New Roman"/>
          <w:sz w:val="24"/>
          <w:szCs w:val="24"/>
        </w:rPr>
        <w:t>occur</w:t>
      </w:r>
      <w:r w:rsidRPr="00C4248A">
        <w:rPr>
          <w:rFonts w:ascii="Times New Roman" w:hAnsi="Times New Roman"/>
          <w:sz w:val="24"/>
          <w:szCs w:val="24"/>
        </w:rPr>
        <w:t xml:space="preserve"> at </w:t>
      </w:r>
      <w:r w:rsidR="0055458B" w:rsidRPr="00C4248A">
        <w:rPr>
          <w:rFonts w:ascii="Times New Roman" w:hAnsi="Times New Roman"/>
          <w:sz w:val="24"/>
          <w:szCs w:val="24"/>
        </w:rPr>
        <w:t xml:space="preserve">other </w:t>
      </w:r>
      <w:proofErr w:type="spellStart"/>
      <w:r w:rsidR="0055458B" w:rsidRPr="00C4248A">
        <w:rPr>
          <w:rFonts w:ascii="Times New Roman" w:hAnsi="Times New Roman"/>
          <w:sz w:val="24"/>
          <w:szCs w:val="24"/>
        </w:rPr>
        <w:t>uncladded</w:t>
      </w:r>
      <w:proofErr w:type="spellEnd"/>
      <w:r w:rsidRPr="00C4248A">
        <w:rPr>
          <w:rFonts w:ascii="Times New Roman" w:hAnsi="Times New Roman"/>
          <w:sz w:val="24"/>
          <w:szCs w:val="24"/>
        </w:rPr>
        <w:t xml:space="preserve"> locations</w:t>
      </w:r>
      <w:r w:rsidR="00291BAC" w:rsidRPr="00C4248A">
        <w:rPr>
          <w:rFonts w:ascii="Times New Roman" w:hAnsi="Times New Roman"/>
          <w:sz w:val="24"/>
          <w:szCs w:val="24"/>
        </w:rPr>
        <w:t xml:space="preserve"> (AMP</w:t>
      </w:r>
      <w:r w:rsidR="00C4248A">
        <w:rPr>
          <w:rFonts w:ascii="Times New Roman" w:hAnsi="Times New Roman"/>
          <w:sz w:val="24"/>
          <w:szCs w:val="24"/>
        </w:rPr>
        <w:t xml:space="preserve"> </w:t>
      </w:r>
      <w:r w:rsidR="00291BAC" w:rsidRPr="00C4248A">
        <w:rPr>
          <w:rFonts w:ascii="Times New Roman" w:hAnsi="Times New Roman"/>
          <w:sz w:val="24"/>
          <w:szCs w:val="24"/>
        </w:rPr>
        <w:t>110)</w:t>
      </w:r>
      <w:r w:rsidRPr="00C4248A">
        <w:rPr>
          <w:rFonts w:ascii="Times New Roman" w:hAnsi="Times New Roman"/>
          <w:sz w:val="24"/>
          <w:szCs w:val="24"/>
        </w:rPr>
        <w:t>.</w:t>
      </w:r>
    </w:p>
    <w:p w14:paraId="2593D211" w14:textId="77777777" w:rsidR="00AE5ABE" w:rsidRPr="00C4248A" w:rsidRDefault="00AE5ABE"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Implementation of the boric acid corrosion </w:t>
      </w:r>
      <w:proofErr w:type="spellStart"/>
      <w:r w:rsidRPr="00C4248A">
        <w:rPr>
          <w:rFonts w:ascii="Times New Roman" w:hAnsi="Times New Roman"/>
          <w:sz w:val="24"/>
          <w:szCs w:val="24"/>
        </w:rPr>
        <w:t>programme</w:t>
      </w:r>
      <w:proofErr w:type="spellEnd"/>
      <w:r w:rsidRPr="00C4248A">
        <w:rPr>
          <w:rFonts w:ascii="Times New Roman" w:hAnsi="Times New Roman"/>
          <w:sz w:val="24"/>
          <w:szCs w:val="24"/>
        </w:rPr>
        <w:t xml:space="preserve"> is to monitor the leakage of the pressure boundaries in primary system, including main coolant piping.</w:t>
      </w:r>
    </w:p>
    <w:p w14:paraId="32EEA201" w14:textId="77777777" w:rsidR="0055458B" w:rsidRPr="00C4248A" w:rsidRDefault="0055458B"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Supports of main coolant piping could be in carbon steel thus boric acid corrosion is a potential degradation mechanism.</w:t>
      </w:r>
    </w:p>
    <w:p w14:paraId="07C9D350" w14:textId="77777777" w:rsidR="00916A24" w:rsidRPr="00447A13" w:rsidRDefault="00916A24" w:rsidP="002E6F1E">
      <w:pPr>
        <w:pStyle w:val="Body"/>
        <w:tabs>
          <w:tab w:val="clear" w:pos="360"/>
        </w:tabs>
        <w:ind w:left="0" w:firstLine="0"/>
        <w:jc w:val="both"/>
        <w:rPr>
          <w:rFonts w:ascii="Times New Roman" w:hAnsi="Times New Roman"/>
          <w:color w:val="FF0000"/>
          <w:sz w:val="24"/>
          <w:szCs w:val="24"/>
        </w:rPr>
      </w:pPr>
      <w:r w:rsidRPr="00447A13">
        <w:rPr>
          <w:rFonts w:ascii="Times New Roman" w:hAnsi="Times New Roman"/>
          <w:color w:val="FF0000"/>
          <w:sz w:val="24"/>
          <w:szCs w:val="24"/>
        </w:rPr>
        <w:t>Examples of critical locations with potential degradation mechanisms are summarized in table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3"/>
        <w:gridCol w:w="2935"/>
        <w:gridCol w:w="990"/>
        <w:gridCol w:w="1070"/>
        <w:gridCol w:w="1070"/>
        <w:gridCol w:w="1070"/>
        <w:gridCol w:w="996"/>
      </w:tblGrid>
      <w:tr w:rsidR="00447A13" w:rsidRPr="00447A13" w14:paraId="0ACA49BB" w14:textId="77777777" w:rsidTr="004D54B1">
        <w:trPr>
          <w:trHeight w:val="398"/>
          <w:jc w:val="center"/>
        </w:trPr>
        <w:tc>
          <w:tcPr>
            <w:tcW w:w="1134" w:type="dxa"/>
            <w:vMerge w:val="restart"/>
            <w:tcBorders>
              <w:top w:val="single" w:sz="12" w:space="0" w:color="auto"/>
              <w:left w:val="single" w:sz="12" w:space="0" w:color="auto"/>
              <w:right w:val="single" w:sz="12" w:space="0" w:color="auto"/>
            </w:tcBorders>
            <w:vAlign w:val="center"/>
          </w:tcPr>
          <w:p w14:paraId="64BC5A75" w14:textId="77777777" w:rsidR="00916A24" w:rsidRPr="00447A13" w:rsidRDefault="00916A24" w:rsidP="002E6F1E">
            <w:pPr>
              <w:spacing w:before="120" w:after="120"/>
              <w:jc w:val="center"/>
              <w:rPr>
                <w:b/>
                <w:color w:val="FF0000"/>
                <w:sz w:val="22"/>
                <w:szCs w:val="22"/>
              </w:rPr>
            </w:pPr>
            <w:proofErr w:type="spellStart"/>
            <w:r w:rsidRPr="00447A13">
              <w:rPr>
                <w:b/>
                <w:color w:val="FF0000"/>
                <w:sz w:val="22"/>
                <w:szCs w:val="22"/>
              </w:rPr>
              <w:t>Location</w:t>
            </w:r>
            <w:proofErr w:type="spellEnd"/>
            <w:r w:rsidRPr="00447A13">
              <w:rPr>
                <w:b/>
                <w:color w:val="FF0000"/>
                <w:sz w:val="22"/>
                <w:szCs w:val="22"/>
              </w:rPr>
              <w:t xml:space="preserve"> ID</w:t>
            </w:r>
          </w:p>
        </w:tc>
        <w:tc>
          <w:tcPr>
            <w:tcW w:w="4536" w:type="dxa"/>
            <w:tcBorders>
              <w:top w:val="single" w:sz="12" w:space="0" w:color="auto"/>
              <w:left w:val="single" w:sz="12" w:space="0" w:color="auto"/>
              <w:bottom w:val="single" w:sz="4" w:space="0" w:color="auto"/>
              <w:right w:val="single" w:sz="12" w:space="0" w:color="auto"/>
            </w:tcBorders>
            <w:shd w:val="clear" w:color="auto" w:fill="D9D9D9" w:themeFill="background1" w:themeFillShade="D9"/>
            <w:vAlign w:val="center"/>
          </w:tcPr>
          <w:p w14:paraId="28E735C3" w14:textId="77777777" w:rsidR="00916A24" w:rsidRPr="00447A13" w:rsidRDefault="00916A24" w:rsidP="002E6F1E">
            <w:pPr>
              <w:snapToGrid w:val="0"/>
              <w:spacing w:before="120" w:after="120"/>
              <w:jc w:val="right"/>
              <w:rPr>
                <w:b/>
                <w:i/>
                <w:color w:val="FF0000"/>
                <w:sz w:val="22"/>
                <w:szCs w:val="22"/>
              </w:rPr>
            </w:pPr>
            <w:proofErr w:type="spellStart"/>
            <w:r w:rsidRPr="00447A13">
              <w:rPr>
                <w:b/>
                <w:i/>
                <w:color w:val="FF0000"/>
                <w:sz w:val="22"/>
                <w:szCs w:val="22"/>
              </w:rPr>
              <w:t>Degradation</w:t>
            </w:r>
            <w:proofErr w:type="spellEnd"/>
            <w:r w:rsidRPr="00447A13">
              <w:rPr>
                <w:b/>
                <w:i/>
                <w:color w:val="FF0000"/>
                <w:sz w:val="22"/>
                <w:szCs w:val="22"/>
              </w:rPr>
              <w:t xml:space="preserve"> </w:t>
            </w:r>
            <w:proofErr w:type="spellStart"/>
            <w:r w:rsidRPr="00447A13">
              <w:rPr>
                <w:b/>
                <w:i/>
                <w:color w:val="FF0000"/>
                <w:sz w:val="22"/>
                <w:szCs w:val="22"/>
              </w:rPr>
              <w:t>mechanism</w:t>
            </w:r>
            <w:proofErr w:type="spellEnd"/>
            <w:r w:rsidRPr="00447A13">
              <w:rPr>
                <w:b/>
                <w:i/>
                <w:color w:val="FF0000"/>
                <w:sz w:val="22"/>
                <w:szCs w:val="22"/>
              </w:rPr>
              <w:t xml:space="preserve"> </w:t>
            </w:r>
          </w:p>
        </w:tc>
        <w:tc>
          <w:tcPr>
            <w:tcW w:w="113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49064BF6" w14:textId="77777777" w:rsidR="00916A24" w:rsidRPr="00447A13" w:rsidRDefault="00916A24" w:rsidP="002E6F1E">
            <w:pPr>
              <w:snapToGrid w:val="0"/>
              <w:spacing w:before="120" w:after="120"/>
              <w:jc w:val="center"/>
              <w:rPr>
                <w:b/>
                <w:i/>
                <w:color w:val="FF0000"/>
                <w:sz w:val="22"/>
                <w:szCs w:val="22"/>
              </w:rPr>
            </w:pPr>
            <w:proofErr w:type="spellStart"/>
            <w:r w:rsidRPr="00447A13">
              <w:rPr>
                <w:b/>
                <w:i/>
                <w:color w:val="FF0000"/>
                <w:sz w:val="22"/>
                <w:szCs w:val="22"/>
              </w:rPr>
              <w:t>Fatigue</w:t>
            </w:r>
            <w:proofErr w:type="spellEnd"/>
          </w:p>
        </w:tc>
        <w:tc>
          <w:tcPr>
            <w:tcW w:w="113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119CF935" w14:textId="77777777" w:rsidR="00916A24" w:rsidRPr="00447A13" w:rsidDel="001C4345" w:rsidRDefault="00916A24" w:rsidP="002E6F1E">
            <w:pPr>
              <w:snapToGrid w:val="0"/>
              <w:spacing w:before="120" w:after="120"/>
              <w:jc w:val="center"/>
              <w:rPr>
                <w:b/>
                <w:i/>
                <w:color w:val="FF0000"/>
                <w:sz w:val="22"/>
                <w:szCs w:val="22"/>
              </w:rPr>
            </w:pPr>
            <w:proofErr w:type="spellStart"/>
            <w:r w:rsidRPr="00447A13">
              <w:rPr>
                <w:b/>
                <w:i/>
                <w:color w:val="FF0000"/>
                <w:sz w:val="22"/>
                <w:szCs w:val="22"/>
              </w:rPr>
              <w:t>Local</w:t>
            </w:r>
            <w:proofErr w:type="spellEnd"/>
            <w:r w:rsidRPr="00447A13">
              <w:rPr>
                <w:b/>
                <w:i/>
                <w:color w:val="FF0000"/>
                <w:sz w:val="22"/>
                <w:szCs w:val="22"/>
              </w:rPr>
              <w:t xml:space="preserve"> </w:t>
            </w:r>
            <w:proofErr w:type="spellStart"/>
            <w:r w:rsidRPr="00447A13">
              <w:rPr>
                <w:b/>
                <w:i/>
                <w:color w:val="FF0000"/>
                <w:sz w:val="22"/>
                <w:szCs w:val="22"/>
              </w:rPr>
              <w:t>corrosion</w:t>
            </w:r>
            <w:proofErr w:type="spellEnd"/>
            <w:r w:rsidRPr="00447A13">
              <w:rPr>
                <w:b/>
                <w:i/>
                <w:color w:val="FF0000"/>
                <w:sz w:val="22"/>
                <w:szCs w:val="22"/>
              </w:rPr>
              <w:t xml:space="preserve"> (</w:t>
            </w:r>
            <w:proofErr w:type="spellStart"/>
            <w:r w:rsidRPr="00447A13">
              <w:rPr>
                <w:b/>
                <w:i/>
                <w:color w:val="FF0000"/>
                <w:sz w:val="22"/>
                <w:szCs w:val="22"/>
              </w:rPr>
              <w:t>incl</w:t>
            </w:r>
            <w:proofErr w:type="spellEnd"/>
            <w:r w:rsidRPr="00447A13">
              <w:rPr>
                <w:b/>
                <w:i/>
                <w:color w:val="FF0000"/>
                <w:sz w:val="22"/>
                <w:szCs w:val="22"/>
              </w:rPr>
              <w:t xml:space="preserve">. SCC) </w:t>
            </w:r>
          </w:p>
        </w:tc>
        <w:tc>
          <w:tcPr>
            <w:tcW w:w="113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4E111BC1" w14:textId="77777777" w:rsidR="00916A24" w:rsidRPr="00447A13" w:rsidRDefault="00916A24" w:rsidP="002E6F1E">
            <w:pPr>
              <w:snapToGrid w:val="0"/>
              <w:spacing w:before="120" w:after="120"/>
              <w:jc w:val="center"/>
              <w:rPr>
                <w:b/>
                <w:i/>
                <w:color w:val="FF0000"/>
                <w:sz w:val="22"/>
                <w:szCs w:val="22"/>
              </w:rPr>
            </w:pPr>
            <w:proofErr w:type="spellStart"/>
            <w:r w:rsidRPr="00447A13">
              <w:rPr>
                <w:b/>
                <w:i/>
                <w:color w:val="FF0000"/>
                <w:sz w:val="22"/>
                <w:szCs w:val="22"/>
              </w:rPr>
              <w:t>Boric</w:t>
            </w:r>
            <w:proofErr w:type="spellEnd"/>
            <w:r w:rsidRPr="00447A13">
              <w:rPr>
                <w:b/>
                <w:i/>
                <w:color w:val="FF0000"/>
                <w:sz w:val="22"/>
                <w:szCs w:val="22"/>
              </w:rPr>
              <w:t xml:space="preserve"> </w:t>
            </w:r>
            <w:proofErr w:type="spellStart"/>
            <w:r w:rsidRPr="00447A13">
              <w:rPr>
                <w:b/>
                <w:i/>
                <w:color w:val="FF0000"/>
                <w:sz w:val="22"/>
                <w:szCs w:val="22"/>
              </w:rPr>
              <w:t>acid</w:t>
            </w:r>
            <w:proofErr w:type="spellEnd"/>
            <w:r w:rsidRPr="00447A13">
              <w:rPr>
                <w:b/>
                <w:i/>
                <w:color w:val="FF0000"/>
                <w:sz w:val="22"/>
                <w:szCs w:val="22"/>
              </w:rPr>
              <w:t xml:space="preserve"> </w:t>
            </w:r>
            <w:proofErr w:type="spellStart"/>
            <w:r w:rsidRPr="00447A13">
              <w:rPr>
                <w:b/>
                <w:i/>
                <w:color w:val="FF0000"/>
                <w:sz w:val="22"/>
                <w:szCs w:val="22"/>
              </w:rPr>
              <w:t>corrosion</w:t>
            </w:r>
            <w:proofErr w:type="spellEnd"/>
          </w:p>
        </w:tc>
        <w:tc>
          <w:tcPr>
            <w:tcW w:w="113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0162891E" w14:textId="77777777" w:rsidR="00916A24" w:rsidRPr="00447A13" w:rsidRDefault="00916A24" w:rsidP="002E6F1E">
            <w:pPr>
              <w:snapToGrid w:val="0"/>
              <w:spacing w:before="120" w:after="120"/>
              <w:jc w:val="center"/>
              <w:rPr>
                <w:b/>
                <w:i/>
                <w:color w:val="FF0000"/>
                <w:sz w:val="22"/>
                <w:szCs w:val="22"/>
              </w:rPr>
            </w:pPr>
            <w:proofErr w:type="spellStart"/>
            <w:r w:rsidRPr="00447A13">
              <w:rPr>
                <w:b/>
                <w:i/>
                <w:color w:val="FF0000"/>
                <w:sz w:val="22"/>
                <w:szCs w:val="22"/>
              </w:rPr>
              <w:t>General</w:t>
            </w:r>
            <w:proofErr w:type="spellEnd"/>
            <w:r w:rsidRPr="00447A13">
              <w:rPr>
                <w:b/>
                <w:i/>
                <w:color w:val="FF0000"/>
                <w:sz w:val="22"/>
                <w:szCs w:val="22"/>
              </w:rPr>
              <w:t xml:space="preserve"> </w:t>
            </w:r>
            <w:proofErr w:type="spellStart"/>
            <w:r w:rsidRPr="00447A13">
              <w:rPr>
                <w:b/>
                <w:i/>
                <w:color w:val="FF0000"/>
                <w:sz w:val="22"/>
                <w:szCs w:val="22"/>
              </w:rPr>
              <w:t>corrosion</w:t>
            </w:r>
            <w:proofErr w:type="spellEnd"/>
          </w:p>
        </w:tc>
        <w:tc>
          <w:tcPr>
            <w:tcW w:w="1134" w:type="dxa"/>
            <w:vMerge w:val="restart"/>
            <w:tcBorders>
              <w:top w:val="single" w:sz="12" w:space="0" w:color="auto"/>
              <w:left w:val="single" w:sz="12" w:space="0" w:color="auto"/>
              <w:right w:val="single" w:sz="12" w:space="0" w:color="auto"/>
            </w:tcBorders>
            <w:shd w:val="clear" w:color="auto" w:fill="D9D9D9" w:themeFill="background1" w:themeFillShade="D9"/>
            <w:vAlign w:val="center"/>
          </w:tcPr>
          <w:p w14:paraId="3C32FABF" w14:textId="77777777" w:rsidR="00916A24" w:rsidRPr="00447A13" w:rsidRDefault="00916A24" w:rsidP="002E6F1E">
            <w:pPr>
              <w:snapToGrid w:val="0"/>
              <w:spacing w:before="120" w:after="120"/>
              <w:jc w:val="center"/>
              <w:rPr>
                <w:b/>
                <w:i/>
                <w:color w:val="FF0000"/>
                <w:sz w:val="22"/>
                <w:szCs w:val="22"/>
              </w:rPr>
            </w:pPr>
            <w:proofErr w:type="spellStart"/>
            <w:r w:rsidRPr="00447A13">
              <w:rPr>
                <w:b/>
                <w:i/>
                <w:color w:val="FF0000"/>
                <w:sz w:val="22"/>
                <w:szCs w:val="22"/>
              </w:rPr>
              <w:t>Erosion</w:t>
            </w:r>
            <w:proofErr w:type="spellEnd"/>
          </w:p>
        </w:tc>
      </w:tr>
      <w:tr w:rsidR="00447A13" w:rsidRPr="00447A13" w14:paraId="0903692F" w14:textId="77777777" w:rsidTr="004D54B1">
        <w:trPr>
          <w:trHeight w:val="415"/>
          <w:jc w:val="center"/>
        </w:trPr>
        <w:tc>
          <w:tcPr>
            <w:tcW w:w="1134" w:type="dxa"/>
            <w:vMerge/>
            <w:tcBorders>
              <w:left w:val="single" w:sz="12" w:space="0" w:color="auto"/>
              <w:bottom w:val="single" w:sz="12" w:space="0" w:color="auto"/>
              <w:right w:val="single" w:sz="12" w:space="0" w:color="auto"/>
            </w:tcBorders>
            <w:vAlign w:val="center"/>
          </w:tcPr>
          <w:p w14:paraId="0D7B4FCC" w14:textId="77777777" w:rsidR="00916A24" w:rsidRPr="00447A13" w:rsidRDefault="00916A24" w:rsidP="002E6F1E">
            <w:pPr>
              <w:spacing w:before="120" w:after="120"/>
              <w:jc w:val="center"/>
              <w:rPr>
                <w:b/>
                <w:color w:val="FF0000"/>
                <w:sz w:val="22"/>
                <w:szCs w:val="22"/>
              </w:rPr>
            </w:pPr>
          </w:p>
        </w:tc>
        <w:tc>
          <w:tcPr>
            <w:tcW w:w="4536" w:type="dxa"/>
            <w:tcBorders>
              <w:top w:val="single" w:sz="4" w:space="0" w:color="auto"/>
              <w:left w:val="single" w:sz="12" w:space="0" w:color="auto"/>
              <w:bottom w:val="single" w:sz="12" w:space="0" w:color="auto"/>
              <w:right w:val="single" w:sz="12" w:space="0" w:color="auto"/>
            </w:tcBorders>
            <w:vAlign w:val="center"/>
          </w:tcPr>
          <w:p w14:paraId="4EB0F5D0" w14:textId="77777777" w:rsidR="00916A24" w:rsidRPr="00447A13" w:rsidRDefault="00916A24" w:rsidP="002E6F1E">
            <w:pPr>
              <w:snapToGrid w:val="0"/>
              <w:spacing w:before="120" w:after="120"/>
              <w:jc w:val="center"/>
              <w:rPr>
                <w:b/>
                <w:color w:val="FF0000"/>
                <w:sz w:val="22"/>
                <w:szCs w:val="22"/>
              </w:rPr>
            </w:pPr>
            <w:proofErr w:type="spellStart"/>
            <w:r w:rsidRPr="00447A13">
              <w:rPr>
                <w:b/>
                <w:color w:val="FF0000"/>
                <w:sz w:val="22"/>
                <w:szCs w:val="22"/>
              </w:rPr>
              <w:t>Critical</w:t>
            </w:r>
            <w:proofErr w:type="spellEnd"/>
            <w:r w:rsidRPr="00447A13">
              <w:rPr>
                <w:b/>
                <w:color w:val="FF0000"/>
                <w:sz w:val="22"/>
                <w:szCs w:val="22"/>
              </w:rPr>
              <w:t xml:space="preserve"> </w:t>
            </w:r>
            <w:proofErr w:type="spellStart"/>
            <w:r w:rsidRPr="00447A13">
              <w:rPr>
                <w:b/>
                <w:color w:val="FF0000"/>
                <w:sz w:val="22"/>
                <w:szCs w:val="22"/>
              </w:rPr>
              <w:t>location</w:t>
            </w:r>
            <w:proofErr w:type="spellEnd"/>
          </w:p>
        </w:tc>
        <w:tc>
          <w:tcPr>
            <w:tcW w:w="1134" w:type="dxa"/>
            <w:vMerge/>
            <w:tcBorders>
              <w:left w:val="single" w:sz="12" w:space="0" w:color="auto"/>
              <w:bottom w:val="single" w:sz="12" w:space="0" w:color="auto"/>
              <w:right w:val="single" w:sz="12" w:space="0" w:color="auto"/>
            </w:tcBorders>
            <w:vAlign w:val="center"/>
          </w:tcPr>
          <w:p w14:paraId="75D308F2" w14:textId="77777777" w:rsidR="00916A24" w:rsidRPr="00447A13" w:rsidRDefault="00916A24" w:rsidP="002E6F1E">
            <w:pPr>
              <w:snapToGrid w:val="0"/>
              <w:spacing w:before="120" w:after="120"/>
              <w:jc w:val="center"/>
              <w:rPr>
                <w:b/>
                <w:color w:val="FF0000"/>
                <w:sz w:val="22"/>
                <w:szCs w:val="22"/>
              </w:rPr>
            </w:pPr>
          </w:p>
        </w:tc>
        <w:tc>
          <w:tcPr>
            <w:tcW w:w="1134" w:type="dxa"/>
            <w:vMerge/>
            <w:tcBorders>
              <w:left w:val="single" w:sz="12" w:space="0" w:color="auto"/>
              <w:bottom w:val="single" w:sz="12" w:space="0" w:color="auto"/>
              <w:right w:val="single" w:sz="12" w:space="0" w:color="auto"/>
            </w:tcBorders>
            <w:vAlign w:val="center"/>
          </w:tcPr>
          <w:p w14:paraId="3C0B2AB1" w14:textId="77777777" w:rsidR="00916A24" w:rsidRPr="00447A13" w:rsidRDefault="00916A24" w:rsidP="002E6F1E">
            <w:pPr>
              <w:snapToGrid w:val="0"/>
              <w:spacing w:before="120" w:after="120"/>
              <w:jc w:val="center"/>
              <w:rPr>
                <w:b/>
                <w:color w:val="FF0000"/>
                <w:sz w:val="22"/>
                <w:szCs w:val="22"/>
              </w:rPr>
            </w:pPr>
          </w:p>
        </w:tc>
        <w:tc>
          <w:tcPr>
            <w:tcW w:w="1134" w:type="dxa"/>
            <w:vMerge/>
            <w:tcBorders>
              <w:left w:val="single" w:sz="12" w:space="0" w:color="auto"/>
              <w:bottom w:val="single" w:sz="12" w:space="0" w:color="auto"/>
              <w:right w:val="single" w:sz="12" w:space="0" w:color="auto"/>
            </w:tcBorders>
            <w:vAlign w:val="center"/>
          </w:tcPr>
          <w:p w14:paraId="1371AF08" w14:textId="77777777" w:rsidR="00916A24" w:rsidRPr="00447A13" w:rsidRDefault="00916A24" w:rsidP="002E6F1E">
            <w:pPr>
              <w:snapToGrid w:val="0"/>
              <w:spacing w:before="120" w:after="120"/>
              <w:jc w:val="center"/>
              <w:rPr>
                <w:b/>
                <w:color w:val="FF0000"/>
                <w:sz w:val="22"/>
                <w:szCs w:val="22"/>
              </w:rPr>
            </w:pPr>
          </w:p>
        </w:tc>
        <w:tc>
          <w:tcPr>
            <w:tcW w:w="1134" w:type="dxa"/>
            <w:vMerge/>
            <w:tcBorders>
              <w:left w:val="single" w:sz="12" w:space="0" w:color="auto"/>
              <w:bottom w:val="single" w:sz="12" w:space="0" w:color="auto"/>
              <w:right w:val="single" w:sz="12" w:space="0" w:color="auto"/>
            </w:tcBorders>
            <w:vAlign w:val="center"/>
          </w:tcPr>
          <w:p w14:paraId="0B547A82" w14:textId="77777777" w:rsidR="00916A24" w:rsidRPr="00447A13" w:rsidRDefault="00916A24" w:rsidP="002E6F1E">
            <w:pPr>
              <w:snapToGrid w:val="0"/>
              <w:spacing w:before="120" w:after="120"/>
              <w:jc w:val="center"/>
              <w:rPr>
                <w:b/>
                <w:color w:val="FF0000"/>
                <w:sz w:val="22"/>
                <w:szCs w:val="22"/>
              </w:rPr>
            </w:pPr>
          </w:p>
        </w:tc>
        <w:tc>
          <w:tcPr>
            <w:tcW w:w="1134" w:type="dxa"/>
            <w:vMerge/>
            <w:tcBorders>
              <w:left w:val="single" w:sz="12" w:space="0" w:color="auto"/>
              <w:bottom w:val="single" w:sz="12" w:space="0" w:color="auto"/>
              <w:right w:val="single" w:sz="12" w:space="0" w:color="auto"/>
            </w:tcBorders>
            <w:vAlign w:val="center"/>
          </w:tcPr>
          <w:p w14:paraId="42EC9455" w14:textId="77777777" w:rsidR="00916A24" w:rsidRPr="00447A13" w:rsidRDefault="00916A24" w:rsidP="002E6F1E">
            <w:pPr>
              <w:snapToGrid w:val="0"/>
              <w:spacing w:before="120" w:after="120"/>
              <w:jc w:val="center"/>
              <w:rPr>
                <w:b/>
                <w:color w:val="FF0000"/>
                <w:sz w:val="22"/>
                <w:szCs w:val="22"/>
              </w:rPr>
            </w:pPr>
          </w:p>
        </w:tc>
      </w:tr>
      <w:tr w:rsidR="00447A13" w:rsidRPr="00447A13" w14:paraId="1DB35120" w14:textId="77777777" w:rsidTr="004D54B1">
        <w:trPr>
          <w:trHeight w:val="567"/>
          <w:jc w:val="center"/>
        </w:trPr>
        <w:tc>
          <w:tcPr>
            <w:tcW w:w="1134" w:type="dxa"/>
            <w:tcBorders>
              <w:top w:val="single" w:sz="12" w:space="0" w:color="auto"/>
              <w:left w:val="single" w:sz="12" w:space="0" w:color="auto"/>
              <w:bottom w:val="single" w:sz="4" w:space="0" w:color="auto"/>
              <w:right w:val="single" w:sz="12" w:space="0" w:color="auto"/>
            </w:tcBorders>
            <w:vAlign w:val="center"/>
          </w:tcPr>
          <w:p w14:paraId="62E6DD8E" w14:textId="77777777" w:rsidR="00916A24" w:rsidRPr="00447A13" w:rsidRDefault="00916A24" w:rsidP="002E6F1E">
            <w:pPr>
              <w:spacing w:before="120" w:after="120"/>
              <w:jc w:val="center"/>
              <w:rPr>
                <w:b/>
                <w:color w:val="FF0000"/>
                <w:sz w:val="22"/>
                <w:szCs w:val="22"/>
              </w:rPr>
            </w:pPr>
            <w:r w:rsidRPr="00447A13">
              <w:rPr>
                <w:b/>
                <w:color w:val="FF0000"/>
                <w:sz w:val="22"/>
                <w:szCs w:val="22"/>
              </w:rPr>
              <w:t>1</w:t>
            </w:r>
          </w:p>
        </w:tc>
        <w:tc>
          <w:tcPr>
            <w:tcW w:w="4536" w:type="dxa"/>
            <w:tcBorders>
              <w:top w:val="single" w:sz="12" w:space="0" w:color="auto"/>
              <w:left w:val="single" w:sz="12" w:space="0" w:color="auto"/>
              <w:bottom w:val="single" w:sz="4" w:space="0" w:color="auto"/>
              <w:right w:val="single" w:sz="4" w:space="0" w:color="auto"/>
            </w:tcBorders>
            <w:vAlign w:val="center"/>
          </w:tcPr>
          <w:p w14:paraId="4DCE743D" w14:textId="77777777" w:rsidR="00916A24" w:rsidRPr="00447A13" w:rsidRDefault="00916A24" w:rsidP="002E6F1E">
            <w:pPr>
              <w:spacing w:before="120" w:after="120"/>
              <w:rPr>
                <w:b/>
                <w:color w:val="FF0000"/>
                <w:sz w:val="22"/>
                <w:szCs w:val="22"/>
                <w:lang w:val="en-US"/>
              </w:rPr>
            </w:pPr>
            <w:r w:rsidRPr="00447A13">
              <w:rPr>
                <w:b/>
                <w:color w:val="FF0000"/>
                <w:sz w:val="22"/>
                <w:szCs w:val="22"/>
                <w:lang w:val="en-US"/>
              </w:rPr>
              <w:t>Connections: Reactor, SG, MGV, MCP</w:t>
            </w:r>
          </w:p>
        </w:tc>
        <w:tc>
          <w:tcPr>
            <w:tcW w:w="1134" w:type="dxa"/>
            <w:tcBorders>
              <w:top w:val="single" w:sz="12" w:space="0" w:color="auto"/>
              <w:left w:val="single" w:sz="4" w:space="0" w:color="auto"/>
              <w:bottom w:val="single" w:sz="4" w:space="0" w:color="auto"/>
              <w:right w:val="single" w:sz="4" w:space="0" w:color="auto"/>
            </w:tcBorders>
            <w:vAlign w:val="center"/>
          </w:tcPr>
          <w:p w14:paraId="044E3855" w14:textId="77777777" w:rsidR="00916A24" w:rsidRPr="00447A13" w:rsidRDefault="00916A24" w:rsidP="002E6F1E">
            <w:pPr>
              <w:spacing w:before="120" w:after="120"/>
              <w:jc w:val="center"/>
              <w:rPr>
                <w:b/>
                <w:color w:val="FF0000"/>
                <w:sz w:val="22"/>
                <w:szCs w:val="22"/>
                <w:lang w:val="en-US"/>
              </w:rPr>
            </w:pPr>
          </w:p>
        </w:tc>
        <w:tc>
          <w:tcPr>
            <w:tcW w:w="1134" w:type="dxa"/>
            <w:tcBorders>
              <w:top w:val="single" w:sz="12" w:space="0" w:color="auto"/>
              <w:left w:val="single" w:sz="4" w:space="0" w:color="auto"/>
              <w:bottom w:val="single" w:sz="4" w:space="0" w:color="auto"/>
              <w:right w:val="single" w:sz="4" w:space="0" w:color="auto"/>
            </w:tcBorders>
            <w:vAlign w:val="center"/>
          </w:tcPr>
          <w:p w14:paraId="47D3C522"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12" w:space="0" w:color="auto"/>
              <w:left w:val="single" w:sz="4" w:space="0" w:color="auto"/>
              <w:bottom w:val="single" w:sz="4" w:space="0" w:color="auto"/>
              <w:right w:val="single" w:sz="4" w:space="0" w:color="auto"/>
            </w:tcBorders>
            <w:vAlign w:val="center"/>
          </w:tcPr>
          <w:p w14:paraId="223E824B" w14:textId="77777777" w:rsidR="00916A24" w:rsidRPr="00447A13" w:rsidRDefault="00916A24" w:rsidP="002E6F1E">
            <w:pPr>
              <w:spacing w:before="120" w:after="120"/>
              <w:jc w:val="center"/>
              <w:rPr>
                <w:b/>
                <w:color w:val="FF0000"/>
                <w:sz w:val="22"/>
                <w:szCs w:val="22"/>
              </w:rPr>
            </w:pPr>
          </w:p>
        </w:tc>
        <w:tc>
          <w:tcPr>
            <w:tcW w:w="1134" w:type="dxa"/>
            <w:tcBorders>
              <w:top w:val="single" w:sz="12" w:space="0" w:color="auto"/>
              <w:left w:val="single" w:sz="4" w:space="0" w:color="auto"/>
              <w:bottom w:val="single" w:sz="4" w:space="0" w:color="auto"/>
              <w:right w:val="single" w:sz="4" w:space="0" w:color="auto"/>
            </w:tcBorders>
            <w:vAlign w:val="center"/>
          </w:tcPr>
          <w:p w14:paraId="53194206" w14:textId="77777777" w:rsidR="00916A24" w:rsidRPr="00447A13" w:rsidRDefault="00916A24" w:rsidP="002E6F1E">
            <w:pPr>
              <w:spacing w:before="120" w:after="120"/>
              <w:jc w:val="center"/>
              <w:rPr>
                <w:b/>
                <w:color w:val="FF0000"/>
                <w:sz w:val="22"/>
                <w:szCs w:val="22"/>
              </w:rPr>
            </w:pPr>
          </w:p>
        </w:tc>
        <w:tc>
          <w:tcPr>
            <w:tcW w:w="1134" w:type="dxa"/>
            <w:tcBorders>
              <w:top w:val="single" w:sz="12" w:space="0" w:color="auto"/>
              <w:left w:val="single" w:sz="4" w:space="0" w:color="auto"/>
              <w:bottom w:val="single" w:sz="4" w:space="0" w:color="auto"/>
              <w:right w:val="single" w:sz="4" w:space="0" w:color="auto"/>
            </w:tcBorders>
            <w:vAlign w:val="center"/>
          </w:tcPr>
          <w:p w14:paraId="0B06C4A9"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r>
      <w:tr w:rsidR="00447A13" w:rsidRPr="00447A13" w14:paraId="049ED2E9" w14:textId="77777777" w:rsidTr="004D54B1">
        <w:trPr>
          <w:trHeight w:val="567"/>
          <w:jc w:val="center"/>
        </w:trPr>
        <w:tc>
          <w:tcPr>
            <w:tcW w:w="1134" w:type="dxa"/>
            <w:tcBorders>
              <w:top w:val="single" w:sz="4" w:space="0" w:color="auto"/>
              <w:left w:val="single" w:sz="12" w:space="0" w:color="auto"/>
              <w:bottom w:val="single" w:sz="4" w:space="0" w:color="auto"/>
              <w:right w:val="single" w:sz="12" w:space="0" w:color="auto"/>
            </w:tcBorders>
            <w:vAlign w:val="center"/>
          </w:tcPr>
          <w:p w14:paraId="033C0847" w14:textId="77777777" w:rsidR="00916A24" w:rsidRPr="00447A13" w:rsidRDefault="00916A24" w:rsidP="002E6F1E">
            <w:pPr>
              <w:spacing w:before="120" w:after="120"/>
              <w:jc w:val="center"/>
              <w:rPr>
                <w:b/>
                <w:color w:val="FF0000"/>
                <w:sz w:val="22"/>
                <w:szCs w:val="22"/>
              </w:rPr>
            </w:pPr>
            <w:r w:rsidRPr="00447A13">
              <w:rPr>
                <w:b/>
                <w:color w:val="FF0000"/>
                <w:sz w:val="22"/>
                <w:szCs w:val="22"/>
              </w:rPr>
              <w:t>2</w:t>
            </w:r>
          </w:p>
        </w:tc>
        <w:tc>
          <w:tcPr>
            <w:tcW w:w="4536" w:type="dxa"/>
            <w:tcBorders>
              <w:top w:val="single" w:sz="4" w:space="0" w:color="auto"/>
              <w:left w:val="single" w:sz="12" w:space="0" w:color="auto"/>
              <w:bottom w:val="single" w:sz="4" w:space="0" w:color="auto"/>
              <w:right w:val="single" w:sz="4" w:space="0" w:color="auto"/>
            </w:tcBorders>
            <w:vAlign w:val="center"/>
          </w:tcPr>
          <w:p w14:paraId="3116427E" w14:textId="77777777" w:rsidR="00916A24" w:rsidRPr="00447A13" w:rsidRDefault="00916A24" w:rsidP="002E6F1E">
            <w:pPr>
              <w:spacing w:before="120" w:after="120"/>
              <w:rPr>
                <w:b/>
                <w:color w:val="FF0000"/>
                <w:sz w:val="22"/>
                <w:szCs w:val="22"/>
                <w:lang w:val="en-US"/>
              </w:rPr>
            </w:pPr>
            <w:r w:rsidRPr="00447A13">
              <w:rPr>
                <w:b/>
                <w:color w:val="FF0000"/>
                <w:sz w:val="22"/>
                <w:szCs w:val="22"/>
                <w:lang w:val="en-US"/>
              </w:rPr>
              <w:t>Connection are of the connected tubes</w:t>
            </w:r>
          </w:p>
        </w:tc>
        <w:tc>
          <w:tcPr>
            <w:tcW w:w="1134" w:type="dxa"/>
            <w:tcBorders>
              <w:top w:val="single" w:sz="4" w:space="0" w:color="auto"/>
              <w:left w:val="single" w:sz="4" w:space="0" w:color="auto"/>
              <w:bottom w:val="single" w:sz="4" w:space="0" w:color="auto"/>
              <w:right w:val="single" w:sz="4" w:space="0" w:color="auto"/>
            </w:tcBorders>
            <w:vAlign w:val="center"/>
          </w:tcPr>
          <w:p w14:paraId="3E01A62E"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60510B59"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202D50F7"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0587E256"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9029F1C"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r>
      <w:tr w:rsidR="00447A13" w:rsidRPr="00447A13" w14:paraId="1FD13ABF" w14:textId="77777777" w:rsidTr="004D54B1">
        <w:trPr>
          <w:trHeight w:val="567"/>
          <w:jc w:val="center"/>
        </w:trPr>
        <w:tc>
          <w:tcPr>
            <w:tcW w:w="1134" w:type="dxa"/>
            <w:tcBorders>
              <w:top w:val="single" w:sz="4" w:space="0" w:color="auto"/>
              <w:left w:val="single" w:sz="12" w:space="0" w:color="auto"/>
              <w:bottom w:val="single" w:sz="4" w:space="0" w:color="auto"/>
              <w:right w:val="single" w:sz="12" w:space="0" w:color="auto"/>
            </w:tcBorders>
            <w:vAlign w:val="center"/>
          </w:tcPr>
          <w:p w14:paraId="5C0DF109" w14:textId="77777777" w:rsidR="00916A24" w:rsidRPr="00447A13" w:rsidRDefault="00916A24" w:rsidP="002E6F1E">
            <w:pPr>
              <w:spacing w:before="120" w:after="120"/>
              <w:jc w:val="center"/>
              <w:rPr>
                <w:b/>
                <w:color w:val="FF0000"/>
                <w:sz w:val="22"/>
                <w:szCs w:val="22"/>
              </w:rPr>
            </w:pPr>
            <w:r w:rsidRPr="00447A13">
              <w:rPr>
                <w:b/>
                <w:color w:val="FF0000"/>
                <w:sz w:val="22"/>
                <w:szCs w:val="22"/>
              </w:rPr>
              <w:t>3</w:t>
            </w:r>
          </w:p>
        </w:tc>
        <w:tc>
          <w:tcPr>
            <w:tcW w:w="4536" w:type="dxa"/>
            <w:tcBorders>
              <w:top w:val="single" w:sz="4" w:space="0" w:color="auto"/>
              <w:left w:val="single" w:sz="12" w:space="0" w:color="auto"/>
              <w:bottom w:val="single" w:sz="4" w:space="0" w:color="auto"/>
              <w:right w:val="single" w:sz="4" w:space="0" w:color="auto"/>
            </w:tcBorders>
            <w:vAlign w:val="center"/>
          </w:tcPr>
          <w:p w14:paraId="1DE4CF8C" w14:textId="77777777" w:rsidR="00916A24" w:rsidRPr="00447A13" w:rsidRDefault="00916A24" w:rsidP="002E6F1E">
            <w:pPr>
              <w:spacing w:before="120" w:after="120"/>
              <w:rPr>
                <w:b/>
                <w:color w:val="FF0000"/>
                <w:sz w:val="22"/>
                <w:szCs w:val="22"/>
              </w:rPr>
            </w:pPr>
            <w:proofErr w:type="spellStart"/>
            <w:r w:rsidRPr="00447A13">
              <w:rPr>
                <w:b/>
                <w:color w:val="FF0000"/>
                <w:sz w:val="22"/>
                <w:szCs w:val="22"/>
              </w:rPr>
              <w:t>Instrument</w:t>
            </w:r>
            <w:proofErr w:type="spellEnd"/>
            <w:r w:rsidRPr="00447A13">
              <w:rPr>
                <w:b/>
                <w:color w:val="FF0000"/>
                <w:sz w:val="22"/>
                <w:szCs w:val="22"/>
              </w:rPr>
              <w:t xml:space="preserve"> </w:t>
            </w:r>
            <w:proofErr w:type="spellStart"/>
            <w:r w:rsidRPr="00447A13">
              <w:rPr>
                <w:b/>
                <w:color w:val="FF0000"/>
                <w:sz w:val="22"/>
                <w:szCs w:val="22"/>
              </w:rPr>
              <w:t>nozzles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6DFAE933"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4DD14456"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703765FD"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18509772"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6CE9FB1"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r>
      <w:tr w:rsidR="00447A13" w:rsidRPr="00447A13" w14:paraId="740B0061" w14:textId="77777777" w:rsidTr="004D54B1">
        <w:trPr>
          <w:trHeight w:val="567"/>
          <w:jc w:val="center"/>
        </w:trPr>
        <w:tc>
          <w:tcPr>
            <w:tcW w:w="1134" w:type="dxa"/>
            <w:tcBorders>
              <w:top w:val="single" w:sz="4" w:space="0" w:color="auto"/>
              <w:left w:val="single" w:sz="12" w:space="0" w:color="auto"/>
              <w:bottom w:val="single" w:sz="4" w:space="0" w:color="auto"/>
              <w:right w:val="single" w:sz="12" w:space="0" w:color="auto"/>
            </w:tcBorders>
            <w:vAlign w:val="center"/>
          </w:tcPr>
          <w:p w14:paraId="38C76503" w14:textId="77777777" w:rsidR="00916A24" w:rsidRPr="00447A13" w:rsidRDefault="00916A24" w:rsidP="002E6F1E">
            <w:pPr>
              <w:spacing w:before="120" w:after="120"/>
              <w:jc w:val="center"/>
              <w:rPr>
                <w:b/>
                <w:color w:val="FF0000"/>
                <w:sz w:val="22"/>
                <w:szCs w:val="22"/>
              </w:rPr>
            </w:pPr>
            <w:r w:rsidRPr="00447A13">
              <w:rPr>
                <w:b/>
                <w:color w:val="FF0000"/>
                <w:sz w:val="22"/>
                <w:szCs w:val="22"/>
              </w:rPr>
              <w:t>4</w:t>
            </w:r>
          </w:p>
        </w:tc>
        <w:tc>
          <w:tcPr>
            <w:tcW w:w="4536" w:type="dxa"/>
            <w:tcBorders>
              <w:top w:val="single" w:sz="4" w:space="0" w:color="auto"/>
              <w:left w:val="single" w:sz="12" w:space="0" w:color="auto"/>
              <w:bottom w:val="single" w:sz="4" w:space="0" w:color="auto"/>
              <w:right w:val="single" w:sz="4" w:space="0" w:color="auto"/>
            </w:tcBorders>
            <w:vAlign w:val="center"/>
          </w:tcPr>
          <w:p w14:paraId="547B03B3" w14:textId="77777777" w:rsidR="00916A24" w:rsidRPr="00447A13" w:rsidRDefault="00916A24" w:rsidP="002E6F1E">
            <w:pPr>
              <w:spacing w:before="120" w:after="120"/>
              <w:rPr>
                <w:b/>
                <w:color w:val="FF0000"/>
                <w:sz w:val="22"/>
                <w:szCs w:val="22"/>
              </w:rPr>
            </w:pPr>
            <w:proofErr w:type="spellStart"/>
            <w:r w:rsidRPr="00447A13">
              <w:rPr>
                <w:b/>
                <w:color w:val="FF0000"/>
                <w:sz w:val="22"/>
                <w:szCs w:val="22"/>
              </w:rPr>
              <w:t>Welds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0E49BB2E"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D9E7C53"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041440DE"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1809276B"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239F223"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r>
      <w:tr w:rsidR="00447A13" w:rsidRPr="00447A13" w14:paraId="010EC79F" w14:textId="77777777" w:rsidTr="004D54B1">
        <w:trPr>
          <w:trHeight w:val="567"/>
          <w:jc w:val="center"/>
        </w:trPr>
        <w:tc>
          <w:tcPr>
            <w:tcW w:w="1134" w:type="dxa"/>
            <w:tcBorders>
              <w:top w:val="single" w:sz="4" w:space="0" w:color="auto"/>
              <w:left w:val="single" w:sz="12" w:space="0" w:color="auto"/>
              <w:bottom w:val="single" w:sz="4" w:space="0" w:color="auto"/>
              <w:right w:val="single" w:sz="12" w:space="0" w:color="auto"/>
            </w:tcBorders>
            <w:vAlign w:val="center"/>
          </w:tcPr>
          <w:p w14:paraId="651A7702" w14:textId="77777777" w:rsidR="00916A24" w:rsidRPr="00447A13" w:rsidRDefault="00916A24" w:rsidP="002E6F1E">
            <w:pPr>
              <w:spacing w:before="120" w:after="120"/>
              <w:jc w:val="center"/>
              <w:rPr>
                <w:b/>
                <w:color w:val="FF0000"/>
                <w:sz w:val="22"/>
                <w:szCs w:val="22"/>
              </w:rPr>
            </w:pPr>
            <w:r w:rsidRPr="00447A13">
              <w:rPr>
                <w:b/>
                <w:color w:val="FF0000"/>
                <w:sz w:val="22"/>
                <w:szCs w:val="22"/>
              </w:rPr>
              <w:t>5</w:t>
            </w:r>
          </w:p>
        </w:tc>
        <w:tc>
          <w:tcPr>
            <w:tcW w:w="4536" w:type="dxa"/>
            <w:tcBorders>
              <w:top w:val="single" w:sz="4" w:space="0" w:color="auto"/>
              <w:left w:val="single" w:sz="12" w:space="0" w:color="auto"/>
              <w:bottom w:val="single" w:sz="4" w:space="0" w:color="auto"/>
              <w:right w:val="single" w:sz="4" w:space="0" w:color="auto"/>
            </w:tcBorders>
            <w:vAlign w:val="center"/>
          </w:tcPr>
          <w:p w14:paraId="4354659D" w14:textId="77777777" w:rsidR="00916A24" w:rsidRPr="00447A13" w:rsidRDefault="00916A24" w:rsidP="002E6F1E">
            <w:pPr>
              <w:spacing w:before="120" w:after="120"/>
              <w:rPr>
                <w:b/>
                <w:color w:val="FF0000"/>
                <w:sz w:val="22"/>
                <w:szCs w:val="22"/>
              </w:rPr>
            </w:pPr>
            <w:proofErr w:type="spellStart"/>
            <w:r w:rsidRPr="00447A13">
              <w:rPr>
                <w:b/>
                <w:color w:val="FF0000"/>
                <w:sz w:val="22"/>
                <w:szCs w:val="22"/>
              </w:rPr>
              <w:t>Arcs</w:t>
            </w:r>
            <w:proofErr w:type="spellEnd"/>
            <w:r w:rsidRPr="00447A13">
              <w:rPr>
                <w:b/>
                <w:color w:val="FF0000"/>
                <w:sz w:val="22"/>
                <w:szCs w:val="22"/>
              </w:rPr>
              <w:t xml:space="preserve"> </w:t>
            </w:r>
            <w:proofErr w:type="spellStart"/>
            <w:r w:rsidRPr="00447A13">
              <w:rPr>
                <w:b/>
                <w:color w:val="FF0000"/>
                <w:sz w:val="22"/>
                <w:szCs w:val="22"/>
              </w:rPr>
              <w:t>with</w:t>
            </w:r>
            <w:proofErr w:type="spellEnd"/>
            <w:r w:rsidRPr="00447A13">
              <w:rPr>
                <w:b/>
                <w:color w:val="FF0000"/>
                <w:sz w:val="22"/>
                <w:szCs w:val="22"/>
              </w:rPr>
              <w:t xml:space="preserve"> </w:t>
            </w:r>
            <w:proofErr w:type="spellStart"/>
            <w:r w:rsidRPr="00447A13">
              <w:rPr>
                <w:b/>
                <w:color w:val="FF0000"/>
                <w:sz w:val="22"/>
                <w:szCs w:val="22"/>
              </w:rPr>
              <w:t>longitudinal</w:t>
            </w:r>
            <w:proofErr w:type="spellEnd"/>
            <w:r w:rsidRPr="00447A13">
              <w:rPr>
                <w:b/>
                <w:color w:val="FF0000"/>
                <w:sz w:val="22"/>
                <w:szCs w:val="22"/>
              </w:rPr>
              <w:t xml:space="preserve"> </w:t>
            </w:r>
            <w:proofErr w:type="spellStart"/>
            <w:r w:rsidRPr="00447A13">
              <w:rPr>
                <w:b/>
                <w:color w:val="FF0000"/>
                <w:sz w:val="22"/>
                <w:szCs w:val="22"/>
              </w:rPr>
              <w:t>welds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17CB025E"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62268AD1"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7BA85661"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0406BB02"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1140E145"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r>
      <w:tr w:rsidR="00916A24" w:rsidRPr="00447A13" w14:paraId="050E66D5" w14:textId="77777777" w:rsidTr="004D54B1">
        <w:trPr>
          <w:trHeight w:val="567"/>
          <w:jc w:val="center"/>
        </w:trPr>
        <w:tc>
          <w:tcPr>
            <w:tcW w:w="1134" w:type="dxa"/>
            <w:tcBorders>
              <w:top w:val="single" w:sz="4" w:space="0" w:color="auto"/>
              <w:left w:val="single" w:sz="12" w:space="0" w:color="auto"/>
              <w:bottom w:val="single" w:sz="4" w:space="0" w:color="auto"/>
              <w:right w:val="single" w:sz="12" w:space="0" w:color="auto"/>
            </w:tcBorders>
            <w:vAlign w:val="center"/>
          </w:tcPr>
          <w:p w14:paraId="2F0CD10A" w14:textId="77777777" w:rsidR="00916A24" w:rsidRPr="00447A13" w:rsidRDefault="00916A24" w:rsidP="002E6F1E">
            <w:pPr>
              <w:spacing w:before="120" w:after="120"/>
              <w:jc w:val="center"/>
              <w:rPr>
                <w:b/>
                <w:color w:val="FF0000"/>
                <w:sz w:val="22"/>
                <w:szCs w:val="22"/>
              </w:rPr>
            </w:pPr>
            <w:r w:rsidRPr="00447A13">
              <w:rPr>
                <w:b/>
                <w:color w:val="FF0000"/>
                <w:sz w:val="22"/>
                <w:szCs w:val="22"/>
              </w:rPr>
              <w:t>6</w:t>
            </w:r>
          </w:p>
        </w:tc>
        <w:tc>
          <w:tcPr>
            <w:tcW w:w="4536" w:type="dxa"/>
            <w:tcBorders>
              <w:top w:val="single" w:sz="4" w:space="0" w:color="auto"/>
              <w:left w:val="single" w:sz="12" w:space="0" w:color="auto"/>
              <w:bottom w:val="single" w:sz="4" w:space="0" w:color="auto"/>
              <w:right w:val="single" w:sz="4" w:space="0" w:color="auto"/>
            </w:tcBorders>
            <w:vAlign w:val="center"/>
          </w:tcPr>
          <w:p w14:paraId="19BC41E8" w14:textId="77777777" w:rsidR="00916A24" w:rsidRPr="00447A13" w:rsidRDefault="00916A24" w:rsidP="002E6F1E">
            <w:pPr>
              <w:spacing w:before="120" w:after="120"/>
              <w:rPr>
                <w:b/>
                <w:color w:val="FF0000"/>
                <w:sz w:val="22"/>
                <w:szCs w:val="22"/>
              </w:rPr>
            </w:pPr>
            <w:proofErr w:type="spellStart"/>
            <w:r w:rsidRPr="00447A13">
              <w:rPr>
                <w:b/>
                <w:color w:val="FF0000"/>
                <w:sz w:val="22"/>
                <w:szCs w:val="22"/>
              </w:rPr>
              <w:t>Supporting</w:t>
            </w:r>
            <w:proofErr w:type="spellEnd"/>
            <w:r w:rsidRPr="00447A13">
              <w:rPr>
                <w:b/>
                <w:color w:val="FF0000"/>
                <w:sz w:val="22"/>
                <w:szCs w:val="22"/>
              </w:rPr>
              <w:t xml:space="preserve"> </w:t>
            </w:r>
            <w:proofErr w:type="spellStart"/>
            <w:r w:rsidRPr="00447A13">
              <w:rPr>
                <w:b/>
                <w:color w:val="FF0000"/>
                <w:sz w:val="22"/>
                <w:szCs w:val="22"/>
              </w:rPr>
              <w:t>structures</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66391504"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36E837B2" w14:textId="77777777" w:rsidR="00916A24" w:rsidRPr="00447A13" w:rsidRDefault="00916A24" w:rsidP="002E6F1E">
            <w:pPr>
              <w:spacing w:before="120" w:after="120"/>
              <w:jc w:val="center"/>
              <w:rPr>
                <w:b/>
                <w:color w:val="FF0000"/>
                <w:sz w:val="22"/>
                <w:szCs w:val="22"/>
              </w:rPr>
            </w:pPr>
          </w:p>
        </w:tc>
        <w:tc>
          <w:tcPr>
            <w:tcW w:w="1134" w:type="dxa"/>
            <w:tcBorders>
              <w:top w:val="single" w:sz="4" w:space="0" w:color="auto"/>
              <w:left w:val="single" w:sz="4" w:space="0" w:color="auto"/>
              <w:bottom w:val="single" w:sz="4" w:space="0" w:color="auto"/>
              <w:right w:val="single" w:sz="4" w:space="0" w:color="auto"/>
            </w:tcBorders>
            <w:vAlign w:val="center"/>
          </w:tcPr>
          <w:p w14:paraId="05AD85C7"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6CF1DC29" w14:textId="77777777" w:rsidR="00916A24" w:rsidRPr="00447A13" w:rsidRDefault="00916A24" w:rsidP="002E6F1E">
            <w:pPr>
              <w:spacing w:before="120" w:after="120"/>
              <w:jc w:val="center"/>
              <w:rPr>
                <w:b/>
                <w:color w:val="FF0000"/>
                <w:sz w:val="22"/>
                <w:szCs w:val="22"/>
              </w:rPr>
            </w:pPr>
            <w:r w:rsidRPr="00447A13">
              <w:rPr>
                <w:b/>
                <w:color w:val="FF0000"/>
                <w:sz w:val="22"/>
                <w:szCs w:val="22"/>
              </w:rPr>
              <w:t>+</w:t>
            </w:r>
          </w:p>
        </w:tc>
        <w:tc>
          <w:tcPr>
            <w:tcW w:w="1134" w:type="dxa"/>
            <w:tcBorders>
              <w:top w:val="single" w:sz="4" w:space="0" w:color="auto"/>
              <w:left w:val="single" w:sz="4" w:space="0" w:color="auto"/>
              <w:bottom w:val="single" w:sz="4" w:space="0" w:color="auto"/>
              <w:right w:val="single" w:sz="4" w:space="0" w:color="auto"/>
            </w:tcBorders>
            <w:vAlign w:val="center"/>
          </w:tcPr>
          <w:p w14:paraId="15980BEE" w14:textId="77777777" w:rsidR="00916A24" w:rsidRPr="00447A13" w:rsidRDefault="00916A24" w:rsidP="002E6F1E">
            <w:pPr>
              <w:spacing w:before="120" w:after="120"/>
              <w:jc w:val="center"/>
              <w:rPr>
                <w:b/>
                <w:color w:val="FF0000"/>
                <w:sz w:val="22"/>
                <w:szCs w:val="22"/>
              </w:rPr>
            </w:pPr>
          </w:p>
        </w:tc>
      </w:tr>
    </w:tbl>
    <w:p w14:paraId="148BA3CB" w14:textId="77777777" w:rsidR="00916A24" w:rsidRPr="00447A13" w:rsidRDefault="00916A24" w:rsidP="002E6F1E">
      <w:pPr>
        <w:spacing w:before="120" w:after="120"/>
        <w:rPr>
          <w:color w:val="FF0000"/>
        </w:rPr>
      </w:pPr>
    </w:p>
    <w:p w14:paraId="4C174EE1" w14:textId="77777777" w:rsidR="00916A24" w:rsidRPr="00447A13" w:rsidRDefault="00916A24" w:rsidP="002E6F1E">
      <w:pPr>
        <w:pStyle w:val="Caption"/>
        <w:rPr>
          <w:b/>
          <w:color w:val="FF0000"/>
        </w:rPr>
      </w:pPr>
      <w:r w:rsidRPr="00447A13">
        <w:rPr>
          <w:b/>
          <w:color w:val="FF0000"/>
        </w:rPr>
        <w:t xml:space="preserve">Table 1. </w:t>
      </w:r>
      <w:r w:rsidRPr="00447A13">
        <w:rPr>
          <w:color w:val="FF0000"/>
        </w:rPr>
        <w:t>Example of main coolant piping critical locations and degradation mechanisms</w:t>
      </w:r>
      <w:r w:rsidRPr="00447A13">
        <w:rPr>
          <w:b/>
          <w:color w:val="FF0000"/>
        </w:rPr>
        <w:t xml:space="preserve"> </w:t>
      </w:r>
    </w:p>
    <w:p w14:paraId="3539E70E" w14:textId="77777777" w:rsidR="00916A24" w:rsidRPr="00916A24" w:rsidRDefault="00916A24" w:rsidP="002E6F1E">
      <w:pPr>
        <w:spacing w:before="120" w:after="120"/>
        <w:rPr>
          <w:lang w:val="en-US"/>
        </w:rPr>
      </w:pPr>
    </w:p>
    <w:p w14:paraId="0961CB59" w14:textId="77777777" w:rsidR="00916A24" w:rsidRPr="00767D74" w:rsidRDefault="00916A24" w:rsidP="002E6F1E">
      <w:pPr>
        <w:spacing w:before="120" w:after="120"/>
        <w:jc w:val="center"/>
      </w:pPr>
      <w:r>
        <w:rPr>
          <w:noProof/>
          <w:lang w:val="de-CH" w:eastAsia="de-CH"/>
        </w:rPr>
        <w:lastRenderedPageBreak/>
        <w:drawing>
          <wp:inline distT="0" distB="0" distL="0" distR="0" wp14:anchorId="36D88EFB" wp14:editId="2CF20CF3">
            <wp:extent cx="5555157" cy="4166368"/>
            <wp:effectExtent l="0" t="0" r="7620" b="5715"/>
            <wp:docPr id="8" name="Kép 8" descr="Presentation1f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descr="Presentation1fkv"/>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5489" cy="4174117"/>
                    </a:xfrm>
                    <a:prstGeom prst="rect">
                      <a:avLst/>
                    </a:prstGeom>
                    <a:noFill/>
                    <a:ln>
                      <a:noFill/>
                    </a:ln>
                  </pic:spPr>
                </pic:pic>
              </a:graphicData>
            </a:graphic>
          </wp:inline>
        </w:drawing>
      </w:r>
    </w:p>
    <w:p w14:paraId="07C2BED9" w14:textId="77777777" w:rsidR="00916A24" w:rsidRPr="00447A13" w:rsidRDefault="00916A24" w:rsidP="002E6F1E">
      <w:pPr>
        <w:spacing w:before="120" w:after="120"/>
        <w:jc w:val="center"/>
        <w:rPr>
          <w:color w:val="FF0000"/>
          <w:lang w:val="en-US"/>
        </w:rPr>
      </w:pPr>
      <w:r w:rsidRPr="00447A13">
        <w:rPr>
          <w:b/>
          <w:color w:val="FF0000"/>
          <w:lang w:val="en-US"/>
        </w:rPr>
        <w:t>Figure 1</w:t>
      </w:r>
      <w:r w:rsidRPr="00447A13">
        <w:rPr>
          <w:color w:val="FF0000"/>
          <w:lang w:val="en-US"/>
        </w:rPr>
        <w:t xml:space="preserve">. WWER-440 main </w:t>
      </w:r>
      <w:proofErr w:type="spellStart"/>
      <w:r w:rsidRPr="00447A13">
        <w:rPr>
          <w:color w:val="FF0000"/>
        </w:rPr>
        <w:t>coolan</w:t>
      </w:r>
      <w:bookmarkStart w:id="1" w:name="_GoBack"/>
      <w:bookmarkEnd w:id="1"/>
      <w:r w:rsidRPr="00447A13">
        <w:rPr>
          <w:color w:val="FF0000"/>
        </w:rPr>
        <w:t>t</w:t>
      </w:r>
      <w:proofErr w:type="spellEnd"/>
      <w:r w:rsidRPr="00447A13">
        <w:rPr>
          <w:color w:val="FF0000"/>
        </w:rPr>
        <w:t xml:space="preserve"> </w:t>
      </w:r>
      <w:proofErr w:type="spellStart"/>
      <w:r w:rsidRPr="00447A13">
        <w:rPr>
          <w:color w:val="FF0000"/>
        </w:rPr>
        <w:t>piping</w:t>
      </w:r>
      <w:proofErr w:type="spellEnd"/>
      <w:r w:rsidRPr="00447A13">
        <w:rPr>
          <w:color w:val="FF0000"/>
        </w:rPr>
        <w:t xml:space="preserve"> </w:t>
      </w:r>
      <w:r w:rsidRPr="00447A13">
        <w:rPr>
          <w:color w:val="FF0000"/>
          <w:lang w:val="en-US"/>
        </w:rPr>
        <w:t>with the critical locations</w:t>
      </w:r>
    </w:p>
    <w:p w14:paraId="55203012" w14:textId="77777777" w:rsidR="004D03AD" w:rsidRDefault="004D03AD" w:rsidP="002E6F1E">
      <w:pPr>
        <w:spacing w:before="120" w:after="120"/>
        <w:jc w:val="both"/>
        <w:rPr>
          <w:lang w:val="en-US"/>
        </w:rPr>
      </w:pPr>
    </w:p>
    <w:p w14:paraId="4EE106F1" w14:textId="77777777" w:rsidR="00B35472" w:rsidRPr="008A627E" w:rsidRDefault="00B35472" w:rsidP="002E6F1E">
      <w:pPr>
        <w:pStyle w:val="BodyNumbered"/>
        <w:numPr>
          <w:ilvl w:val="0"/>
          <w:numId w:val="1"/>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Preventive actions to minimize and control ageing degradation</w:t>
      </w:r>
      <w:r>
        <w:rPr>
          <w:rFonts w:ascii="Times New Roman" w:hAnsi="Times New Roman"/>
          <w:b/>
          <w:i/>
          <w:sz w:val="24"/>
          <w:szCs w:val="24"/>
        </w:rPr>
        <w:t>:</w:t>
      </w:r>
    </w:p>
    <w:p w14:paraId="29D434AD" w14:textId="77777777" w:rsidR="005D4604" w:rsidRDefault="000C1F77" w:rsidP="002E6F1E">
      <w:pPr>
        <w:spacing w:before="120" w:after="120"/>
        <w:jc w:val="both"/>
        <w:rPr>
          <w:lang w:val="en-GB"/>
        </w:rPr>
      </w:pPr>
      <w:r>
        <w:rPr>
          <w:lang w:val="en-GB"/>
        </w:rPr>
        <w:t>The programme identifies the</w:t>
      </w:r>
      <w:r w:rsidR="00AF6119" w:rsidRPr="00AF6119">
        <w:rPr>
          <w:lang w:val="en-GB"/>
        </w:rPr>
        <w:t xml:space="preserve"> preventive actions </w:t>
      </w:r>
      <w:r>
        <w:rPr>
          <w:lang w:val="en-GB"/>
        </w:rPr>
        <w:t xml:space="preserve">defined as those that are necessary to prevent or minimize initiation of degradation </w:t>
      </w:r>
      <w:r w:rsidR="00AF6119" w:rsidRPr="00AF6119">
        <w:rPr>
          <w:lang w:val="en-GB"/>
        </w:rPr>
        <w:t>out during normal operation</w:t>
      </w:r>
      <w:r>
        <w:rPr>
          <w:lang w:val="en-GB"/>
        </w:rPr>
        <w:t xml:space="preserve">. Prevention programmes incorporates water chemistry requirements which are </w:t>
      </w:r>
      <w:r w:rsidR="00D602C6">
        <w:rPr>
          <w:lang w:val="en-GB"/>
        </w:rPr>
        <w:t xml:space="preserve">monitored and maintained in accordance </w:t>
      </w:r>
      <w:r w:rsidR="00D602C6" w:rsidRPr="00C4248A">
        <w:rPr>
          <w:lang w:val="en-GB"/>
        </w:rPr>
        <w:t xml:space="preserve">with </w:t>
      </w:r>
      <w:r w:rsidR="00291BAC" w:rsidRPr="00C4248A">
        <w:rPr>
          <w:lang w:val="en-GB"/>
        </w:rPr>
        <w:t>AMP</w:t>
      </w:r>
      <w:r w:rsidR="00C4248A">
        <w:rPr>
          <w:lang w:val="en-GB"/>
        </w:rPr>
        <w:t xml:space="preserve"> </w:t>
      </w:r>
      <w:r w:rsidR="00291BAC" w:rsidRPr="00C4248A">
        <w:rPr>
          <w:lang w:val="en-GB"/>
        </w:rPr>
        <w:t>103, AMP</w:t>
      </w:r>
      <w:r w:rsidR="00C4248A">
        <w:rPr>
          <w:lang w:val="en-GB"/>
        </w:rPr>
        <w:t xml:space="preserve"> </w:t>
      </w:r>
      <w:r w:rsidR="00291BAC" w:rsidRPr="00C4248A">
        <w:rPr>
          <w:lang w:val="en-GB"/>
        </w:rPr>
        <w:t>110, AMP</w:t>
      </w:r>
      <w:r w:rsidR="00C4248A">
        <w:rPr>
          <w:lang w:val="en-GB"/>
        </w:rPr>
        <w:t xml:space="preserve"> </w:t>
      </w:r>
      <w:r w:rsidR="00291BAC" w:rsidRPr="00C4248A">
        <w:rPr>
          <w:lang w:val="en-GB"/>
        </w:rPr>
        <w:t>111</w:t>
      </w:r>
      <w:r w:rsidR="00C4248A">
        <w:rPr>
          <w:lang w:val="en-GB"/>
        </w:rPr>
        <w:t>,</w:t>
      </w:r>
      <w:r w:rsidR="00EC55CE" w:rsidRPr="00C4248A">
        <w:rPr>
          <w:lang w:val="en-GB"/>
        </w:rPr>
        <w:t xml:space="preserve"> </w:t>
      </w:r>
      <w:r w:rsidR="005D4604" w:rsidRPr="00C4248A">
        <w:rPr>
          <w:lang w:val="en-GB"/>
        </w:rPr>
        <w:t xml:space="preserve">and </w:t>
      </w:r>
      <w:r w:rsidR="00D602C6" w:rsidRPr="00C4248A">
        <w:rPr>
          <w:lang w:val="en-GB"/>
        </w:rPr>
        <w:t>[</w:t>
      </w:r>
      <w:r w:rsidR="005D4604" w:rsidRPr="00C4248A">
        <w:rPr>
          <w:lang w:val="en-GB"/>
        </w:rPr>
        <w:t>2</w:t>
      </w:r>
      <w:r w:rsidR="00D602C6" w:rsidRPr="00C4248A">
        <w:rPr>
          <w:lang w:val="en-GB"/>
        </w:rPr>
        <w:t>-</w:t>
      </w:r>
      <w:r w:rsidR="005D4604" w:rsidRPr="00C4248A">
        <w:rPr>
          <w:lang w:val="en-GB"/>
        </w:rPr>
        <w:t>3</w:t>
      </w:r>
      <w:r w:rsidR="00D602C6" w:rsidRPr="00C4248A">
        <w:rPr>
          <w:lang w:val="en-GB"/>
        </w:rPr>
        <w:t>]</w:t>
      </w:r>
      <w:r w:rsidR="005E361E" w:rsidRPr="00C4248A">
        <w:rPr>
          <w:lang w:val="en-GB"/>
        </w:rPr>
        <w:t>.</w:t>
      </w:r>
    </w:p>
    <w:p w14:paraId="4CF5A49E" w14:textId="77777777" w:rsidR="005E361E" w:rsidRPr="00C4248A" w:rsidRDefault="005E361E"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Preventive actions for low cycle fatigue include reduction of transients and keeping </w:t>
      </w:r>
      <w:r w:rsidR="00CE4837" w:rsidRPr="00C4248A">
        <w:rPr>
          <w:rFonts w:ascii="Times New Roman" w:hAnsi="Times New Roman"/>
          <w:sz w:val="24"/>
          <w:szCs w:val="24"/>
        </w:rPr>
        <w:t xml:space="preserve">operating </w:t>
      </w:r>
      <w:r w:rsidRPr="00C4248A">
        <w:rPr>
          <w:rFonts w:ascii="Times New Roman" w:hAnsi="Times New Roman"/>
          <w:sz w:val="24"/>
          <w:szCs w:val="24"/>
        </w:rPr>
        <w:t>limits and conditions.</w:t>
      </w:r>
    </w:p>
    <w:p w14:paraId="06B91E17" w14:textId="77777777" w:rsidR="005E361E" w:rsidRPr="00E01461" w:rsidRDefault="005E361E" w:rsidP="002E6F1E">
      <w:pPr>
        <w:spacing w:before="120" w:after="120"/>
        <w:jc w:val="both"/>
        <w:rPr>
          <w:lang w:val="en-US"/>
        </w:rPr>
      </w:pPr>
    </w:p>
    <w:p w14:paraId="06C3FFEC" w14:textId="77777777" w:rsidR="002936A7" w:rsidRPr="00596EDD" w:rsidRDefault="002936A7" w:rsidP="002E6F1E">
      <w:pPr>
        <w:pStyle w:val="BodyNumbered"/>
        <w:numPr>
          <w:ilvl w:val="0"/>
          <w:numId w:val="1"/>
        </w:numPr>
        <w:ind w:left="426" w:hanging="426"/>
        <w:rPr>
          <w:rFonts w:ascii="Times New Roman" w:hAnsi="Times New Roman"/>
          <w:b/>
          <w:i/>
          <w:sz w:val="24"/>
          <w:szCs w:val="24"/>
        </w:rPr>
      </w:pPr>
      <w:r w:rsidRPr="00596EDD">
        <w:rPr>
          <w:rFonts w:ascii="Times New Roman" w:hAnsi="Times New Roman"/>
          <w:b/>
          <w:i/>
          <w:sz w:val="24"/>
          <w:szCs w:val="24"/>
        </w:rPr>
        <w:t>Detection of ageing effects:</w:t>
      </w:r>
    </w:p>
    <w:p w14:paraId="283DB09E" w14:textId="77777777" w:rsidR="00BD1D12" w:rsidRPr="00C4248A" w:rsidRDefault="002936A7"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This </w:t>
      </w:r>
      <w:proofErr w:type="spellStart"/>
      <w:r w:rsidRPr="00C4248A">
        <w:rPr>
          <w:rFonts w:ascii="Times New Roman" w:hAnsi="Times New Roman"/>
          <w:sz w:val="24"/>
          <w:szCs w:val="24"/>
        </w:rPr>
        <w:t>programme</w:t>
      </w:r>
      <w:proofErr w:type="spellEnd"/>
      <w:r w:rsidRPr="00C4248A">
        <w:rPr>
          <w:rFonts w:ascii="Times New Roman" w:hAnsi="Times New Roman"/>
          <w:sz w:val="24"/>
          <w:szCs w:val="24"/>
        </w:rPr>
        <w:t xml:space="preserve"> includes detection of any ageing effects of concern for the main coolant </w:t>
      </w:r>
      <w:r w:rsidR="00136BBC" w:rsidRPr="00C4248A">
        <w:rPr>
          <w:rFonts w:ascii="Times New Roman" w:hAnsi="Times New Roman"/>
          <w:sz w:val="24"/>
          <w:szCs w:val="24"/>
        </w:rPr>
        <w:t xml:space="preserve">piping </w:t>
      </w:r>
      <w:r w:rsidRPr="00C4248A">
        <w:rPr>
          <w:rFonts w:ascii="Times New Roman" w:hAnsi="Times New Roman"/>
          <w:sz w:val="24"/>
          <w:szCs w:val="24"/>
        </w:rPr>
        <w:t xml:space="preserve">within its scope to ensure that the integrity of these components is maintained. The </w:t>
      </w:r>
      <w:r w:rsidR="00136BBC" w:rsidRPr="00C4248A">
        <w:rPr>
          <w:rFonts w:ascii="Times New Roman" w:hAnsi="Times New Roman"/>
          <w:sz w:val="24"/>
          <w:szCs w:val="24"/>
        </w:rPr>
        <w:t xml:space="preserve">in-service </w:t>
      </w:r>
      <w:r w:rsidRPr="00C4248A">
        <w:rPr>
          <w:rFonts w:ascii="Times New Roman" w:hAnsi="Times New Roman"/>
          <w:sz w:val="24"/>
          <w:szCs w:val="24"/>
        </w:rPr>
        <w:t xml:space="preserve">inspections </w:t>
      </w:r>
      <w:r w:rsidR="00136BBC" w:rsidRPr="00C4248A">
        <w:rPr>
          <w:rFonts w:ascii="Times New Roman" w:hAnsi="Times New Roman"/>
          <w:sz w:val="24"/>
          <w:szCs w:val="24"/>
        </w:rPr>
        <w:t>(AMP 102</w:t>
      </w:r>
      <w:r w:rsidR="005D4604" w:rsidRPr="00C4248A">
        <w:rPr>
          <w:rFonts w:ascii="Times New Roman" w:hAnsi="Times New Roman"/>
          <w:sz w:val="24"/>
          <w:szCs w:val="24"/>
        </w:rPr>
        <w:t xml:space="preserve"> and</w:t>
      </w:r>
      <w:r w:rsidR="007C6C5D" w:rsidRPr="00C4248A">
        <w:rPr>
          <w:rFonts w:ascii="Times New Roman" w:hAnsi="Times New Roman"/>
          <w:sz w:val="24"/>
          <w:szCs w:val="24"/>
        </w:rPr>
        <w:t xml:space="preserve"> [</w:t>
      </w:r>
      <w:r w:rsidR="005D4604" w:rsidRPr="00C4248A">
        <w:rPr>
          <w:rFonts w:ascii="Times New Roman" w:hAnsi="Times New Roman"/>
          <w:sz w:val="24"/>
          <w:szCs w:val="24"/>
        </w:rPr>
        <w:t>4</w:t>
      </w:r>
      <w:r w:rsidR="007C6C5D" w:rsidRPr="00C4248A">
        <w:rPr>
          <w:rFonts w:ascii="Times New Roman" w:hAnsi="Times New Roman"/>
          <w:sz w:val="24"/>
          <w:szCs w:val="24"/>
        </w:rPr>
        <w:t>-</w:t>
      </w:r>
      <w:r w:rsidR="005D4604" w:rsidRPr="00C4248A">
        <w:rPr>
          <w:rFonts w:ascii="Times New Roman" w:hAnsi="Times New Roman"/>
          <w:sz w:val="24"/>
          <w:szCs w:val="24"/>
        </w:rPr>
        <w:t>5</w:t>
      </w:r>
      <w:r w:rsidR="007C6C5D" w:rsidRPr="00C4248A">
        <w:rPr>
          <w:rFonts w:ascii="Times New Roman" w:hAnsi="Times New Roman"/>
          <w:sz w:val="24"/>
          <w:szCs w:val="24"/>
        </w:rPr>
        <w:t>]</w:t>
      </w:r>
      <w:r w:rsidR="00136BBC" w:rsidRPr="00C4248A">
        <w:rPr>
          <w:rFonts w:ascii="Times New Roman" w:hAnsi="Times New Roman"/>
          <w:sz w:val="24"/>
          <w:szCs w:val="24"/>
        </w:rPr>
        <w:t xml:space="preserve">) </w:t>
      </w:r>
      <w:r w:rsidRPr="00C4248A">
        <w:rPr>
          <w:rFonts w:ascii="Times New Roman" w:hAnsi="Times New Roman"/>
          <w:sz w:val="24"/>
          <w:szCs w:val="24"/>
        </w:rPr>
        <w:t xml:space="preserve">are intended to detect degradation (i.e., ageing effects), if they </w:t>
      </w:r>
      <w:r w:rsidR="00136BBC" w:rsidRPr="00C4248A">
        <w:rPr>
          <w:rFonts w:ascii="Times New Roman" w:hAnsi="Times New Roman"/>
          <w:sz w:val="24"/>
          <w:szCs w:val="24"/>
        </w:rPr>
        <w:t>occur</w:t>
      </w:r>
      <w:r w:rsidR="00BD1D12" w:rsidRPr="00C4248A">
        <w:rPr>
          <w:rFonts w:ascii="Times New Roman" w:hAnsi="Times New Roman"/>
          <w:sz w:val="24"/>
          <w:szCs w:val="24"/>
        </w:rPr>
        <w:t xml:space="preserve"> (e.g. cracking due to SCC, fatigue, growth of defects).</w:t>
      </w:r>
    </w:p>
    <w:p w14:paraId="61AD537F" w14:textId="77777777" w:rsidR="00ED07B4" w:rsidRPr="00C4248A" w:rsidRDefault="006615E9"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Standards for examination methods, procedures, and personnel </w:t>
      </w:r>
      <w:r w:rsidR="00803108" w:rsidRPr="00C4248A">
        <w:rPr>
          <w:rFonts w:ascii="Times New Roman" w:hAnsi="Times New Roman"/>
          <w:sz w:val="24"/>
          <w:szCs w:val="24"/>
        </w:rPr>
        <w:t>are</w:t>
      </w:r>
      <w:r w:rsidRPr="00C4248A">
        <w:rPr>
          <w:rFonts w:ascii="Times New Roman" w:hAnsi="Times New Roman"/>
          <w:sz w:val="24"/>
          <w:szCs w:val="24"/>
        </w:rPr>
        <w:t xml:space="preserve"> provided in the </w:t>
      </w:r>
      <w:proofErr w:type="spellStart"/>
      <w:r w:rsidRPr="00C4248A">
        <w:rPr>
          <w:rFonts w:ascii="Times New Roman" w:hAnsi="Times New Roman"/>
          <w:sz w:val="24"/>
          <w:szCs w:val="24"/>
        </w:rPr>
        <w:t>programme</w:t>
      </w:r>
      <w:proofErr w:type="spellEnd"/>
      <w:r w:rsidRPr="00C4248A">
        <w:rPr>
          <w:rFonts w:ascii="Times New Roman" w:hAnsi="Times New Roman"/>
          <w:sz w:val="24"/>
          <w:szCs w:val="24"/>
        </w:rPr>
        <w:t>, with preference to well-established examination methods. These methods include visual, dye penetrant, ultrasonic inspections and magnetic particle method. Surface examinations may also be used as an alternative to visual examinations for detection and sizing of surface-breaking discontinuities.</w:t>
      </w:r>
    </w:p>
    <w:p w14:paraId="51690E85" w14:textId="77777777" w:rsidR="00ED07B4" w:rsidRPr="00C4248A" w:rsidRDefault="00596EDD"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The effect of fatigue is addressed by AMP</w:t>
      </w:r>
      <w:r w:rsidR="00C4248A">
        <w:rPr>
          <w:rFonts w:ascii="Times New Roman" w:hAnsi="Times New Roman"/>
          <w:sz w:val="24"/>
          <w:szCs w:val="24"/>
        </w:rPr>
        <w:t xml:space="preserve"> </w:t>
      </w:r>
      <w:r w:rsidRPr="00C4248A">
        <w:rPr>
          <w:rFonts w:ascii="Times New Roman" w:hAnsi="Times New Roman"/>
          <w:sz w:val="24"/>
          <w:szCs w:val="24"/>
        </w:rPr>
        <w:t>101</w:t>
      </w:r>
      <w:r w:rsidR="005D4604" w:rsidRPr="00C4248A">
        <w:rPr>
          <w:rFonts w:ascii="Times New Roman" w:hAnsi="Times New Roman"/>
          <w:sz w:val="24"/>
          <w:szCs w:val="24"/>
        </w:rPr>
        <w:t xml:space="preserve"> and [6]</w:t>
      </w:r>
      <w:r w:rsidRPr="00C4248A">
        <w:rPr>
          <w:rFonts w:ascii="Times New Roman" w:hAnsi="Times New Roman"/>
          <w:sz w:val="24"/>
          <w:szCs w:val="24"/>
        </w:rPr>
        <w:t xml:space="preserve">. </w:t>
      </w:r>
    </w:p>
    <w:p w14:paraId="465EE6EC" w14:textId="77777777" w:rsidR="002936A7" w:rsidRPr="00C4248A" w:rsidRDefault="00596EDD"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The thermal ageing could also be investigated by hardness measurements.</w:t>
      </w:r>
    </w:p>
    <w:p w14:paraId="41CDC712" w14:textId="77777777" w:rsidR="00596EDD" w:rsidRPr="00C4248A" w:rsidRDefault="00596EDD"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lastRenderedPageBreak/>
        <w:t xml:space="preserve">The </w:t>
      </w:r>
      <w:r w:rsidR="00AC17E9" w:rsidRPr="00C4248A">
        <w:rPr>
          <w:rFonts w:ascii="Times New Roman" w:hAnsi="Times New Roman"/>
          <w:sz w:val="24"/>
          <w:szCs w:val="24"/>
        </w:rPr>
        <w:t>attribute</w:t>
      </w:r>
      <w:r w:rsidRPr="00C4248A">
        <w:rPr>
          <w:rFonts w:ascii="Times New Roman" w:hAnsi="Times New Roman"/>
          <w:sz w:val="24"/>
          <w:szCs w:val="24"/>
        </w:rPr>
        <w:t xml:space="preserve"> addresses the scope</w:t>
      </w:r>
      <w:r w:rsidR="00AC17E9" w:rsidRPr="00C4248A">
        <w:rPr>
          <w:rFonts w:ascii="Times New Roman" w:hAnsi="Times New Roman"/>
          <w:sz w:val="24"/>
          <w:szCs w:val="24"/>
        </w:rPr>
        <w:t>,</w:t>
      </w:r>
      <w:r w:rsidRPr="00C4248A">
        <w:rPr>
          <w:rFonts w:ascii="Times New Roman" w:hAnsi="Times New Roman"/>
          <w:sz w:val="24"/>
          <w:szCs w:val="24"/>
        </w:rPr>
        <w:t xml:space="preserve"> methods</w:t>
      </w:r>
      <w:r w:rsidR="00AC17E9" w:rsidRPr="00C4248A">
        <w:rPr>
          <w:rFonts w:ascii="Times New Roman" w:hAnsi="Times New Roman"/>
          <w:sz w:val="24"/>
          <w:szCs w:val="24"/>
        </w:rPr>
        <w:t xml:space="preserve">, frequency and timing </w:t>
      </w:r>
      <w:r w:rsidRPr="00C4248A">
        <w:rPr>
          <w:rFonts w:ascii="Times New Roman" w:hAnsi="Times New Roman"/>
          <w:sz w:val="24"/>
          <w:szCs w:val="24"/>
        </w:rPr>
        <w:t>of in-service inspection used to detect ageing effects</w:t>
      </w:r>
      <w:r w:rsidR="00045145" w:rsidRPr="00C4248A">
        <w:rPr>
          <w:rFonts w:ascii="Times New Roman" w:hAnsi="Times New Roman"/>
          <w:sz w:val="24"/>
          <w:szCs w:val="24"/>
        </w:rPr>
        <w:t xml:space="preserve"> (AMP</w:t>
      </w:r>
      <w:r w:rsidR="00C4248A">
        <w:rPr>
          <w:rFonts w:ascii="Times New Roman" w:hAnsi="Times New Roman"/>
          <w:sz w:val="24"/>
          <w:szCs w:val="24"/>
        </w:rPr>
        <w:t xml:space="preserve"> </w:t>
      </w:r>
      <w:r w:rsidR="00045145" w:rsidRPr="00C4248A">
        <w:rPr>
          <w:rFonts w:ascii="Times New Roman" w:hAnsi="Times New Roman"/>
          <w:sz w:val="24"/>
          <w:szCs w:val="24"/>
        </w:rPr>
        <w:t>102).</w:t>
      </w:r>
      <w:r w:rsidRPr="00C4248A">
        <w:rPr>
          <w:rFonts w:ascii="Times New Roman" w:hAnsi="Times New Roman"/>
          <w:sz w:val="24"/>
          <w:szCs w:val="24"/>
        </w:rPr>
        <w:t xml:space="preserve"> </w:t>
      </w:r>
    </w:p>
    <w:p w14:paraId="0E5AE77E" w14:textId="77777777" w:rsidR="00596EDD" w:rsidRDefault="00596EDD" w:rsidP="002E6F1E">
      <w:pPr>
        <w:spacing w:before="120" w:after="120"/>
        <w:rPr>
          <w:lang w:val="en-GB"/>
        </w:rPr>
      </w:pPr>
    </w:p>
    <w:p w14:paraId="506F7A1B" w14:textId="77777777" w:rsidR="00596EDD" w:rsidRPr="008A627E" w:rsidRDefault="00596EDD" w:rsidP="002E6F1E">
      <w:pPr>
        <w:pStyle w:val="BodyNumbered"/>
        <w:numPr>
          <w:ilvl w:val="0"/>
          <w:numId w:val="1"/>
        </w:numPr>
        <w:ind w:left="426" w:hanging="426"/>
        <w:rPr>
          <w:rFonts w:ascii="Times New Roman" w:hAnsi="Times New Roman"/>
          <w:b/>
          <w:i/>
          <w:sz w:val="24"/>
          <w:szCs w:val="24"/>
        </w:rPr>
      </w:pPr>
      <w:r w:rsidRPr="00A019F7">
        <w:rPr>
          <w:rFonts w:ascii="Times New Roman" w:hAnsi="Times New Roman"/>
          <w:b/>
          <w:i/>
          <w:sz w:val="24"/>
          <w:szCs w:val="24"/>
        </w:rPr>
        <w:t>Monitoring and trending of ageing effects</w:t>
      </w:r>
      <w:r>
        <w:rPr>
          <w:rFonts w:ascii="Times New Roman" w:hAnsi="Times New Roman"/>
          <w:b/>
          <w:i/>
          <w:sz w:val="24"/>
          <w:szCs w:val="24"/>
        </w:rPr>
        <w:t>:</w:t>
      </w:r>
    </w:p>
    <w:p w14:paraId="5FAC3386" w14:textId="77777777" w:rsidR="00C4248A" w:rsidRPr="00C4248A" w:rsidRDefault="00BD1D12"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Monitoring and trending </w:t>
      </w:r>
      <w:proofErr w:type="gramStart"/>
      <w:r w:rsidRPr="00C4248A">
        <w:rPr>
          <w:rFonts w:ascii="Times New Roman" w:hAnsi="Times New Roman"/>
          <w:sz w:val="24"/>
          <w:szCs w:val="24"/>
        </w:rPr>
        <w:t>is</w:t>
      </w:r>
      <w:proofErr w:type="gramEnd"/>
      <w:r w:rsidRPr="00C4248A">
        <w:rPr>
          <w:rFonts w:ascii="Times New Roman" w:hAnsi="Times New Roman"/>
          <w:sz w:val="24"/>
          <w:szCs w:val="24"/>
        </w:rPr>
        <w:t xml:space="preserve"> performed as per the specific AMPs identified in attribute 3.</w:t>
      </w:r>
    </w:p>
    <w:p w14:paraId="6C419416" w14:textId="77777777" w:rsidR="00596EDD" w:rsidRPr="00C4248A" w:rsidRDefault="004805CA"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A comparison of the current monitoring results of condition parameters with previous ones </w:t>
      </w:r>
      <w:r w:rsidR="00803108" w:rsidRPr="00C4248A">
        <w:rPr>
          <w:rFonts w:ascii="Times New Roman" w:hAnsi="Times New Roman"/>
          <w:sz w:val="24"/>
          <w:szCs w:val="24"/>
        </w:rPr>
        <w:t xml:space="preserve">will </w:t>
      </w:r>
      <w:r w:rsidRPr="00C4248A">
        <w:rPr>
          <w:rFonts w:ascii="Times New Roman" w:hAnsi="Times New Roman"/>
          <w:sz w:val="24"/>
          <w:szCs w:val="24"/>
        </w:rPr>
        <w:t>be performed in order to determine the degradation rate.</w:t>
      </w:r>
    </w:p>
    <w:p w14:paraId="2ADB0C3A" w14:textId="77777777" w:rsidR="00F87E52" w:rsidRPr="00C4248A" w:rsidRDefault="00F87E52"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To facilitate monitoring and trending of main coolant piping ageing data of inspection results </w:t>
      </w:r>
      <w:r w:rsidR="00803108" w:rsidRPr="00C4248A">
        <w:rPr>
          <w:rFonts w:ascii="Times New Roman" w:hAnsi="Times New Roman"/>
          <w:sz w:val="24"/>
          <w:szCs w:val="24"/>
        </w:rPr>
        <w:t xml:space="preserve">will </w:t>
      </w:r>
      <w:r w:rsidRPr="00C4248A">
        <w:rPr>
          <w:rFonts w:ascii="Times New Roman" w:hAnsi="Times New Roman"/>
          <w:sz w:val="24"/>
          <w:szCs w:val="24"/>
        </w:rPr>
        <w:t xml:space="preserve">be collected, compared and assessment </w:t>
      </w:r>
      <w:r w:rsidR="00803108" w:rsidRPr="00C4248A">
        <w:rPr>
          <w:rFonts w:ascii="Times New Roman" w:hAnsi="Times New Roman"/>
          <w:sz w:val="24"/>
          <w:szCs w:val="24"/>
        </w:rPr>
        <w:t xml:space="preserve">will </w:t>
      </w:r>
      <w:r w:rsidRPr="00C4248A">
        <w:rPr>
          <w:rFonts w:ascii="Times New Roman" w:hAnsi="Times New Roman"/>
          <w:sz w:val="24"/>
          <w:szCs w:val="24"/>
        </w:rPr>
        <w:t>be performed to make predictions for the future.</w:t>
      </w:r>
    </w:p>
    <w:p w14:paraId="3070C6D7" w14:textId="77777777" w:rsidR="00191927" w:rsidRPr="00191927" w:rsidRDefault="00191927" w:rsidP="002E6F1E">
      <w:pPr>
        <w:spacing w:before="120" w:after="120"/>
        <w:jc w:val="both"/>
        <w:rPr>
          <w:lang w:val="en-US"/>
        </w:rPr>
      </w:pPr>
    </w:p>
    <w:p w14:paraId="718901AA" w14:textId="77777777" w:rsidR="00596EDD" w:rsidRDefault="00596EDD" w:rsidP="002E6F1E">
      <w:pPr>
        <w:pStyle w:val="BodyNumbered"/>
        <w:numPr>
          <w:ilvl w:val="0"/>
          <w:numId w:val="1"/>
        </w:numPr>
        <w:ind w:left="426" w:hanging="426"/>
        <w:rPr>
          <w:rFonts w:ascii="Times New Roman" w:hAnsi="Times New Roman"/>
          <w:b/>
          <w:i/>
          <w:sz w:val="24"/>
          <w:szCs w:val="24"/>
        </w:rPr>
      </w:pPr>
      <w:r w:rsidRPr="00A019F7">
        <w:rPr>
          <w:rFonts w:ascii="Times New Roman" w:hAnsi="Times New Roman"/>
          <w:b/>
          <w:i/>
          <w:sz w:val="24"/>
          <w:szCs w:val="24"/>
        </w:rPr>
        <w:t>Mitigating ageing effects</w:t>
      </w:r>
      <w:r>
        <w:rPr>
          <w:rFonts w:ascii="Times New Roman" w:hAnsi="Times New Roman"/>
          <w:b/>
          <w:i/>
          <w:sz w:val="24"/>
          <w:szCs w:val="24"/>
        </w:rPr>
        <w:t>:</w:t>
      </w:r>
    </w:p>
    <w:p w14:paraId="3011D59D" w14:textId="77777777" w:rsidR="004B2E14" w:rsidRPr="00C4248A" w:rsidRDefault="004B2E14"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Recommendations for mitigation of ageing effects are based on the referred AMPs and results from performed analyses of possible degradation developments.</w:t>
      </w:r>
    </w:p>
    <w:p w14:paraId="373CAF71" w14:textId="77777777" w:rsidR="00596EDD" w:rsidRPr="00C4248A" w:rsidRDefault="00E3019A"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The activities (operation, </w:t>
      </w:r>
      <w:r w:rsidR="004B2E14" w:rsidRPr="00C4248A">
        <w:rPr>
          <w:rFonts w:ascii="Times New Roman" w:hAnsi="Times New Roman"/>
          <w:sz w:val="24"/>
          <w:szCs w:val="24"/>
        </w:rPr>
        <w:t>inspection</w:t>
      </w:r>
      <w:r w:rsidR="00A7099A" w:rsidRPr="00C4248A">
        <w:rPr>
          <w:rFonts w:ascii="Times New Roman" w:hAnsi="Times New Roman"/>
          <w:sz w:val="24"/>
          <w:szCs w:val="24"/>
        </w:rPr>
        <w:t xml:space="preserve">, </w:t>
      </w:r>
      <w:r w:rsidRPr="00C4248A">
        <w:rPr>
          <w:rFonts w:ascii="Times New Roman" w:hAnsi="Times New Roman"/>
          <w:sz w:val="24"/>
          <w:szCs w:val="24"/>
        </w:rPr>
        <w:t xml:space="preserve">maintenance, water chemistry control) </w:t>
      </w:r>
      <w:r w:rsidR="00803108" w:rsidRPr="00C4248A">
        <w:rPr>
          <w:rFonts w:ascii="Times New Roman" w:hAnsi="Times New Roman"/>
          <w:sz w:val="24"/>
          <w:szCs w:val="24"/>
        </w:rPr>
        <w:t xml:space="preserve">will </w:t>
      </w:r>
      <w:r w:rsidRPr="00C4248A">
        <w:rPr>
          <w:rFonts w:ascii="Times New Roman" w:hAnsi="Times New Roman"/>
          <w:sz w:val="24"/>
          <w:szCs w:val="24"/>
        </w:rPr>
        <w:t xml:space="preserve">be implemented to mitigate degradation. </w:t>
      </w:r>
      <w:r w:rsidR="003102A8" w:rsidRPr="00C4248A">
        <w:rPr>
          <w:rFonts w:ascii="Times New Roman" w:hAnsi="Times New Roman"/>
          <w:sz w:val="24"/>
          <w:szCs w:val="24"/>
        </w:rPr>
        <w:t xml:space="preserve">Recommendations for mitigation of ageing effects are based </w:t>
      </w:r>
      <w:r w:rsidR="00BD5C3A" w:rsidRPr="00C4248A">
        <w:rPr>
          <w:rFonts w:ascii="Times New Roman" w:hAnsi="Times New Roman"/>
          <w:sz w:val="24"/>
          <w:szCs w:val="24"/>
        </w:rPr>
        <w:t xml:space="preserve">on </w:t>
      </w:r>
      <w:proofErr w:type="spellStart"/>
      <w:r w:rsidRPr="00C4248A">
        <w:rPr>
          <w:rFonts w:ascii="Times New Roman" w:hAnsi="Times New Roman"/>
          <w:sz w:val="24"/>
          <w:szCs w:val="24"/>
        </w:rPr>
        <w:t>programmes</w:t>
      </w:r>
      <w:proofErr w:type="spellEnd"/>
      <w:r w:rsidRPr="00C4248A">
        <w:rPr>
          <w:rFonts w:ascii="Times New Roman" w:hAnsi="Times New Roman"/>
          <w:sz w:val="24"/>
          <w:szCs w:val="24"/>
        </w:rPr>
        <w:t xml:space="preserve"> referred to attr</w:t>
      </w:r>
      <w:r w:rsidR="00FF07AB" w:rsidRPr="00C4248A">
        <w:rPr>
          <w:rFonts w:ascii="Times New Roman" w:hAnsi="Times New Roman"/>
          <w:sz w:val="24"/>
          <w:szCs w:val="24"/>
        </w:rPr>
        <w:t xml:space="preserve">ibute </w:t>
      </w:r>
      <w:r w:rsidR="0049347A" w:rsidRPr="00C4248A">
        <w:rPr>
          <w:rFonts w:ascii="Times New Roman" w:hAnsi="Times New Roman"/>
          <w:sz w:val="24"/>
          <w:szCs w:val="24"/>
        </w:rPr>
        <w:t>2.</w:t>
      </w:r>
    </w:p>
    <w:p w14:paraId="2E235FDD" w14:textId="77777777" w:rsidR="00596EDD" w:rsidRDefault="00596EDD" w:rsidP="002E6F1E">
      <w:pPr>
        <w:spacing w:before="120" w:after="120"/>
        <w:rPr>
          <w:lang w:val="en-US"/>
        </w:rPr>
      </w:pPr>
    </w:p>
    <w:p w14:paraId="1E2164A6" w14:textId="77777777" w:rsidR="00596EDD" w:rsidRDefault="00596EDD" w:rsidP="002E6F1E">
      <w:pPr>
        <w:pStyle w:val="BodyNumbered"/>
        <w:numPr>
          <w:ilvl w:val="0"/>
          <w:numId w:val="1"/>
        </w:numPr>
        <w:ind w:left="426" w:hanging="426"/>
        <w:rPr>
          <w:rFonts w:ascii="Times New Roman" w:hAnsi="Times New Roman"/>
          <w:b/>
          <w:i/>
          <w:sz w:val="24"/>
          <w:szCs w:val="24"/>
        </w:rPr>
      </w:pPr>
      <w:r w:rsidRPr="00A019F7">
        <w:rPr>
          <w:rFonts w:ascii="Times New Roman" w:hAnsi="Times New Roman"/>
          <w:b/>
          <w:i/>
          <w:sz w:val="24"/>
          <w:szCs w:val="24"/>
        </w:rPr>
        <w:t>Acceptance criteria</w:t>
      </w:r>
      <w:r>
        <w:rPr>
          <w:rFonts w:ascii="Times New Roman" w:hAnsi="Times New Roman"/>
          <w:b/>
          <w:i/>
          <w:sz w:val="24"/>
          <w:szCs w:val="24"/>
        </w:rPr>
        <w:t>:</w:t>
      </w:r>
    </w:p>
    <w:p w14:paraId="021EF319" w14:textId="77777777" w:rsidR="00596EDD" w:rsidRDefault="004B2E14" w:rsidP="002E6F1E">
      <w:pPr>
        <w:spacing w:before="120" w:after="120"/>
        <w:jc w:val="both"/>
        <w:rPr>
          <w:lang w:val="en-US"/>
        </w:rPr>
      </w:pPr>
      <w:r w:rsidRPr="004B2E14">
        <w:rPr>
          <w:lang w:val="en-US"/>
        </w:rPr>
        <w:t>Acceptance cri</w:t>
      </w:r>
      <w:r>
        <w:rPr>
          <w:lang w:val="en-US"/>
        </w:rPr>
        <w:t>teria are part of referred AMPs</w:t>
      </w:r>
      <w:r w:rsidRPr="004B2E14">
        <w:rPr>
          <w:lang w:val="en-US"/>
        </w:rPr>
        <w:t>.</w:t>
      </w:r>
      <w:r>
        <w:rPr>
          <w:lang w:val="en-US"/>
        </w:rPr>
        <w:t xml:space="preserve"> </w:t>
      </w:r>
      <w:r w:rsidR="0023035D">
        <w:rPr>
          <w:lang w:val="en-US"/>
        </w:rPr>
        <w:t xml:space="preserve">The criteria, against which the need for corrective action is evaluated </w:t>
      </w:r>
      <w:r w:rsidR="00803108">
        <w:rPr>
          <w:lang w:val="en-US"/>
        </w:rPr>
        <w:t xml:space="preserve">to </w:t>
      </w:r>
      <w:r w:rsidR="0023035D">
        <w:rPr>
          <w:lang w:val="en-US"/>
        </w:rPr>
        <w:t xml:space="preserve">ensure that the elements and the structures intended function(s) are maintained during the </w:t>
      </w:r>
      <w:r w:rsidR="00EF4FA9">
        <w:rPr>
          <w:lang w:val="en-US"/>
        </w:rPr>
        <w:t>operation</w:t>
      </w:r>
      <w:r w:rsidR="0023035D">
        <w:rPr>
          <w:lang w:val="en-US"/>
        </w:rPr>
        <w:t>. The acceptance criteria are based on norms, regulations and standards on nuclear and radiation safety.</w:t>
      </w:r>
    </w:p>
    <w:p w14:paraId="7860C1CC" w14:textId="77777777" w:rsidR="00596EDD" w:rsidRDefault="00596EDD" w:rsidP="002E6F1E">
      <w:pPr>
        <w:spacing w:before="120" w:after="120"/>
        <w:rPr>
          <w:lang w:val="en-US"/>
        </w:rPr>
      </w:pPr>
    </w:p>
    <w:p w14:paraId="32F7A666" w14:textId="77777777" w:rsidR="00596EDD" w:rsidRPr="00E01461" w:rsidRDefault="00596EDD" w:rsidP="002E6F1E">
      <w:pPr>
        <w:pStyle w:val="BodyNumbered"/>
        <w:numPr>
          <w:ilvl w:val="0"/>
          <w:numId w:val="1"/>
        </w:numPr>
        <w:ind w:left="426" w:hanging="426"/>
        <w:rPr>
          <w:rFonts w:ascii="Times New Roman" w:hAnsi="Times New Roman"/>
          <w:b/>
          <w:i/>
          <w:sz w:val="24"/>
          <w:szCs w:val="24"/>
        </w:rPr>
      </w:pPr>
      <w:r w:rsidRPr="00E01461">
        <w:rPr>
          <w:rFonts w:ascii="Times New Roman" w:hAnsi="Times New Roman"/>
          <w:b/>
          <w:i/>
          <w:sz w:val="24"/>
          <w:szCs w:val="24"/>
        </w:rPr>
        <w:t>Corrective actions:</w:t>
      </w:r>
    </w:p>
    <w:p w14:paraId="61B76833" w14:textId="77777777" w:rsidR="00596EDD" w:rsidRPr="00C4248A" w:rsidRDefault="005D6218"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Actions to be taken when the acceptance criteria are not met </w:t>
      </w:r>
      <w:r w:rsidR="00803108" w:rsidRPr="00C4248A">
        <w:rPr>
          <w:rFonts w:ascii="Times New Roman" w:hAnsi="Times New Roman"/>
          <w:sz w:val="24"/>
          <w:szCs w:val="24"/>
        </w:rPr>
        <w:t xml:space="preserve">will </w:t>
      </w:r>
      <w:r w:rsidRPr="00C4248A">
        <w:rPr>
          <w:rFonts w:ascii="Times New Roman" w:hAnsi="Times New Roman"/>
          <w:sz w:val="24"/>
          <w:szCs w:val="24"/>
        </w:rPr>
        <w:t xml:space="preserve">be identified. They </w:t>
      </w:r>
      <w:r w:rsidR="00803108" w:rsidRPr="00C4248A">
        <w:rPr>
          <w:rFonts w:ascii="Times New Roman" w:hAnsi="Times New Roman"/>
          <w:sz w:val="24"/>
          <w:szCs w:val="24"/>
        </w:rPr>
        <w:t>are</w:t>
      </w:r>
      <w:r w:rsidRPr="00C4248A">
        <w:rPr>
          <w:rFonts w:ascii="Times New Roman" w:hAnsi="Times New Roman"/>
          <w:sz w:val="24"/>
          <w:szCs w:val="24"/>
        </w:rPr>
        <w:t xml:space="preserve"> described in appropriate details or referenced </w:t>
      </w:r>
      <w:r w:rsidR="006A1B22" w:rsidRPr="00C4248A">
        <w:rPr>
          <w:rFonts w:ascii="Times New Roman" w:hAnsi="Times New Roman"/>
          <w:sz w:val="24"/>
          <w:szCs w:val="24"/>
        </w:rPr>
        <w:t xml:space="preserve">in </w:t>
      </w:r>
      <w:r w:rsidRPr="00C4248A">
        <w:rPr>
          <w:rFonts w:ascii="Times New Roman" w:hAnsi="Times New Roman"/>
          <w:sz w:val="24"/>
          <w:szCs w:val="24"/>
        </w:rPr>
        <w:t xml:space="preserve">the </w:t>
      </w:r>
      <w:r w:rsidR="00366492" w:rsidRPr="00C4248A">
        <w:rPr>
          <w:rFonts w:ascii="Times New Roman" w:hAnsi="Times New Roman"/>
          <w:sz w:val="24"/>
          <w:szCs w:val="24"/>
        </w:rPr>
        <w:t xml:space="preserve">plant specific </w:t>
      </w:r>
      <w:r w:rsidRPr="00C4248A">
        <w:rPr>
          <w:rFonts w:ascii="Times New Roman" w:hAnsi="Times New Roman"/>
          <w:sz w:val="24"/>
          <w:szCs w:val="24"/>
        </w:rPr>
        <w:t>documents. Corrective actions, including root cause determination and prevention of recurrence</w:t>
      </w:r>
      <w:r w:rsidR="00803108" w:rsidRPr="00C4248A">
        <w:rPr>
          <w:rFonts w:ascii="Times New Roman" w:hAnsi="Times New Roman"/>
          <w:sz w:val="24"/>
          <w:szCs w:val="24"/>
        </w:rPr>
        <w:t xml:space="preserve"> will </w:t>
      </w:r>
      <w:r w:rsidRPr="00C4248A">
        <w:rPr>
          <w:rFonts w:ascii="Times New Roman" w:hAnsi="Times New Roman"/>
          <w:sz w:val="24"/>
          <w:szCs w:val="24"/>
        </w:rPr>
        <w:t>be timely performed.</w:t>
      </w:r>
    </w:p>
    <w:p w14:paraId="542561DD" w14:textId="77777777" w:rsidR="00054225" w:rsidRPr="00C4248A" w:rsidRDefault="00054225"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When suitable in some cases, changes to operational regimes could be applied</w:t>
      </w:r>
      <w:r w:rsidR="00A84745" w:rsidRPr="00C4248A">
        <w:rPr>
          <w:rFonts w:ascii="Times New Roman" w:hAnsi="Times New Roman"/>
          <w:sz w:val="24"/>
          <w:szCs w:val="24"/>
        </w:rPr>
        <w:t>.</w:t>
      </w:r>
    </w:p>
    <w:p w14:paraId="3928465C" w14:textId="77777777" w:rsidR="00A84745" w:rsidRPr="00C4248A" w:rsidRDefault="00A84745" w:rsidP="002E6F1E">
      <w:pPr>
        <w:pStyle w:val="Body"/>
        <w:tabs>
          <w:tab w:val="clear" w:pos="360"/>
        </w:tabs>
        <w:ind w:left="0" w:firstLine="0"/>
        <w:jc w:val="both"/>
        <w:rPr>
          <w:rFonts w:ascii="Times New Roman" w:hAnsi="Times New Roman"/>
          <w:sz w:val="24"/>
          <w:szCs w:val="24"/>
        </w:rPr>
      </w:pPr>
      <w:r w:rsidRPr="00C4248A">
        <w:rPr>
          <w:rFonts w:ascii="Times New Roman" w:hAnsi="Times New Roman"/>
          <w:sz w:val="24"/>
          <w:szCs w:val="24"/>
        </w:rPr>
        <w:t xml:space="preserve">If corrective actions permit analysis without repair or replacement the analysis ensures that the main coolant piping intended functions </w:t>
      </w:r>
      <w:r w:rsidR="003332F2" w:rsidRPr="00C4248A">
        <w:rPr>
          <w:rFonts w:ascii="Times New Roman" w:hAnsi="Times New Roman"/>
          <w:sz w:val="24"/>
          <w:szCs w:val="24"/>
        </w:rPr>
        <w:t>are</w:t>
      </w:r>
      <w:r w:rsidRPr="00C4248A">
        <w:rPr>
          <w:rFonts w:ascii="Times New Roman" w:hAnsi="Times New Roman"/>
          <w:sz w:val="24"/>
          <w:szCs w:val="24"/>
        </w:rPr>
        <w:t xml:space="preserve"> maintained consistent with norms, regulations and standards on nuclear and radiation safety.</w:t>
      </w:r>
    </w:p>
    <w:p w14:paraId="5920008D" w14:textId="77777777" w:rsidR="00A84745" w:rsidRPr="00054225" w:rsidRDefault="00A84745" w:rsidP="002E6F1E">
      <w:pPr>
        <w:spacing w:before="120" w:after="120"/>
        <w:jc w:val="both"/>
        <w:rPr>
          <w:lang w:val="en-GB"/>
        </w:rPr>
      </w:pPr>
    </w:p>
    <w:p w14:paraId="3BC205DA" w14:textId="77777777" w:rsidR="00596EDD" w:rsidRDefault="00596EDD" w:rsidP="002E6F1E">
      <w:pPr>
        <w:pStyle w:val="BodyNumbered"/>
        <w:numPr>
          <w:ilvl w:val="0"/>
          <w:numId w:val="1"/>
        </w:numPr>
        <w:tabs>
          <w:tab w:val="clear" w:pos="360"/>
        </w:tabs>
        <w:ind w:left="426" w:hanging="426"/>
        <w:rPr>
          <w:rFonts w:ascii="Times New Roman" w:hAnsi="Times New Roman"/>
          <w:b/>
          <w:i/>
          <w:sz w:val="24"/>
          <w:szCs w:val="24"/>
        </w:rPr>
      </w:pPr>
      <w:r w:rsidRPr="00A019F7">
        <w:rPr>
          <w:rFonts w:ascii="Times New Roman" w:hAnsi="Times New Roman"/>
          <w:b/>
          <w:i/>
          <w:sz w:val="24"/>
          <w:szCs w:val="24"/>
        </w:rPr>
        <w:t>Operating experience feedback and feedback of research and development results</w:t>
      </w:r>
      <w:r>
        <w:rPr>
          <w:rFonts w:ascii="Times New Roman" w:hAnsi="Times New Roman"/>
          <w:b/>
          <w:i/>
          <w:sz w:val="24"/>
          <w:szCs w:val="24"/>
        </w:rPr>
        <w:t>:</w:t>
      </w:r>
    </w:p>
    <w:p w14:paraId="1D6753DD" w14:textId="77777777" w:rsidR="000C722A" w:rsidRDefault="000C722A" w:rsidP="002E6F1E">
      <w:pPr>
        <w:pStyle w:val="Body"/>
        <w:tabs>
          <w:tab w:val="clear" w:pos="360"/>
          <w:tab w:val="left" w:pos="0"/>
        </w:tabs>
        <w:ind w:left="0" w:firstLine="0"/>
        <w:jc w:val="both"/>
        <w:rPr>
          <w:rFonts w:ascii="Times New Roman" w:hAnsi="Times New Roman"/>
          <w:sz w:val="24"/>
          <w:szCs w:val="24"/>
        </w:rPr>
      </w:pPr>
      <w:r>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(e.g. develop a new plant-specific AMP) to ensure the continued effectiveness of the ageing management.</w:t>
      </w:r>
    </w:p>
    <w:p w14:paraId="20090CB2" w14:textId="77777777" w:rsidR="00ED07B4" w:rsidRPr="00C4248A" w:rsidRDefault="00ED07B4" w:rsidP="002E6F1E">
      <w:pPr>
        <w:pStyle w:val="Body"/>
        <w:tabs>
          <w:tab w:val="clear" w:pos="360"/>
          <w:tab w:val="left" w:pos="0"/>
        </w:tabs>
        <w:ind w:left="0" w:firstLine="0"/>
        <w:jc w:val="both"/>
        <w:rPr>
          <w:rFonts w:ascii="Times New Roman" w:hAnsi="Times New Roman"/>
          <w:sz w:val="24"/>
          <w:szCs w:val="24"/>
        </w:rPr>
      </w:pPr>
      <w:r w:rsidRPr="00C4248A">
        <w:rPr>
          <w:rFonts w:ascii="Times New Roman" w:hAnsi="Times New Roman"/>
          <w:sz w:val="24"/>
          <w:szCs w:val="24"/>
        </w:rPr>
        <w:t>In accordance with the rules [</w:t>
      </w:r>
      <w:r w:rsidR="005D4604" w:rsidRPr="00C4248A">
        <w:rPr>
          <w:rFonts w:ascii="Times New Roman" w:hAnsi="Times New Roman"/>
          <w:sz w:val="24"/>
          <w:szCs w:val="24"/>
        </w:rPr>
        <w:t>7</w:t>
      </w:r>
      <w:r w:rsidR="002720C3" w:rsidRPr="00C4248A">
        <w:rPr>
          <w:rFonts w:ascii="Times New Roman" w:hAnsi="Times New Roman"/>
          <w:sz w:val="24"/>
          <w:szCs w:val="24"/>
        </w:rPr>
        <w:t>-8</w:t>
      </w:r>
      <w:r w:rsidRPr="00C4248A">
        <w:rPr>
          <w:rFonts w:ascii="Times New Roman" w:hAnsi="Times New Roman"/>
          <w:sz w:val="24"/>
          <w:szCs w:val="24"/>
        </w:rPr>
        <w:t xml:space="preserve">], the mechanical properties of WWER MCP after 100 000 hours of operation </w:t>
      </w:r>
      <w:r w:rsidR="00803108" w:rsidRPr="00C4248A">
        <w:rPr>
          <w:rFonts w:ascii="Times New Roman" w:hAnsi="Times New Roman"/>
          <w:sz w:val="24"/>
          <w:szCs w:val="24"/>
        </w:rPr>
        <w:t>are</w:t>
      </w:r>
      <w:r w:rsidRPr="00C4248A">
        <w:rPr>
          <w:rFonts w:ascii="Times New Roman" w:hAnsi="Times New Roman"/>
          <w:sz w:val="24"/>
          <w:szCs w:val="24"/>
        </w:rPr>
        <w:t xml:space="preserve"> </w:t>
      </w:r>
      <w:r w:rsidR="00803108" w:rsidRPr="00C4248A">
        <w:rPr>
          <w:rFonts w:ascii="Times New Roman" w:hAnsi="Times New Roman"/>
          <w:sz w:val="24"/>
          <w:szCs w:val="24"/>
        </w:rPr>
        <w:t>examined</w:t>
      </w:r>
      <w:r w:rsidRPr="00C4248A">
        <w:rPr>
          <w:rFonts w:ascii="Times New Roman" w:hAnsi="Times New Roman"/>
          <w:sz w:val="24"/>
          <w:szCs w:val="24"/>
        </w:rPr>
        <w:t xml:space="preserve"> by destructive and/or non-destructive methods. This alternate replacement of the control technology (destructive or non-destructive) became possible only after </w:t>
      </w:r>
      <w:r w:rsidRPr="00C4248A">
        <w:rPr>
          <w:rFonts w:ascii="Times New Roman" w:hAnsi="Times New Roman"/>
          <w:sz w:val="24"/>
          <w:szCs w:val="24"/>
        </w:rPr>
        <w:lastRenderedPageBreak/>
        <w:t xml:space="preserve">the complex investigations of specimens of the real piping material. The test results have not shown any significant difference in material properties. The investigations have revealed that the WWER NPPs piping material maintain high properties after 100 000 hours of operation and gave possibility to create new effective methods of non-destructive estimation of piping mechanical properties (without removing specimens, e.g. kinetic hardness measurement). </w:t>
      </w:r>
    </w:p>
    <w:p w14:paraId="1638C01D" w14:textId="77777777" w:rsidR="00635FC9" w:rsidRPr="00C4248A" w:rsidRDefault="00635FC9" w:rsidP="002E6F1E">
      <w:pPr>
        <w:pStyle w:val="Body"/>
        <w:tabs>
          <w:tab w:val="clear" w:pos="360"/>
          <w:tab w:val="left" w:pos="0"/>
        </w:tabs>
        <w:ind w:left="0" w:firstLine="0"/>
        <w:jc w:val="both"/>
        <w:rPr>
          <w:rFonts w:ascii="Times New Roman" w:hAnsi="Times New Roman"/>
          <w:sz w:val="24"/>
          <w:szCs w:val="24"/>
        </w:rPr>
      </w:pPr>
      <w:r w:rsidRPr="00C4248A">
        <w:rPr>
          <w:rFonts w:ascii="Times New Roman" w:hAnsi="Times New Roman"/>
          <w:sz w:val="24"/>
          <w:szCs w:val="24"/>
        </w:rPr>
        <w:t xml:space="preserve">The </w:t>
      </w:r>
      <w:proofErr w:type="spellStart"/>
      <w:r w:rsidRPr="00C4248A">
        <w:rPr>
          <w:rFonts w:ascii="Times New Roman" w:hAnsi="Times New Roman"/>
          <w:sz w:val="24"/>
          <w:szCs w:val="24"/>
        </w:rPr>
        <w:t>programme</w:t>
      </w:r>
      <w:proofErr w:type="spellEnd"/>
      <w:r w:rsidRPr="00C4248A">
        <w:rPr>
          <w:rFonts w:ascii="Times New Roman" w:hAnsi="Times New Roman"/>
          <w:sz w:val="24"/>
          <w:szCs w:val="24"/>
        </w:rPr>
        <w:t xml:space="preserve"> includes provisions for continuing review of plant-specific and industry-wide operating experience, and research and development results, such that impact on the </w:t>
      </w:r>
      <w:proofErr w:type="spellStart"/>
      <w:r w:rsidRPr="00C4248A">
        <w:rPr>
          <w:rFonts w:ascii="Times New Roman" w:hAnsi="Times New Roman"/>
          <w:sz w:val="24"/>
          <w:szCs w:val="24"/>
        </w:rPr>
        <w:t>programme</w:t>
      </w:r>
      <w:proofErr w:type="spellEnd"/>
      <w:r w:rsidRPr="00C4248A">
        <w:rPr>
          <w:rFonts w:ascii="Times New Roman" w:hAnsi="Times New Roman"/>
          <w:sz w:val="24"/>
          <w:szCs w:val="24"/>
        </w:rPr>
        <w:t xml:space="preserve"> is evaluated and any necessary actions or modifications to the </w:t>
      </w:r>
      <w:proofErr w:type="spellStart"/>
      <w:r w:rsidRPr="00C4248A">
        <w:rPr>
          <w:rFonts w:ascii="Times New Roman" w:hAnsi="Times New Roman"/>
          <w:sz w:val="24"/>
          <w:szCs w:val="24"/>
        </w:rPr>
        <w:t>programme</w:t>
      </w:r>
      <w:proofErr w:type="spellEnd"/>
      <w:r w:rsidRPr="00C4248A">
        <w:rPr>
          <w:rFonts w:ascii="Times New Roman" w:hAnsi="Times New Roman"/>
          <w:sz w:val="24"/>
          <w:szCs w:val="24"/>
        </w:rPr>
        <w:t xml:space="preserve"> are performed.</w:t>
      </w:r>
    </w:p>
    <w:p w14:paraId="1A2EDBE6" w14:textId="77777777" w:rsidR="00E01461" w:rsidRPr="00C4248A" w:rsidRDefault="00635FC9" w:rsidP="002E6F1E">
      <w:pPr>
        <w:pStyle w:val="Body"/>
        <w:tabs>
          <w:tab w:val="clear" w:pos="360"/>
          <w:tab w:val="left" w:pos="0"/>
        </w:tabs>
        <w:ind w:left="0" w:firstLine="0"/>
        <w:jc w:val="both"/>
        <w:rPr>
          <w:rFonts w:ascii="Times New Roman" w:hAnsi="Times New Roman"/>
          <w:sz w:val="24"/>
          <w:szCs w:val="24"/>
        </w:rPr>
      </w:pPr>
      <w:r w:rsidRPr="00C4248A">
        <w:rPr>
          <w:rFonts w:ascii="Times New Roman" w:hAnsi="Times New Roman"/>
          <w:sz w:val="24"/>
          <w:szCs w:val="24"/>
        </w:rPr>
        <w:t>At the time when this AMP was produced, no relevant R&amp;D was identified.</w:t>
      </w:r>
    </w:p>
    <w:p w14:paraId="08BDA30E" w14:textId="77777777" w:rsidR="00C4248A" w:rsidRDefault="00C4248A" w:rsidP="002E6F1E">
      <w:pPr>
        <w:pStyle w:val="Body"/>
        <w:tabs>
          <w:tab w:val="clear" w:pos="360"/>
          <w:tab w:val="left" w:pos="0"/>
        </w:tabs>
        <w:ind w:left="0" w:firstLine="0"/>
        <w:jc w:val="both"/>
        <w:rPr>
          <w:rFonts w:ascii="Times New Roman" w:hAnsi="Times New Roman"/>
          <w:sz w:val="24"/>
          <w:szCs w:val="24"/>
        </w:rPr>
      </w:pPr>
    </w:p>
    <w:p w14:paraId="6E24FAA5" w14:textId="77777777" w:rsidR="00C4248A" w:rsidRPr="00C4248A" w:rsidRDefault="00C4248A" w:rsidP="002E6F1E">
      <w:pPr>
        <w:pStyle w:val="BodyNumbered"/>
        <w:numPr>
          <w:ilvl w:val="0"/>
          <w:numId w:val="1"/>
        </w:numPr>
        <w:tabs>
          <w:tab w:val="clear" w:pos="360"/>
        </w:tabs>
        <w:ind w:left="426" w:hanging="426"/>
        <w:rPr>
          <w:rFonts w:ascii="Times New Roman" w:hAnsi="Times New Roman"/>
          <w:b/>
          <w:i/>
          <w:sz w:val="24"/>
          <w:szCs w:val="24"/>
        </w:rPr>
      </w:pPr>
      <w:r w:rsidRPr="00C4248A">
        <w:rPr>
          <w:rFonts w:ascii="Times New Roman" w:hAnsi="Times New Roman"/>
          <w:b/>
          <w:i/>
          <w:sz w:val="24"/>
          <w:szCs w:val="24"/>
        </w:rPr>
        <w:t xml:space="preserve">Quality management: </w:t>
      </w:r>
    </w:p>
    <w:p w14:paraId="1BB06C60" w14:textId="13544278" w:rsidR="00C4248A" w:rsidRPr="00447A13" w:rsidRDefault="007D3481" w:rsidP="002E6F1E">
      <w:pPr>
        <w:spacing w:before="120" w:after="120"/>
        <w:jc w:val="both"/>
        <w:rPr>
          <w:color w:val="FF0000"/>
          <w:lang w:val="en-GB"/>
        </w:rPr>
      </w:pPr>
      <w:r w:rsidRPr="00447A13">
        <w:rPr>
          <w:color w:val="FF0000"/>
          <w:lang w:val="en-US"/>
        </w:rPr>
        <w:t xml:space="preserve">NPP system of quality assurance ensures the implementation of the AMP and maintaining it in an actual state, as well as systematic analysis and control of its correspondence to </w:t>
      </w:r>
      <w:r w:rsidR="00A60A73" w:rsidRPr="00447A13">
        <w:rPr>
          <w:color w:val="FF0000"/>
          <w:lang w:val="en-US"/>
        </w:rPr>
        <w:t xml:space="preserve">the </w:t>
      </w:r>
      <w:r w:rsidRPr="00447A13">
        <w:rPr>
          <w:color w:val="FF0000"/>
          <w:lang w:val="en-US"/>
        </w:rPr>
        <w:t xml:space="preserve">9 generic attributes. </w:t>
      </w:r>
      <w:r w:rsidR="00C4248A" w:rsidRPr="00447A13">
        <w:rPr>
          <w:color w:val="FF0000"/>
          <w:lang w:val="en-GB"/>
        </w:rPr>
        <w:t xml:space="preserve">Site QA procedures, review and approval processes, and administrative controls are implemented in accordance with the different national regulatory requirements (e.g. </w:t>
      </w:r>
      <w:r w:rsidRPr="00447A13">
        <w:rPr>
          <w:color w:val="FF0000"/>
          <w:lang w:val="en-GB"/>
        </w:rPr>
        <w:t xml:space="preserve">ISO 9000 </w:t>
      </w:r>
      <w:r w:rsidRPr="00447A13">
        <w:rPr>
          <w:color w:val="FF0000"/>
          <w:lang w:val="en-US"/>
        </w:rPr>
        <w:t xml:space="preserve">[9], </w:t>
      </w:r>
      <w:r w:rsidR="00C4248A" w:rsidRPr="00447A13">
        <w:rPr>
          <w:color w:val="FF0000"/>
          <w:lang w:val="en-GB"/>
        </w:rPr>
        <w:t>10 CFR Part 50, Appendix B [10].</w:t>
      </w:r>
    </w:p>
    <w:p w14:paraId="5A3A7005" w14:textId="77777777" w:rsidR="00C4248A" w:rsidRPr="00DB3254" w:rsidRDefault="00C4248A" w:rsidP="002E6F1E">
      <w:pPr>
        <w:pStyle w:val="Body"/>
        <w:tabs>
          <w:tab w:val="clear" w:pos="360"/>
          <w:tab w:val="left" w:pos="0"/>
        </w:tabs>
        <w:ind w:left="0" w:firstLine="0"/>
        <w:jc w:val="both"/>
        <w:rPr>
          <w:rFonts w:ascii="Times New Roman" w:hAnsi="Times New Roman"/>
          <w:sz w:val="24"/>
          <w:szCs w:val="24"/>
          <w:lang w:val="x-none"/>
        </w:rPr>
      </w:pPr>
    </w:p>
    <w:p w14:paraId="0EE86528" w14:textId="77777777" w:rsidR="00596EDD" w:rsidRPr="00C4248A" w:rsidRDefault="00E01461" w:rsidP="002E6F1E">
      <w:pPr>
        <w:pStyle w:val="Heading3"/>
        <w:spacing w:before="120"/>
        <w:jc w:val="both"/>
        <w:rPr>
          <w:rFonts w:ascii="Times New Roman" w:hAnsi="Times New Roman"/>
          <w:sz w:val="24"/>
          <w:szCs w:val="24"/>
        </w:rPr>
      </w:pPr>
      <w:r w:rsidRPr="005E0775">
        <w:rPr>
          <w:rFonts w:ascii="Times New Roman" w:hAnsi="Times New Roman"/>
          <w:sz w:val="24"/>
          <w:szCs w:val="24"/>
        </w:rPr>
        <w:t>References</w:t>
      </w:r>
      <w:r w:rsidR="005D6218" w:rsidRPr="005D6218">
        <w:rPr>
          <w:b w:val="0"/>
        </w:rPr>
        <w:tab/>
      </w:r>
    </w:p>
    <w:p w14:paraId="047D743F" w14:textId="77777777" w:rsidR="00861D8F" w:rsidRDefault="00D735A6" w:rsidP="00447A13">
      <w:pPr>
        <w:numPr>
          <w:ilvl w:val="0"/>
          <w:numId w:val="3"/>
        </w:numPr>
        <w:spacing w:before="120" w:after="120"/>
        <w:ind w:left="567" w:hanging="567"/>
        <w:jc w:val="both"/>
        <w:rPr>
          <w:lang w:val="en-GB"/>
        </w:rPr>
      </w:pPr>
      <w:r w:rsidRPr="00D735A6">
        <w:rPr>
          <w:lang w:val="en-GB"/>
        </w:rPr>
        <w:t xml:space="preserve">INTERNATIONAL ATOMIC ENERGY AGENCY, Assessment and Management of Ageing of Major Nuclear Power Plant Components Important to Safety: </w:t>
      </w:r>
      <w:r>
        <w:rPr>
          <w:lang w:val="en-GB"/>
        </w:rPr>
        <w:t>Primary Piping in PWRs</w:t>
      </w:r>
      <w:r w:rsidRPr="00D735A6">
        <w:rPr>
          <w:lang w:val="en-GB"/>
        </w:rPr>
        <w:t>, 200</w:t>
      </w:r>
      <w:r>
        <w:rPr>
          <w:lang w:val="en-GB"/>
        </w:rPr>
        <w:t>3</w:t>
      </w:r>
      <w:r w:rsidRPr="00D735A6">
        <w:rPr>
          <w:lang w:val="en-GB"/>
        </w:rPr>
        <w:t>, IAEA-TECDOC-1</w:t>
      </w:r>
      <w:r>
        <w:rPr>
          <w:lang w:val="en-GB"/>
        </w:rPr>
        <w:t>361</w:t>
      </w:r>
      <w:r w:rsidRPr="00D735A6">
        <w:rPr>
          <w:lang w:val="en-GB"/>
        </w:rPr>
        <w:t>, IAEA, Vienna, Ju</w:t>
      </w:r>
      <w:r>
        <w:rPr>
          <w:lang w:val="en-GB"/>
        </w:rPr>
        <w:t>ly</w:t>
      </w:r>
      <w:r w:rsidRPr="00D735A6">
        <w:rPr>
          <w:lang w:val="en-GB"/>
        </w:rPr>
        <w:t xml:space="preserve"> 200</w:t>
      </w:r>
      <w:r>
        <w:rPr>
          <w:lang w:val="en-GB"/>
        </w:rPr>
        <w:t>3</w:t>
      </w:r>
      <w:r w:rsidR="00250E33">
        <w:rPr>
          <w:lang w:val="en-GB"/>
        </w:rPr>
        <w:t>.</w:t>
      </w:r>
    </w:p>
    <w:p w14:paraId="5BE137A7" w14:textId="6ED1CA14" w:rsidR="00D602C6" w:rsidRPr="002B2BDA" w:rsidRDefault="00D602C6" w:rsidP="00447A13">
      <w:pPr>
        <w:pStyle w:val="Body"/>
        <w:numPr>
          <w:ilvl w:val="0"/>
          <w:numId w:val="3"/>
        </w:numPr>
        <w:ind w:left="567" w:hanging="567"/>
        <w:jc w:val="both"/>
        <w:rPr>
          <w:rFonts w:ascii="Times New Roman" w:hAnsi="Times New Roman"/>
          <w:sz w:val="24"/>
          <w:szCs w:val="24"/>
        </w:rPr>
      </w:pPr>
      <w:r w:rsidRPr="002B2BDA">
        <w:rPr>
          <w:rFonts w:ascii="Times New Roman" w:hAnsi="Times New Roman"/>
          <w:sz w:val="24"/>
          <w:szCs w:val="24"/>
        </w:rPr>
        <w:t xml:space="preserve">SOU-N </w:t>
      </w:r>
      <w:proofErr w:type="spellStart"/>
      <w:r w:rsidRPr="002B2BDA">
        <w:rPr>
          <w:rFonts w:ascii="Times New Roman" w:hAnsi="Times New Roman"/>
          <w:sz w:val="24"/>
          <w:szCs w:val="24"/>
        </w:rPr>
        <w:t>JaEK</w:t>
      </w:r>
      <w:proofErr w:type="spellEnd"/>
      <w:r w:rsidRPr="002B2BDA">
        <w:rPr>
          <w:rFonts w:ascii="Times New Roman" w:hAnsi="Times New Roman"/>
          <w:sz w:val="24"/>
          <w:szCs w:val="24"/>
        </w:rPr>
        <w:t xml:space="preserve"> 1.013:2014</w:t>
      </w:r>
      <w:r w:rsidR="00E62169">
        <w:rPr>
          <w:rFonts w:ascii="Times New Roman" w:hAnsi="Times New Roman"/>
          <w:sz w:val="24"/>
          <w:szCs w:val="24"/>
        </w:rPr>
        <w:t>,</w:t>
      </w:r>
      <w:r w:rsidRPr="002B2BDA">
        <w:rPr>
          <w:rFonts w:ascii="Times New Roman" w:hAnsi="Times New Roman"/>
          <w:sz w:val="24"/>
          <w:szCs w:val="24"/>
        </w:rPr>
        <w:t xml:space="preserve"> Primary coolant of nuclear power reactors WWER-1000. Technical requirements and quality assurance. </w:t>
      </w:r>
    </w:p>
    <w:p w14:paraId="6A20E64B" w14:textId="01425A34" w:rsidR="00D602C6" w:rsidRPr="002B2BDA" w:rsidRDefault="000E0EE2" w:rsidP="00447A13">
      <w:pPr>
        <w:pStyle w:val="Body"/>
        <w:numPr>
          <w:ilvl w:val="0"/>
          <w:numId w:val="3"/>
        </w:numPr>
        <w:ind w:left="567" w:hanging="567"/>
        <w:jc w:val="both"/>
        <w:rPr>
          <w:rFonts w:ascii="Times New Roman" w:hAnsi="Times New Roman"/>
          <w:sz w:val="24"/>
          <w:szCs w:val="24"/>
        </w:rPr>
      </w:pPr>
      <w:r>
        <w:rPr>
          <w:rFonts w:ascii="Times New Roman" w:hAnsi="Times New Roman"/>
          <w:sz w:val="24"/>
          <w:szCs w:val="24"/>
        </w:rPr>
        <w:t xml:space="preserve"> </w:t>
      </w:r>
      <w:r w:rsidR="00D602C6" w:rsidRPr="002B2BDA">
        <w:rPr>
          <w:rFonts w:ascii="Times New Roman" w:hAnsi="Times New Roman"/>
          <w:sz w:val="24"/>
          <w:szCs w:val="24"/>
        </w:rPr>
        <w:t xml:space="preserve">SOU-N </w:t>
      </w:r>
      <w:proofErr w:type="spellStart"/>
      <w:r w:rsidR="00D602C6" w:rsidRPr="002B2BDA">
        <w:rPr>
          <w:rFonts w:ascii="Times New Roman" w:hAnsi="Times New Roman"/>
          <w:sz w:val="24"/>
          <w:szCs w:val="24"/>
        </w:rPr>
        <w:t>JaEK</w:t>
      </w:r>
      <w:proofErr w:type="spellEnd"/>
      <w:r w:rsidR="00D602C6" w:rsidRPr="002B2BDA">
        <w:rPr>
          <w:rFonts w:ascii="Times New Roman" w:hAnsi="Times New Roman"/>
          <w:sz w:val="24"/>
          <w:szCs w:val="24"/>
        </w:rPr>
        <w:t xml:space="preserve"> 1.012:2014</w:t>
      </w:r>
      <w:r w:rsidR="00E62169">
        <w:rPr>
          <w:rFonts w:ascii="Times New Roman" w:hAnsi="Times New Roman"/>
          <w:sz w:val="24"/>
          <w:szCs w:val="24"/>
        </w:rPr>
        <w:t>,</w:t>
      </w:r>
      <w:r w:rsidR="00D602C6" w:rsidRPr="002B2BDA">
        <w:rPr>
          <w:rFonts w:ascii="Times New Roman" w:hAnsi="Times New Roman"/>
          <w:sz w:val="24"/>
          <w:szCs w:val="24"/>
        </w:rPr>
        <w:t xml:space="preserve"> Primary coolant of nuclear power reactors WWER-440. Technical requirements and quality assurance.</w:t>
      </w:r>
    </w:p>
    <w:p w14:paraId="0B2FC947" w14:textId="1554BC8A" w:rsidR="00861D8F" w:rsidRPr="005E49FD" w:rsidRDefault="000E0EE2" w:rsidP="00447A13">
      <w:pPr>
        <w:pStyle w:val="Body"/>
        <w:numPr>
          <w:ilvl w:val="0"/>
          <w:numId w:val="3"/>
        </w:numPr>
        <w:ind w:left="567" w:hanging="567"/>
        <w:jc w:val="both"/>
        <w:rPr>
          <w:rFonts w:ascii="Times New Roman" w:hAnsi="Times New Roman"/>
          <w:sz w:val="24"/>
          <w:szCs w:val="24"/>
        </w:rPr>
      </w:pPr>
      <w:r>
        <w:rPr>
          <w:rFonts w:ascii="Times New Roman" w:hAnsi="Times New Roman"/>
          <w:sz w:val="24"/>
          <w:szCs w:val="24"/>
        </w:rPr>
        <w:t>AIEU-1-09</w:t>
      </w:r>
      <w:r w:rsidR="00E62169">
        <w:rPr>
          <w:rFonts w:ascii="Times New Roman" w:hAnsi="Times New Roman"/>
          <w:sz w:val="24"/>
          <w:szCs w:val="24"/>
        </w:rPr>
        <w:t>,</w:t>
      </w:r>
      <w:r w:rsidR="007C6C5D">
        <w:rPr>
          <w:rFonts w:ascii="Times New Roman" w:hAnsi="Times New Roman"/>
          <w:sz w:val="24"/>
          <w:szCs w:val="24"/>
        </w:rPr>
        <w:t xml:space="preserve"> </w:t>
      </w:r>
      <w:r w:rsidR="007C6C5D" w:rsidRPr="00861D8F">
        <w:rPr>
          <w:rFonts w:ascii="Times New Roman" w:hAnsi="Times New Roman"/>
          <w:sz w:val="24"/>
          <w:szCs w:val="24"/>
          <w:lang w:val="en-GB"/>
        </w:rPr>
        <w:t>Standard</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Programme</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of</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In</w:t>
      </w:r>
      <w:r w:rsidR="007C6C5D" w:rsidRPr="005E49FD">
        <w:rPr>
          <w:rFonts w:ascii="Times New Roman" w:hAnsi="Times New Roman"/>
          <w:sz w:val="24"/>
          <w:szCs w:val="24"/>
          <w:lang w:val="x-none"/>
        </w:rPr>
        <w:t>-</w:t>
      </w:r>
      <w:r w:rsidR="007C6C5D" w:rsidRPr="00861D8F">
        <w:rPr>
          <w:rFonts w:ascii="Times New Roman" w:hAnsi="Times New Roman"/>
          <w:sz w:val="24"/>
          <w:szCs w:val="24"/>
          <w:lang w:val="en-GB"/>
        </w:rPr>
        <w:t>Service</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Inspection</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of</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Base</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Metal</w:t>
      </w:r>
      <w:r w:rsidR="007C6C5D" w:rsidRPr="005E49FD">
        <w:rPr>
          <w:rFonts w:ascii="Times New Roman" w:hAnsi="Times New Roman"/>
          <w:sz w:val="24"/>
          <w:szCs w:val="24"/>
          <w:lang w:val="x-none"/>
        </w:rPr>
        <w:t xml:space="preserve">, </w:t>
      </w:r>
      <w:r w:rsidR="007C6C5D" w:rsidRPr="00861D8F">
        <w:rPr>
          <w:rFonts w:ascii="Times New Roman" w:hAnsi="Times New Roman"/>
          <w:sz w:val="24"/>
          <w:szCs w:val="24"/>
          <w:lang w:val="en-GB"/>
        </w:rPr>
        <w:t>Welds and Cladding of WWER</w:t>
      </w:r>
      <w:r w:rsidR="007C6C5D">
        <w:rPr>
          <w:rFonts w:ascii="Times New Roman" w:hAnsi="Times New Roman"/>
          <w:sz w:val="24"/>
          <w:szCs w:val="24"/>
          <w:lang w:val="en-GB"/>
        </w:rPr>
        <w:t>-440 (V-213)</w:t>
      </w:r>
      <w:r w:rsidR="007C6C5D" w:rsidRPr="00861D8F">
        <w:rPr>
          <w:rFonts w:ascii="Times New Roman" w:hAnsi="Times New Roman"/>
          <w:sz w:val="24"/>
          <w:szCs w:val="24"/>
          <w:lang w:val="en-GB"/>
        </w:rPr>
        <w:t xml:space="preserve"> Equipment and Pipelines</w:t>
      </w:r>
      <w:r w:rsidR="00250E33">
        <w:rPr>
          <w:rFonts w:ascii="Times New Roman" w:hAnsi="Times New Roman"/>
          <w:sz w:val="24"/>
          <w:szCs w:val="24"/>
          <w:lang w:val="en-GB"/>
        </w:rPr>
        <w:t>.</w:t>
      </w:r>
      <w:r w:rsidR="007C6C5D" w:rsidRPr="00861D8F">
        <w:rPr>
          <w:rFonts w:ascii="Times New Roman" w:hAnsi="Times New Roman"/>
          <w:sz w:val="24"/>
          <w:szCs w:val="24"/>
          <w:lang w:val="en-GB"/>
        </w:rPr>
        <w:t xml:space="preserve"> </w:t>
      </w:r>
    </w:p>
    <w:p w14:paraId="43497033" w14:textId="6EBAF4F8" w:rsidR="005D4604" w:rsidRDefault="00861D8F" w:rsidP="00447A13">
      <w:pPr>
        <w:pStyle w:val="Body"/>
        <w:numPr>
          <w:ilvl w:val="0"/>
          <w:numId w:val="3"/>
        </w:numPr>
        <w:ind w:left="567" w:hanging="567"/>
        <w:jc w:val="both"/>
        <w:rPr>
          <w:rFonts w:ascii="Times New Roman" w:hAnsi="Times New Roman"/>
          <w:sz w:val="24"/>
          <w:szCs w:val="24"/>
        </w:rPr>
      </w:pPr>
      <w:r w:rsidRPr="00861D8F">
        <w:rPr>
          <w:rFonts w:ascii="Times New Roman" w:hAnsi="Times New Roman"/>
          <w:sz w:val="24"/>
          <w:szCs w:val="24"/>
          <w:lang w:val="en-GB"/>
        </w:rPr>
        <w:t>PM</w:t>
      </w:r>
      <w:r w:rsidRPr="005E49FD">
        <w:rPr>
          <w:rFonts w:ascii="Times New Roman" w:hAnsi="Times New Roman"/>
          <w:sz w:val="24"/>
          <w:szCs w:val="24"/>
          <w:lang w:val="x-none"/>
        </w:rPr>
        <w:t>-</w:t>
      </w:r>
      <w:r w:rsidRPr="005E49FD">
        <w:rPr>
          <w:rFonts w:ascii="Times New Roman" w:hAnsi="Times New Roman"/>
          <w:sz w:val="24"/>
          <w:szCs w:val="24"/>
        </w:rPr>
        <w:t>Т</w:t>
      </w:r>
      <w:r w:rsidRPr="005E49FD">
        <w:rPr>
          <w:rFonts w:ascii="Times New Roman" w:hAnsi="Times New Roman"/>
          <w:sz w:val="24"/>
          <w:szCs w:val="24"/>
          <w:lang w:val="x-none"/>
        </w:rPr>
        <w:t>.0.03.061-13</w:t>
      </w:r>
      <w:r w:rsidR="00E62169">
        <w:rPr>
          <w:rFonts w:ascii="Times New Roman" w:hAnsi="Times New Roman"/>
          <w:sz w:val="24"/>
          <w:szCs w:val="24"/>
        </w:rPr>
        <w:t>,</w:t>
      </w:r>
      <w:r w:rsidRPr="005E49FD">
        <w:rPr>
          <w:rFonts w:ascii="Times New Roman" w:hAnsi="Times New Roman"/>
          <w:sz w:val="24"/>
          <w:szCs w:val="24"/>
          <w:lang w:val="x-none"/>
        </w:rPr>
        <w:t xml:space="preserve"> </w:t>
      </w:r>
      <w:r w:rsidRPr="00861D8F">
        <w:rPr>
          <w:rFonts w:ascii="Times New Roman" w:hAnsi="Times New Roman"/>
          <w:sz w:val="24"/>
          <w:szCs w:val="24"/>
          <w:lang w:val="en-GB"/>
        </w:rPr>
        <w:t>Standard</w:t>
      </w:r>
      <w:r w:rsidRPr="005E49FD">
        <w:rPr>
          <w:rFonts w:ascii="Times New Roman" w:hAnsi="Times New Roman"/>
          <w:sz w:val="24"/>
          <w:szCs w:val="24"/>
          <w:lang w:val="x-none"/>
        </w:rPr>
        <w:t xml:space="preserve"> </w:t>
      </w:r>
      <w:r w:rsidRPr="00861D8F">
        <w:rPr>
          <w:rFonts w:ascii="Times New Roman" w:hAnsi="Times New Roman"/>
          <w:sz w:val="24"/>
          <w:szCs w:val="24"/>
          <w:lang w:val="en-GB"/>
        </w:rPr>
        <w:t>Programme</w:t>
      </w:r>
      <w:r w:rsidRPr="005E49FD">
        <w:rPr>
          <w:rFonts w:ascii="Times New Roman" w:hAnsi="Times New Roman"/>
          <w:sz w:val="24"/>
          <w:szCs w:val="24"/>
          <w:lang w:val="x-none"/>
        </w:rPr>
        <w:t xml:space="preserve"> </w:t>
      </w:r>
      <w:r w:rsidRPr="00861D8F">
        <w:rPr>
          <w:rFonts w:ascii="Times New Roman" w:hAnsi="Times New Roman"/>
          <w:sz w:val="24"/>
          <w:szCs w:val="24"/>
          <w:lang w:val="en-GB"/>
        </w:rPr>
        <w:t>of</w:t>
      </w:r>
      <w:r w:rsidRPr="005E49FD">
        <w:rPr>
          <w:rFonts w:ascii="Times New Roman" w:hAnsi="Times New Roman"/>
          <w:sz w:val="24"/>
          <w:szCs w:val="24"/>
          <w:lang w:val="x-none"/>
        </w:rPr>
        <w:t xml:space="preserve"> </w:t>
      </w:r>
      <w:r w:rsidRPr="00861D8F">
        <w:rPr>
          <w:rFonts w:ascii="Times New Roman" w:hAnsi="Times New Roman"/>
          <w:sz w:val="24"/>
          <w:szCs w:val="24"/>
          <w:lang w:val="en-GB"/>
        </w:rPr>
        <w:t>In</w:t>
      </w:r>
      <w:r w:rsidRPr="005E49FD">
        <w:rPr>
          <w:rFonts w:ascii="Times New Roman" w:hAnsi="Times New Roman"/>
          <w:sz w:val="24"/>
          <w:szCs w:val="24"/>
          <w:lang w:val="x-none"/>
        </w:rPr>
        <w:t>-</w:t>
      </w:r>
      <w:r w:rsidRPr="00861D8F">
        <w:rPr>
          <w:rFonts w:ascii="Times New Roman" w:hAnsi="Times New Roman"/>
          <w:sz w:val="24"/>
          <w:szCs w:val="24"/>
          <w:lang w:val="en-GB"/>
        </w:rPr>
        <w:t>Service</w:t>
      </w:r>
      <w:r w:rsidRPr="005E49FD">
        <w:rPr>
          <w:rFonts w:ascii="Times New Roman" w:hAnsi="Times New Roman"/>
          <w:sz w:val="24"/>
          <w:szCs w:val="24"/>
          <w:lang w:val="x-none"/>
        </w:rPr>
        <w:t xml:space="preserve"> </w:t>
      </w:r>
      <w:r w:rsidRPr="00861D8F">
        <w:rPr>
          <w:rFonts w:ascii="Times New Roman" w:hAnsi="Times New Roman"/>
          <w:sz w:val="24"/>
          <w:szCs w:val="24"/>
          <w:lang w:val="en-GB"/>
        </w:rPr>
        <w:t>Inspection</w:t>
      </w:r>
      <w:r w:rsidRPr="005E49FD">
        <w:rPr>
          <w:rFonts w:ascii="Times New Roman" w:hAnsi="Times New Roman"/>
          <w:sz w:val="24"/>
          <w:szCs w:val="24"/>
          <w:lang w:val="x-none"/>
        </w:rPr>
        <w:t xml:space="preserve"> </w:t>
      </w:r>
      <w:r w:rsidRPr="00861D8F">
        <w:rPr>
          <w:rFonts w:ascii="Times New Roman" w:hAnsi="Times New Roman"/>
          <w:sz w:val="24"/>
          <w:szCs w:val="24"/>
          <w:lang w:val="en-GB"/>
        </w:rPr>
        <w:t>of</w:t>
      </w:r>
      <w:r w:rsidRPr="005E49FD">
        <w:rPr>
          <w:rFonts w:ascii="Times New Roman" w:hAnsi="Times New Roman"/>
          <w:sz w:val="24"/>
          <w:szCs w:val="24"/>
          <w:lang w:val="x-none"/>
        </w:rPr>
        <w:t xml:space="preserve"> </w:t>
      </w:r>
      <w:r w:rsidRPr="00861D8F">
        <w:rPr>
          <w:rFonts w:ascii="Times New Roman" w:hAnsi="Times New Roman"/>
          <w:sz w:val="24"/>
          <w:szCs w:val="24"/>
          <w:lang w:val="en-GB"/>
        </w:rPr>
        <w:t>Base</w:t>
      </w:r>
      <w:r w:rsidRPr="005E49FD">
        <w:rPr>
          <w:rFonts w:ascii="Times New Roman" w:hAnsi="Times New Roman"/>
          <w:sz w:val="24"/>
          <w:szCs w:val="24"/>
          <w:lang w:val="x-none"/>
        </w:rPr>
        <w:t xml:space="preserve"> </w:t>
      </w:r>
      <w:r w:rsidRPr="00861D8F">
        <w:rPr>
          <w:rFonts w:ascii="Times New Roman" w:hAnsi="Times New Roman"/>
          <w:sz w:val="24"/>
          <w:szCs w:val="24"/>
          <w:lang w:val="en-GB"/>
        </w:rPr>
        <w:t>Metal</w:t>
      </w:r>
      <w:r w:rsidRPr="005E49FD">
        <w:rPr>
          <w:rFonts w:ascii="Times New Roman" w:hAnsi="Times New Roman"/>
          <w:sz w:val="24"/>
          <w:szCs w:val="24"/>
          <w:lang w:val="x-none"/>
        </w:rPr>
        <w:t xml:space="preserve">, </w:t>
      </w:r>
      <w:r w:rsidRPr="00861D8F">
        <w:rPr>
          <w:rFonts w:ascii="Times New Roman" w:hAnsi="Times New Roman"/>
          <w:sz w:val="24"/>
          <w:szCs w:val="24"/>
          <w:lang w:val="en-GB"/>
        </w:rPr>
        <w:t>Welds and Cladding of WWER-1000 Equipment and Pipelines (TPPK-13)</w:t>
      </w:r>
      <w:r w:rsidR="00250E33">
        <w:rPr>
          <w:rFonts w:ascii="Times New Roman" w:hAnsi="Times New Roman"/>
          <w:sz w:val="24"/>
          <w:szCs w:val="24"/>
          <w:lang w:val="en-GB"/>
        </w:rPr>
        <w:t>.</w:t>
      </w:r>
      <w:r w:rsidR="005D4604" w:rsidRPr="005D4604">
        <w:rPr>
          <w:rFonts w:ascii="Times New Roman" w:hAnsi="Times New Roman"/>
          <w:sz w:val="24"/>
          <w:szCs w:val="24"/>
        </w:rPr>
        <w:t xml:space="preserve"> </w:t>
      </w:r>
    </w:p>
    <w:p w14:paraId="73623256" w14:textId="2CF5DA0D" w:rsidR="005D4604" w:rsidRDefault="005D4604" w:rsidP="00447A13">
      <w:pPr>
        <w:pStyle w:val="Body"/>
        <w:numPr>
          <w:ilvl w:val="0"/>
          <w:numId w:val="3"/>
        </w:numPr>
        <w:ind w:left="567" w:hanging="567"/>
        <w:jc w:val="both"/>
        <w:rPr>
          <w:rFonts w:ascii="Times New Roman" w:hAnsi="Times New Roman"/>
          <w:sz w:val="24"/>
          <w:szCs w:val="24"/>
        </w:rPr>
      </w:pPr>
      <w:r w:rsidRPr="005E49FD">
        <w:rPr>
          <w:rFonts w:ascii="Times New Roman" w:hAnsi="Times New Roman"/>
          <w:sz w:val="24"/>
          <w:szCs w:val="24"/>
        </w:rPr>
        <w:t>PNAE G-7-002-8</w:t>
      </w:r>
      <w:r>
        <w:rPr>
          <w:rFonts w:ascii="Times New Roman" w:hAnsi="Times New Roman"/>
          <w:sz w:val="24"/>
          <w:szCs w:val="24"/>
        </w:rPr>
        <w:t>6</w:t>
      </w:r>
      <w:r w:rsidR="00E62169">
        <w:rPr>
          <w:rFonts w:ascii="Times New Roman" w:hAnsi="Times New Roman"/>
          <w:sz w:val="24"/>
          <w:szCs w:val="24"/>
        </w:rPr>
        <w:t>,</w:t>
      </w:r>
      <w:r w:rsidRPr="005E49FD">
        <w:rPr>
          <w:rFonts w:ascii="Times New Roman" w:hAnsi="Times New Roman"/>
          <w:sz w:val="24"/>
          <w:szCs w:val="24"/>
        </w:rPr>
        <w:t xml:space="preserve"> Standards for Strength Calculation of Equipment </w:t>
      </w:r>
      <w:proofErr w:type="gramStart"/>
      <w:r w:rsidRPr="005E49FD">
        <w:rPr>
          <w:rFonts w:ascii="Times New Roman" w:hAnsi="Times New Roman"/>
          <w:sz w:val="24"/>
          <w:szCs w:val="24"/>
        </w:rPr>
        <w:t>And</w:t>
      </w:r>
      <w:proofErr w:type="gramEnd"/>
      <w:r w:rsidRPr="005E49FD">
        <w:rPr>
          <w:rFonts w:ascii="Times New Roman" w:hAnsi="Times New Roman"/>
          <w:sz w:val="24"/>
          <w:szCs w:val="24"/>
        </w:rPr>
        <w:t xml:space="preserve"> Pipelines of Nuclear Power Plants</w:t>
      </w:r>
      <w:r w:rsidR="00250E33">
        <w:rPr>
          <w:rFonts w:ascii="Times New Roman" w:hAnsi="Times New Roman"/>
          <w:sz w:val="24"/>
          <w:szCs w:val="24"/>
        </w:rPr>
        <w:t>.</w:t>
      </w:r>
    </w:p>
    <w:p w14:paraId="1931F6F8" w14:textId="5E84EFF1" w:rsidR="00861D8F" w:rsidRPr="00E01461" w:rsidRDefault="005D4604" w:rsidP="00447A13">
      <w:pPr>
        <w:pStyle w:val="Body"/>
        <w:numPr>
          <w:ilvl w:val="0"/>
          <w:numId w:val="3"/>
        </w:numPr>
        <w:ind w:left="567" w:hanging="567"/>
        <w:jc w:val="both"/>
        <w:rPr>
          <w:lang w:val="en-GB"/>
        </w:rPr>
      </w:pPr>
      <w:r w:rsidRPr="002720C3">
        <w:rPr>
          <w:rFonts w:ascii="Times New Roman" w:hAnsi="Times New Roman"/>
          <w:sz w:val="24"/>
          <w:szCs w:val="24"/>
        </w:rPr>
        <w:t>PNAE G-7-008-8</w:t>
      </w:r>
      <w:r w:rsidRPr="00880231">
        <w:rPr>
          <w:rFonts w:ascii="Times New Roman" w:hAnsi="Times New Roman"/>
          <w:sz w:val="24"/>
          <w:szCs w:val="24"/>
        </w:rPr>
        <w:t>9</w:t>
      </w:r>
      <w:r w:rsidR="00E62169">
        <w:rPr>
          <w:rFonts w:ascii="Times New Roman" w:hAnsi="Times New Roman"/>
          <w:sz w:val="24"/>
          <w:szCs w:val="24"/>
        </w:rPr>
        <w:t>,</w:t>
      </w:r>
      <w:r w:rsidRPr="00880231">
        <w:rPr>
          <w:rFonts w:ascii="Times New Roman" w:hAnsi="Times New Roman"/>
          <w:sz w:val="24"/>
          <w:szCs w:val="24"/>
        </w:rPr>
        <w:t xml:space="preserve"> Regulations for Design and Safe Operation of Equipment and Pipelines of Nuclear Installations.</w:t>
      </w:r>
    </w:p>
    <w:p w14:paraId="2CDC46F6" w14:textId="45F4E1BD" w:rsidR="002720C3" w:rsidRPr="00E01461" w:rsidRDefault="002720C3" w:rsidP="00447A13">
      <w:pPr>
        <w:pStyle w:val="Body"/>
        <w:numPr>
          <w:ilvl w:val="0"/>
          <w:numId w:val="3"/>
        </w:numPr>
        <w:ind w:left="567" w:hanging="567"/>
        <w:jc w:val="both"/>
        <w:rPr>
          <w:lang w:val="en-GB"/>
        </w:rPr>
      </w:pPr>
      <w:r>
        <w:rPr>
          <w:rFonts w:ascii="Times New Roman" w:hAnsi="Times New Roman"/>
          <w:sz w:val="24"/>
          <w:szCs w:val="24"/>
          <w:lang w:val="en-GB"/>
        </w:rPr>
        <w:t>NP 089-15</w:t>
      </w:r>
      <w:r w:rsidR="00E62169">
        <w:rPr>
          <w:rFonts w:ascii="Times New Roman" w:hAnsi="Times New Roman"/>
          <w:sz w:val="24"/>
          <w:szCs w:val="24"/>
          <w:lang w:val="en-GB"/>
        </w:rPr>
        <w:t>,</w:t>
      </w:r>
      <w:r>
        <w:rPr>
          <w:rFonts w:ascii="Times New Roman" w:hAnsi="Times New Roman"/>
          <w:sz w:val="24"/>
          <w:szCs w:val="24"/>
          <w:lang w:val="en-GB"/>
        </w:rPr>
        <w:t xml:space="preserve"> </w:t>
      </w:r>
      <w:r w:rsidRPr="002720C3">
        <w:rPr>
          <w:rFonts w:ascii="Times New Roman" w:hAnsi="Times New Roman"/>
          <w:sz w:val="24"/>
          <w:szCs w:val="24"/>
          <w:lang w:val="en-GB"/>
        </w:rPr>
        <w:t>Rules of Design and Safe Operation of Equipment and Pipelines of Nuclear Power Installations</w:t>
      </w:r>
      <w:r w:rsidR="00E62169">
        <w:rPr>
          <w:rFonts w:ascii="Times New Roman" w:hAnsi="Times New Roman"/>
          <w:sz w:val="24"/>
          <w:szCs w:val="24"/>
          <w:lang w:val="en-GB"/>
        </w:rPr>
        <w:t>,</w:t>
      </w:r>
      <w:r w:rsidRPr="002720C3">
        <w:rPr>
          <w:rFonts w:ascii="Times New Roman" w:hAnsi="Times New Roman"/>
          <w:sz w:val="24"/>
          <w:szCs w:val="24"/>
          <w:lang w:val="en-GB"/>
        </w:rPr>
        <w:t xml:space="preserve"> February 09, 2016.</w:t>
      </w:r>
    </w:p>
    <w:p w14:paraId="199B0E0E" w14:textId="4B295E85" w:rsidR="00366492" w:rsidRDefault="00AE15B6" w:rsidP="00447A13">
      <w:pPr>
        <w:pStyle w:val="Body"/>
        <w:numPr>
          <w:ilvl w:val="0"/>
          <w:numId w:val="3"/>
        </w:numPr>
        <w:ind w:left="567" w:hanging="567"/>
        <w:jc w:val="both"/>
        <w:rPr>
          <w:rFonts w:ascii="Times New Roman" w:hAnsi="Times New Roman"/>
          <w:sz w:val="24"/>
          <w:szCs w:val="24"/>
          <w:lang w:val="en-GB"/>
        </w:rPr>
      </w:pPr>
      <w:r w:rsidRPr="00E01461">
        <w:rPr>
          <w:rFonts w:ascii="Times New Roman" w:hAnsi="Times New Roman"/>
          <w:sz w:val="24"/>
          <w:szCs w:val="24"/>
          <w:lang w:val="en-GB"/>
        </w:rPr>
        <w:t>ISO 9000</w:t>
      </w:r>
      <w:r w:rsidR="00E62169">
        <w:rPr>
          <w:rFonts w:ascii="Times New Roman" w:hAnsi="Times New Roman"/>
          <w:sz w:val="24"/>
          <w:szCs w:val="24"/>
          <w:lang w:val="en-GB"/>
        </w:rPr>
        <w:t>,</w:t>
      </w:r>
      <w:r w:rsidRPr="00E01461">
        <w:rPr>
          <w:rFonts w:ascii="Times New Roman" w:hAnsi="Times New Roman"/>
          <w:sz w:val="24"/>
          <w:szCs w:val="24"/>
          <w:lang w:val="en-GB"/>
        </w:rPr>
        <w:t xml:space="preserve"> Quality management</w:t>
      </w:r>
      <w:r>
        <w:rPr>
          <w:rFonts w:ascii="Times New Roman" w:hAnsi="Times New Roman"/>
          <w:sz w:val="24"/>
          <w:szCs w:val="24"/>
          <w:lang w:val="en-GB"/>
        </w:rPr>
        <w:t xml:space="preserve">, </w:t>
      </w:r>
      <w:r w:rsidRPr="00AE15B6">
        <w:rPr>
          <w:rFonts w:ascii="Times New Roman" w:hAnsi="Times New Roman"/>
          <w:sz w:val="24"/>
          <w:szCs w:val="24"/>
          <w:lang w:val="en-GB"/>
        </w:rPr>
        <w:t>International Organization for Standardization</w:t>
      </w:r>
      <w:r w:rsidR="00250E33">
        <w:rPr>
          <w:rFonts w:ascii="Times New Roman" w:hAnsi="Times New Roman"/>
          <w:sz w:val="24"/>
          <w:szCs w:val="24"/>
          <w:lang w:val="en-GB"/>
        </w:rPr>
        <w:t>.</w:t>
      </w:r>
    </w:p>
    <w:p w14:paraId="6C76FBE3" w14:textId="77777777" w:rsidR="00C4248A" w:rsidRDefault="00C4248A" w:rsidP="00447A13">
      <w:pPr>
        <w:pStyle w:val="References"/>
        <w:numPr>
          <w:ilvl w:val="0"/>
          <w:numId w:val="3"/>
        </w:numPr>
        <w:ind w:left="567" w:hanging="567"/>
        <w:jc w:val="both"/>
        <w:rPr>
          <w:rFonts w:ascii="Times New Roman" w:eastAsia="Arial" w:hAnsi="Times New Roman"/>
          <w:color w:val="000000"/>
          <w:sz w:val="24"/>
          <w:szCs w:val="24"/>
          <w:lang w:eastAsia="ja-JP"/>
        </w:rPr>
      </w:pPr>
      <w:r w:rsidRPr="006117DE">
        <w:rPr>
          <w:rFonts w:ascii="Times New Roman" w:hAnsi="Times New Roman"/>
          <w:sz w:val="24"/>
          <w:szCs w:val="24"/>
        </w:rPr>
        <w:t>U</w:t>
      </w:r>
      <w:r w:rsidR="00923205">
        <w:rPr>
          <w:rFonts w:ascii="Times New Roman" w:eastAsia="Arial" w:hAnsi="Times New Roman"/>
          <w:color w:val="000000"/>
          <w:sz w:val="24"/>
          <w:szCs w:val="24"/>
          <w:lang w:eastAsia="ja-JP"/>
        </w:rPr>
        <w:t xml:space="preserve">NITED STATES NUCLEAR REGULATORY COMMISSION, 10 CFR Part 50, Appendix B, Quality Assurance Criteria for Nuclear Power Plants, Office of the Federal Register, National Archives and Records Administration, USNRC, </w:t>
      </w:r>
      <w:r w:rsidR="00923205">
        <w:rPr>
          <w:rFonts w:ascii="Times New Roman" w:hAnsi="Times New Roman"/>
          <w:color w:val="000000"/>
          <w:sz w:val="24"/>
          <w:szCs w:val="24"/>
          <w:lang w:val="en-GB" w:eastAsia="ja-JP"/>
        </w:rPr>
        <w:t>Washington, L</w:t>
      </w:r>
      <w:r w:rsidR="00760B18">
        <w:rPr>
          <w:rFonts w:ascii="Times New Roman" w:hAnsi="Times New Roman"/>
          <w:color w:val="000000"/>
          <w:sz w:val="24"/>
          <w:szCs w:val="24"/>
          <w:lang w:val="en-GB" w:eastAsia="ja-JP"/>
        </w:rPr>
        <w:t>atest</w:t>
      </w:r>
      <w:r w:rsidR="00923205">
        <w:rPr>
          <w:rFonts w:ascii="Times New Roman" w:hAnsi="Times New Roman"/>
          <w:color w:val="000000"/>
          <w:sz w:val="24"/>
          <w:szCs w:val="24"/>
          <w:lang w:val="en-GB" w:eastAsia="ja-JP"/>
        </w:rPr>
        <w:t xml:space="preserve"> Edition</w:t>
      </w:r>
      <w:r>
        <w:rPr>
          <w:rFonts w:ascii="Times New Roman" w:eastAsia="Arial" w:hAnsi="Times New Roman"/>
          <w:color w:val="000000"/>
          <w:sz w:val="24"/>
          <w:szCs w:val="24"/>
          <w:lang w:eastAsia="ja-JP"/>
        </w:rPr>
        <w:t>.</w:t>
      </w:r>
    </w:p>
    <w:p w14:paraId="2BAA1446" w14:textId="77777777" w:rsidR="00366492" w:rsidRPr="00880231" w:rsidRDefault="00366492" w:rsidP="00C4248A">
      <w:pPr>
        <w:pStyle w:val="Body"/>
        <w:tabs>
          <w:tab w:val="clear" w:pos="360"/>
        </w:tabs>
        <w:spacing w:line="276" w:lineRule="auto"/>
        <w:ind w:left="567" w:hanging="567"/>
        <w:jc w:val="both"/>
        <w:rPr>
          <w:lang w:val="en-GB"/>
        </w:rPr>
      </w:pPr>
    </w:p>
    <w:sectPr w:rsidR="00366492" w:rsidRPr="00880231" w:rsidSect="00E01461">
      <w:footerReference w:type="even" r:id="rId12"/>
      <w:footerReference w:type="default" r:id="rId13"/>
      <w:pgSz w:w="11906" w:h="16838"/>
      <w:pgMar w:top="1134" w:right="1274" w:bottom="156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B1F67" w14:textId="77777777" w:rsidR="00A54151" w:rsidRDefault="00A54151">
      <w:r>
        <w:separator/>
      </w:r>
    </w:p>
  </w:endnote>
  <w:endnote w:type="continuationSeparator" w:id="0">
    <w:p w14:paraId="6CA3FB4A" w14:textId="77777777" w:rsidR="00A54151" w:rsidRDefault="00A54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CA7AD" w14:textId="77777777" w:rsidR="00D03815" w:rsidRDefault="00D03815" w:rsidP="00BA21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1959A3" w14:textId="77777777" w:rsidR="00D03815" w:rsidRDefault="00D03815" w:rsidP="00D038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2F928" w14:textId="6EFB8290" w:rsidR="00E01461" w:rsidRPr="00E01461" w:rsidRDefault="00E01461">
    <w:pPr>
      <w:pStyle w:val="Footer"/>
      <w:jc w:val="center"/>
      <w:rPr>
        <w:rFonts w:ascii="Arial" w:hAnsi="Arial" w:cs="Arial"/>
        <w:sz w:val="20"/>
        <w:szCs w:val="20"/>
      </w:rPr>
    </w:pPr>
    <w:r w:rsidRPr="00E01461">
      <w:rPr>
        <w:rFonts w:ascii="Arial" w:hAnsi="Arial" w:cs="Arial"/>
        <w:sz w:val="20"/>
        <w:szCs w:val="20"/>
      </w:rPr>
      <w:fldChar w:fldCharType="begin"/>
    </w:r>
    <w:r w:rsidRPr="00E01461">
      <w:rPr>
        <w:rFonts w:ascii="Arial" w:hAnsi="Arial" w:cs="Arial"/>
        <w:sz w:val="20"/>
        <w:szCs w:val="20"/>
      </w:rPr>
      <w:instrText>PAGE   \* MERGEFORMAT</w:instrText>
    </w:r>
    <w:r w:rsidRPr="00E01461">
      <w:rPr>
        <w:rFonts w:ascii="Arial" w:hAnsi="Arial" w:cs="Arial"/>
        <w:sz w:val="20"/>
        <w:szCs w:val="20"/>
      </w:rPr>
      <w:fldChar w:fldCharType="separate"/>
    </w:r>
    <w:r w:rsidR="00A60A73" w:rsidRPr="00A60A73">
      <w:rPr>
        <w:rFonts w:ascii="Arial" w:hAnsi="Arial" w:cs="Arial"/>
        <w:noProof/>
        <w:sz w:val="20"/>
        <w:szCs w:val="20"/>
        <w:lang w:val="de-DE"/>
      </w:rPr>
      <w:t>6</w:t>
    </w:r>
    <w:r w:rsidRPr="00E01461">
      <w:rPr>
        <w:rFonts w:ascii="Arial" w:hAnsi="Arial" w:cs="Arial"/>
        <w:sz w:val="20"/>
        <w:szCs w:val="20"/>
      </w:rPr>
      <w:fldChar w:fldCharType="end"/>
    </w:r>
  </w:p>
  <w:p w14:paraId="19DD62F4" w14:textId="77777777" w:rsidR="00D03815" w:rsidRDefault="00D03815" w:rsidP="0084326A">
    <w:pPr>
      <w:pStyle w:val="Footer"/>
      <w:ind w:right="36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D833A" w14:textId="77777777" w:rsidR="00A54151" w:rsidRDefault="00A54151">
      <w:r>
        <w:separator/>
      </w:r>
    </w:p>
  </w:footnote>
  <w:footnote w:type="continuationSeparator" w:id="0">
    <w:p w14:paraId="4B146DAD" w14:textId="77777777" w:rsidR="00A54151" w:rsidRDefault="00A541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3173F"/>
    <w:multiLevelType w:val="hybridMultilevel"/>
    <w:tmpl w:val="012C2E10"/>
    <w:lvl w:ilvl="0" w:tplc="7218703A">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6D655F4"/>
    <w:multiLevelType w:val="hybridMultilevel"/>
    <w:tmpl w:val="582C2A0E"/>
    <w:lvl w:ilvl="0" w:tplc="9ABCA9EC">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A20BB"/>
    <w:multiLevelType w:val="hybridMultilevel"/>
    <w:tmpl w:val="B7828DB4"/>
    <w:lvl w:ilvl="0" w:tplc="E75A1AF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0F4BC1"/>
    <w:multiLevelType w:val="singleLevel"/>
    <w:tmpl w:val="151AEF70"/>
    <w:lvl w:ilvl="0">
      <w:start w:val="1"/>
      <w:numFmt w:val="decimal"/>
      <w:lvlText w:val="%1."/>
      <w:lvlJc w:val="left"/>
      <w:pPr>
        <w:tabs>
          <w:tab w:val="num" w:pos="360"/>
        </w:tabs>
        <w:ind w:left="360" w:hanging="360"/>
      </w:pPr>
      <w:rPr>
        <w:rFonts w:cs="Times New Roman" w:hint="default"/>
        <w:b/>
      </w:rPr>
    </w:lvl>
  </w:abstractNum>
  <w:abstractNum w:abstractNumId="4" w15:restartNumberingAfterBreak="0">
    <w:nsid w:val="359C6BB7"/>
    <w:multiLevelType w:val="hybridMultilevel"/>
    <w:tmpl w:val="42A66FD6"/>
    <w:lvl w:ilvl="0" w:tplc="0407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1039E9"/>
    <w:multiLevelType w:val="hybridMultilevel"/>
    <w:tmpl w:val="DB88A4F8"/>
    <w:lvl w:ilvl="0" w:tplc="8D56C5A6">
      <w:start w:val="1"/>
      <w:numFmt w:val="decimal"/>
      <w:lvlText w:val="%1."/>
      <w:lvlJc w:val="left"/>
      <w:pPr>
        <w:tabs>
          <w:tab w:val="num" w:pos="360"/>
        </w:tabs>
        <w:ind w:left="360" w:hanging="360"/>
      </w:pPr>
      <w:rPr>
        <w:rFonts w:cs="Times New Roman" w:hint="default"/>
        <w:b/>
      </w:rPr>
    </w:lvl>
    <w:lvl w:ilvl="1" w:tplc="213C59BC" w:tentative="1">
      <w:start w:val="1"/>
      <w:numFmt w:val="lowerLetter"/>
      <w:lvlText w:val="%2."/>
      <w:lvlJc w:val="left"/>
      <w:pPr>
        <w:ind w:left="1440" w:hanging="360"/>
      </w:pPr>
    </w:lvl>
    <w:lvl w:ilvl="2" w:tplc="19124B5C" w:tentative="1">
      <w:start w:val="1"/>
      <w:numFmt w:val="lowerRoman"/>
      <w:lvlText w:val="%3."/>
      <w:lvlJc w:val="right"/>
      <w:pPr>
        <w:ind w:left="2160" w:hanging="180"/>
      </w:pPr>
    </w:lvl>
    <w:lvl w:ilvl="3" w:tplc="8904D694" w:tentative="1">
      <w:start w:val="1"/>
      <w:numFmt w:val="decimal"/>
      <w:lvlText w:val="%4."/>
      <w:lvlJc w:val="left"/>
      <w:pPr>
        <w:ind w:left="2880" w:hanging="360"/>
      </w:pPr>
    </w:lvl>
    <w:lvl w:ilvl="4" w:tplc="6F84B8F8" w:tentative="1">
      <w:start w:val="1"/>
      <w:numFmt w:val="lowerLetter"/>
      <w:lvlText w:val="%5."/>
      <w:lvlJc w:val="left"/>
      <w:pPr>
        <w:ind w:left="3600" w:hanging="360"/>
      </w:pPr>
    </w:lvl>
    <w:lvl w:ilvl="5" w:tplc="B38EC7BC" w:tentative="1">
      <w:start w:val="1"/>
      <w:numFmt w:val="lowerRoman"/>
      <w:lvlText w:val="%6."/>
      <w:lvlJc w:val="right"/>
      <w:pPr>
        <w:ind w:left="4320" w:hanging="180"/>
      </w:pPr>
    </w:lvl>
    <w:lvl w:ilvl="6" w:tplc="34B0932C" w:tentative="1">
      <w:start w:val="1"/>
      <w:numFmt w:val="decimal"/>
      <w:lvlText w:val="%7."/>
      <w:lvlJc w:val="left"/>
      <w:pPr>
        <w:ind w:left="5040" w:hanging="360"/>
      </w:pPr>
    </w:lvl>
    <w:lvl w:ilvl="7" w:tplc="772E83C4" w:tentative="1">
      <w:start w:val="1"/>
      <w:numFmt w:val="lowerLetter"/>
      <w:lvlText w:val="%8."/>
      <w:lvlJc w:val="left"/>
      <w:pPr>
        <w:ind w:left="5760" w:hanging="360"/>
      </w:pPr>
    </w:lvl>
    <w:lvl w:ilvl="8" w:tplc="8EC80570" w:tentative="1">
      <w:start w:val="1"/>
      <w:numFmt w:val="lowerRoman"/>
      <w:lvlText w:val="%9."/>
      <w:lvlJc w:val="right"/>
      <w:pPr>
        <w:ind w:left="6480" w:hanging="180"/>
      </w:pPr>
    </w:lvl>
  </w:abstractNum>
  <w:abstractNum w:abstractNumId="6" w15:restartNumberingAfterBreak="0">
    <w:nsid w:val="59C105FF"/>
    <w:multiLevelType w:val="hybridMultilevel"/>
    <w:tmpl w:val="5E6CB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6"/>
  </w:num>
  <w:num w:numId="5">
    <w:abstractNumId w:val="4"/>
  </w:num>
  <w:num w:numId="6">
    <w:abstractNumId w:val="3"/>
  </w:num>
  <w:num w:numId="7">
    <w:abstractNumId w:val="3"/>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1E4"/>
    <w:rsid w:val="00004CE6"/>
    <w:rsid w:val="00013E33"/>
    <w:rsid w:val="00045145"/>
    <w:rsid w:val="00054225"/>
    <w:rsid w:val="00063141"/>
    <w:rsid w:val="00080B82"/>
    <w:rsid w:val="00097F6D"/>
    <w:rsid w:val="000A03A3"/>
    <w:rsid w:val="000B18F6"/>
    <w:rsid w:val="000C1F77"/>
    <w:rsid w:val="000C722A"/>
    <w:rsid w:val="000E0EE2"/>
    <w:rsid w:val="000E3488"/>
    <w:rsid w:val="000F2462"/>
    <w:rsid w:val="00136BBC"/>
    <w:rsid w:val="00183D2F"/>
    <w:rsid w:val="00190A94"/>
    <w:rsid w:val="00191927"/>
    <w:rsid w:val="001954CB"/>
    <w:rsid w:val="001F63BB"/>
    <w:rsid w:val="00203CF0"/>
    <w:rsid w:val="00220674"/>
    <w:rsid w:val="0023035D"/>
    <w:rsid w:val="00244AF5"/>
    <w:rsid w:val="00250E33"/>
    <w:rsid w:val="002621B9"/>
    <w:rsid w:val="002720C3"/>
    <w:rsid w:val="00291BAC"/>
    <w:rsid w:val="002936A7"/>
    <w:rsid w:val="002E6F1E"/>
    <w:rsid w:val="003102A8"/>
    <w:rsid w:val="00323EBD"/>
    <w:rsid w:val="003332F2"/>
    <w:rsid w:val="00366492"/>
    <w:rsid w:val="00384EC3"/>
    <w:rsid w:val="003B1615"/>
    <w:rsid w:val="003C691D"/>
    <w:rsid w:val="003F061C"/>
    <w:rsid w:val="004402C0"/>
    <w:rsid w:val="0044422A"/>
    <w:rsid w:val="00447A13"/>
    <w:rsid w:val="004761EC"/>
    <w:rsid w:val="004805CA"/>
    <w:rsid w:val="00491D19"/>
    <w:rsid w:val="0049347A"/>
    <w:rsid w:val="00496B86"/>
    <w:rsid w:val="004A389A"/>
    <w:rsid w:val="004B2E14"/>
    <w:rsid w:val="004B66C7"/>
    <w:rsid w:val="004C21E4"/>
    <w:rsid w:val="004D03AD"/>
    <w:rsid w:val="004D1095"/>
    <w:rsid w:val="005001FE"/>
    <w:rsid w:val="00506865"/>
    <w:rsid w:val="00511905"/>
    <w:rsid w:val="00523109"/>
    <w:rsid w:val="00536846"/>
    <w:rsid w:val="0054193C"/>
    <w:rsid w:val="00551671"/>
    <w:rsid w:val="0055458B"/>
    <w:rsid w:val="0058678E"/>
    <w:rsid w:val="00596EDD"/>
    <w:rsid w:val="005B1FEB"/>
    <w:rsid w:val="005D4604"/>
    <w:rsid w:val="005D6218"/>
    <w:rsid w:val="005E361E"/>
    <w:rsid w:val="005E38C7"/>
    <w:rsid w:val="005F354C"/>
    <w:rsid w:val="006029E1"/>
    <w:rsid w:val="006215DF"/>
    <w:rsid w:val="00635FC9"/>
    <w:rsid w:val="00646276"/>
    <w:rsid w:val="00647E4B"/>
    <w:rsid w:val="006615E9"/>
    <w:rsid w:val="00676383"/>
    <w:rsid w:val="006861E5"/>
    <w:rsid w:val="00694D79"/>
    <w:rsid w:val="006A1B22"/>
    <w:rsid w:val="006A6659"/>
    <w:rsid w:val="006B29F3"/>
    <w:rsid w:val="006D4EAC"/>
    <w:rsid w:val="006E4D39"/>
    <w:rsid w:val="006F5516"/>
    <w:rsid w:val="00736D79"/>
    <w:rsid w:val="0074078F"/>
    <w:rsid w:val="00742B05"/>
    <w:rsid w:val="00743359"/>
    <w:rsid w:val="00743F40"/>
    <w:rsid w:val="00760B18"/>
    <w:rsid w:val="007814CB"/>
    <w:rsid w:val="00782669"/>
    <w:rsid w:val="00792AAE"/>
    <w:rsid w:val="007C6C5D"/>
    <w:rsid w:val="007D3481"/>
    <w:rsid w:val="007E57A9"/>
    <w:rsid w:val="007E6236"/>
    <w:rsid w:val="00803108"/>
    <w:rsid w:val="008053FE"/>
    <w:rsid w:val="00805BBE"/>
    <w:rsid w:val="00814C62"/>
    <w:rsid w:val="0084326A"/>
    <w:rsid w:val="00861D8F"/>
    <w:rsid w:val="00862CB0"/>
    <w:rsid w:val="00871894"/>
    <w:rsid w:val="00880231"/>
    <w:rsid w:val="00885AA9"/>
    <w:rsid w:val="00891012"/>
    <w:rsid w:val="008A5A78"/>
    <w:rsid w:val="008B67AF"/>
    <w:rsid w:val="008E143E"/>
    <w:rsid w:val="008E2BD2"/>
    <w:rsid w:val="00905838"/>
    <w:rsid w:val="0090643A"/>
    <w:rsid w:val="00916A24"/>
    <w:rsid w:val="00923205"/>
    <w:rsid w:val="00930A6F"/>
    <w:rsid w:val="00963208"/>
    <w:rsid w:val="0097529A"/>
    <w:rsid w:val="00997F20"/>
    <w:rsid w:val="009B51A4"/>
    <w:rsid w:val="009C2189"/>
    <w:rsid w:val="009D6668"/>
    <w:rsid w:val="00A0616F"/>
    <w:rsid w:val="00A17C88"/>
    <w:rsid w:val="00A54151"/>
    <w:rsid w:val="00A60A73"/>
    <w:rsid w:val="00A7099A"/>
    <w:rsid w:val="00A72B61"/>
    <w:rsid w:val="00A84745"/>
    <w:rsid w:val="00A92218"/>
    <w:rsid w:val="00AC17E9"/>
    <w:rsid w:val="00AE15B6"/>
    <w:rsid w:val="00AE5ABE"/>
    <w:rsid w:val="00AE5F42"/>
    <w:rsid w:val="00AF35E7"/>
    <w:rsid w:val="00AF6119"/>
    <w:rsid w:val="00AF6DD6"/>
    <w:rsid w:val="00B00075"/>
    <w:rsid w:val="00B07942"/>
    <w:rsid w:val="00B10038"/>
    <w:rsid w:val="00B35472"/>
    <w:rsid w:val="00B440FC"/>
    <w:rsid w:val="00BA2195"/>
    <w:rsid w:val="00BD1D12"/>
    <w:rsid w:val="00BD5C3A"/>
    <w:rsid w:val="00C020BD"/>
    <w:rsid w:val="00C0234A"/>
    <w:rsid w:val="00C23876"/>
    <w:rsid w:val="00C26D80"/>
    <w:rsid w:val="00C4248A"/>
    <w:rsid w:val="00C54AE0"/>
    <w:rsid w:val="00C64CDA"/>
    <w:rsid w:val="00C80ECD"/>
    <w:rsid w:val="00C826BA"/>
    <w:rsid w:val="00C83D3B"/>
    <w:rsid w:val="00CB7638"/>
    <w:rsid w:val="00CE4837"/>
    <w:rsid w:val="00CF11AD"/>
    <w:rsid w:val="00D03815"/>
    <w:rsid w:val="00D1495A"/>
    <w:rsid w:val="00D42A13"/>
    <w:rsid w:val="00D54B08"/>
    <w:rsid w:val="00D602C6"/>
    <w:rsid w:val="00D67495"/>
    <w:rsid w:val="00D735A6"/>
    <w:rsid w:val="00D82502"/>
    <w:rsid w:val="00DB3254"/>
    <w:rsid w:val="00E01461"/>
    <w:rsid w:val="00E10C7E"/>
    <w:rsid w:val="00E1583F"/>
    <w:rsid w:val="00E3019A"/>
    <w:rsid w:val="00E3085C"/>
    <w:rsid w:val="00E62169"/>
    <w:rsid w:val="00E65A23"/>
    <w:rsid w:val="00E770D8"/>
    <w:rsid w:val="00EB1D64"/>
    <w:rsid w:val="00EC55CE"/>
    <w:rsid w:val="00ED07B4"/>
    <w:rsid w:val="00EF4FA9"/>
    <w:rsid w:val="00F04A07"/>
    <w:rsid w:val="00F142B6"/>
    <w:rsid w:val="00F50DA7"/>
    <w:rsid w:val="00F555C0"/>
    <w:rsid w:val="00F87E52"/>
    <w:rsid w:val="00FC0075"/>
    <w:rsid w:val="00FD2CEF"/>
    <w:rsid w:val="00FD2DE7"/>
    <w:rsid w:val="00FF07A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03C04CBC"/>
  <w15:chartTrackingRefBased/>
  <w15:docId w15:val="{C7CCEAE0-1C98-41B3-A588-28E0D049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ru-RU" w:eastAsia="ru-RU"/>
    </w:rPr>
  </w:style>
  <w:style w:type="paragraph" w:styleId="Heading3">
    <w:name w:val="heading 3"/>
    <w:basedOn w:val="Normal"/>
    <w:next w:val="Normal"/>
    <w:link w:val="Heading3Char"/>
    <w:qFormat/>
    <w:rsid w:val="006B29F3"/>
    <w:pPr>
      <w:keepNext/>
      <w:spacing w:before="240" w:after="120"/>
      <w:outlineLvl w:val="2"/>
    </w:pPr>
    <w:rPr>
      <w:rFonts w:ascii="Arial" w:hAnsi="Arial"/>
      <w:b/>
      <w:sz w:val="26"/>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locked/>
    <w:rsid w:val="006B29F3"/>
    <w:rPr>
      <w:rFonts w:ascii="Arial" w:hAnsi="Arial"/>
      <w:b/>
      <w:sz w:val="26"/>
      <w:lang w:val="en-US" w:eastAsia="en-US" w:bidi="ar-SA"/>
    </w:rPr>
  </w:style>
  <w:style w:type="paragraph" w:customStyle="1" w:styleId="Body">
    <w:name w:val="Body"/>
    <w:basedOn w:val="Normal"/>
    <w:link w:val="BodyChar"/>
    <w:uiPriority w:val="99"/>
    <w:qFormat/>
    <w:rsid w:val="006B29F3"/>
    <w:pPr>
      <w:tabs>
        <w:tab w:val="num" w:pos="360"/>
      </w:tabs>
      <w:spacing w:before="120" w:after="120"/>
      <w:ind w:left="360" w:hanging="360"/>
    </w:pPr>
    <w:rPr>
      <w:rFonts w:ascii="Arial" w:hAnsi="Arial"/>
      <w:sz w:val="22"/>
      <w:szCs w:val="20"/>
      <w:lang w:val="en-US" w:eastAsia="en-US"/>
    </w:rPr>
  </w:style>
  <w:style w:type="paragraph" w:customStyle="1" w:styleId="BodyNumbered">
    <w:name w:val="Body Numbered"/>
    <w:basedOn w:val="Normal"/>
    <w:link w:val="BodyNumberedChar"/>
    <w:rsid w:val="006B29F3"/>
    <w:pPr>
      <w:tabs>
        <w:tab w:val="num" w:pos="360"/>
      </w:tabs>
      <w:spacing w:before="120" w:after="120"/>
      <w:ind w:left="360" w:hanging="360"/>
    </w:pPr>
    <w:rPr>
      <w:rFonts w:ascii="Arial" w:hAnsi="Arial"/>
      <w:sz w:val="22"/>
      <w:szCs w:val="20"/>
      <w:lang w:val="en-US" w:eastAsia="en-US"/>
    </w:rPr>
  </w:style>
  <w:style w:type="character" w:customStyle="1" w:styleId="BodyChar">
    <w:name w:val="Body Char"/>
    <w:link w:val="Body"/>
    <w:uiPriority w:val="99"/>
    <w:locked/>
    <w:rsid w:val="006B29F3"/>
    <w:rPr>
      <w:rFonts w:ascii="Arial" w:hAnsi="Arial"/>
      <w:sz w:val="22"/>
      <w:lang w:val="en-US" w:eastAsia="en-US" w:bidi="ar-SA"/>
    </w:rPr>
  </w:style>
  <w:style w:type="character" w:customStyle="1" w:styleId="BodyNumberedChar">
    <w:name w:val="Body Numbered Char"/>
    <w:link w:val="BodyNumbered"/>
    <w:locked/>
    <w:rsid w:val="006B29F3"/>
    <w:rPr>
      <w:rFonts w:ascii="Arial" w:hAnsi="Arial"/>
      <w:sz w:val="22"/>
      <w:lang w:val="en-US" w:eastAsia="en-US" w:bidi="ar-SA"/>
    </w:rPr>
  </w:style>
  <w:style w:type="paragraph" w:customStyle="1" w:styleId="a">
    <w:name w:val="Знак Знак"/>
    <w:basedOn w:val="Normal"/>
    <w:rsid w:val="00861D8F"/>
    <w:pPr>
      <w:suppressAutoHyphens/>
      <w:spacing w:line="288" w:lineRule="auto"/>
      <w:jc w:val="both"/>
    </w:pPr>
    <w:rPr>
      <w:rFonts w:ascii="Verdana" w:hAnsi="Verdana" w:cs="Verdana"/>
      <w:sz w:val="20"/>
      <w:szCs w:val="20"/>
      <w:lang w:val="en-US" w:eastAsia="en-US"/>
    </w:rPr>
  </w:style>
  <w:style w:type="character" w:styleId="CommentReference">
    <w:name w:val="annotation reference"/>
    <w:rsid w:val="00694D79"/>
    <w:rPr>
      <w:rFonts w:cs="Times New Roman"/>
      <w:sz w:val="16"/>
      <w:szCs w:val="16"/>
    </w:rPr>
  </w:style>
  <w:style w:type="paragraph" w:styleId="CommentText">
    <w:name w:val="annotation text"/>
    <w:basedOn w:val="Normal"/>
    <w:link w:val="CommentTextChar"/>
    <w:rsid w:val="00694D79"/>
    <w:rPr>
      <w:rFonts w:ascii="Arial" w:hAnsi="Arial"/>
      <w:sz w:val="20"/>
      <w:szCs w:val="20"/>
      <w:lang w:val="x-none" w:eastAsia="x-none"/>
    </w:rPr>
  </w:style>
  <w:style w:type="character" w:customStyle="1" w:styleId="CommentTextChar">
    <w:name w:val="Comment Text Char"/>
    <w:link w:val="CommentText"/>
    <w:locked/>
    <w:rsid w:val="00694D79"/>
    <w:rPr>
      <w:rFonts w:ascii="Arial" w:hAnsi="Arial"/>
      <w:lang w:val="x-none" w:eastAsia="x-none" w:bidi="ar-SA"/>
    </w:rPr>
  </w:style>
  <w:style w:type="paragraph" w:customStyle="1" w:styleId="1">
    <w:name w:val="Знак1 Знак Знак Знак"/>
    <w:basedOn w:val="Normal"/>
    <w:rsid w:val="00694D79"/>
    <w:pPr>
      <w:suppressAutoHyphens/>
      <w:spacing w:line="288" w:lineRule="auto"/>
      <w:jc w:val="both"/>
    </w:pPr>
    <w:rPr>
      <w:rFonts w:ascii="Verdana" w:hAnsi="Verdana" w:cs="Verdana"/>
      <w:sz w:val="20"/>
      <w:szCs w:val="20"/>
      <w:lang w:val="en-US" w:eastAsia="en-US"/>
    </w:rPr>
  </w:style>
  <w:style w:type="paragraph" w:styleId="BalloonText">
    <w:name w:val="Balloon Text"/>
    <w:basedOn w:val="Normal"/>
    <w:semiHidden/>
    <w:rsid w:val="00694D79"/>
    <w:rPr>
      <w:rFonts w:ascii="Tahoma" w:hAnsi="Tahoma" w:cs="Tahoma"/>
      <w:sz w:val="16"/>
      <w:szCs w:val="16"/>
    </w:rPr>
  </w:style>
  <w:style w:type="paragraph" w:customStyle="1" w:styleId="References">
    <w:name w:val="References"/>
    <w:basedOn w:val="Normal"/>
    <w:rsid w:val="00D602C6"/>
    <w:pPr>
      <w:spacing w:before="120" w:after="120"/>
      <w:ind w:left="346" w:hanging="346"/>
    </w:pPr>
    <w:rPr>
      <w:rFonts w:ascii="Arial" w:hAnsi="Arial" w:cs="Arial"/>
      <w:sz w:val="22"/>
      <w:szCs w:val="20"/>
      <w:lang w:val="en-US" w:eastAsia="en-US"/>
    </w:rPr>
  </w:style>
  <w:style w:type="paragraph" w:styleId="Footer">
    <w:name w:val="footer"/>
    <w:basedOn w:val="Normal"/>
    <w:link w:val="FooterChar"/>
    <w:uiPriority w:val="99"/>
    <w:rsid w:val="00D03815"/>
    <w:pPr>
      <w:tabs>
        <w:tab w:val="center" w:pos="4677"/>
        <w:tab w:val="right" w:pos="9355"/>
      </w:tabs>
    </w:pPr>
  </w:style>
  <w:style w:type="character" w:styleId="PageNumber">
    <w:name w:val="page number"/>
    <w:basedOn w:val="DefaultParagraphFont"/>
    <w:rsid w:val="00D03815"/>
  </w:style>
  <w:style w:type="paragraph" w:styleId="CommentSubject">
    <w:name w:val="annotation subject"/>
    <w:basedOn w:val="CommentText"/>
    <w:next w:val="CommentText"/>
    <w:link w:val="CommentSubjectChar"/>
    <w:rsid w:val="006D4EAC"/>
    <w:rPr>
      <w:rFonts w:ascii="Times New Roman" w:hAnsi="Times New Roman"/>
      <w:b/>
      <w:bCs/>
      <w:lang w:val="ru-RU" w:eastAsia="ru-RU"/>
    </w:rPr>
  </w:style>
  <w:style w:type="character" w:customStyle="1" w:styleId="CommentSubjectChar">
    <w:name w:val="Comment Subject Char"/>
    <w:link w:val="CommentSubject"/>
    <w:rsid w:val="006D4EAC"/>
    <w:rPr>
      <w:rFonts w:ascii="Arial" w:hAnsi="Arial"/>
      <w:b/>
      <w:bCs/>
      <w:lang w:val="ru-RU" w:eastAsia="ru-RU" w:bidi="ar-SA"/>
    </w:rPr>
  </w:style>
  <w:style w:type="paragraph" w:styleId="Header">
    <w:name w:val="header"/>
    <w:basedOn w:val="Normal"/>
    <w:link w:val="HeaderChar"/>
    <w:rsid w:val="0084326A"/>
    <w:pPr>
      <w:tabs>
        <w:tab w:val="center" w:pos="4536"/>
        <w:tab w:val="right" w:pos="9072"/>
      </w:tabs>
    </w:pPr>
  </w:style>
  <w:style w:type="character" w:customStyle="1" w:styleId="HeaderChar">
    <w:name w:val="Header Char"/>
    <w:link w:val="Header"/>
    <w:rsid w:val="0084326A"/>
    <w:rPr>
      <w:sz w:val="24"/>
      <w:szCs w:val="24"/>
      <w:lang w:val="ru-RU" w:eastAsia="ru-RU"/>
    </w:rPr>
  </w:style>
  <w:style w:type="paragraph" w:styleId="ListParagraph">
    <w:name w:val="List Paragraph"/>
    <w:basedOn w:val="Normal"/>
    <w:uiPriority w:val="34"/>
    <w:qFormat/>
    <w:rsid w:val="005001FE"/>
    <w:pPr>
      <w:spacing w:before="120" w:after="120"/>
      <w:ind w:left="720"/>
      <w:contextualSpacing/>
      <w:jc w:val="both"/>
    </w:pPr>
    <w:rPr>
      <w:rFonts w:ascii="Calibri" w:eastAsia="Malgun Gothic" w:hAnsi="Calibri"/>
      <w:sz w:val="22"/>
      <w:szCs w:val="22"/>
      <w:lang w:val="es-AR" w:eastAsia="en-US"/>
    </w:rPr>
  </w:style>
  <w:style w:type="paragraph" w:customStyle="1" w:styleId="Default">
    <w:name w:val="Default"/>
    <w:rsid w:val="00635FC9"/>
    <w:pPr>
      <w:autoSpaceDE w:val="0"/>
      <w:autoSpaceDN w:val="0"/>
      <w:adjustRightInd w:val="0"/>
    </w:pPr>
    <w:rPr>
      <w:rFonts w:ascii="Arial" w:eastAsia="MS Mincho" w:hAnsi="Arial" w:cs="Arial"/>
      <w:color w:val="000000"/>
      <w:sz w:val="24"/>
      <w:szCs w:val="24"/>
      <w:lang w:val="en-US" w:eastAsia="en-US"/>
    </w:rPr>
  </w:style>
  <w:style w:type="paragraph" w:styleId="Revision">
    <w:name w:val="Revision"/>
    <w:hidden/>
    <w:uiPriority w:val="99"/>
    <w:semiHidden/>
    <w:rsid w:val="00E01461"/>
    <w:rPr>
      <w:sz w:val="24"/>
      <w:szCs w:val="24"/>
      <w:lang w:val="ru-RU" w:eastAsia="ru-RU"/>
    </w:rPr>
  </w:style>
  <w:style w:type="character" w:customStyle="1" w:styleId="FooterChar">
    <w:name w:val="Footer Char"/>
    <w:link w:val="Footer"/>
    <w:uiPriority w:val="99"/>
    <w:rsid w:val="00E01461"/>
    <w:rPr>
      <w:sz w:val="24"/>
      <w:szCs w:val="24"/>
      <w:lang w:val="ru-RU" w:eastAsia="ru-RU"/>
    </w:rPr>
  </w:style>
  <w:style w:type="paragraph" w:styleId="Caption">
    <w:name w:val="caption"/>
    <w:basedOn w:val="Normal"/>
    <w:next w:val="Normal"/>
    <w:qFormat/>
    <w:rsid w:val="00916A24"/>
    <w:pPr>
      <w:tabs>
        <w:tab w:val="left" w:pos="0"/>
        <w:tab w:val="left" w:pos="720"/>
        <w:tab w:val="left" w:pos="1440"/>
        <w:tab w:val="left" w:pos="2160"/>
        <w:tab w:val="left" w:pos="3150"/>
        <w:tab w:val="left" w:pos="4320"/>
      </w:tabs>
      <w:spacing w:before="120" w:after="120"/>
      <w:jc w:val="center"/>
    </w:pPr>
    <w:rPr>
      <w:szCs w:val="20"/>
      <w:lang w:val="en-GB"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84954">
      <w:bodyDiv w:val="1"/>
      <w:marLeft w:val="0"/>
      <w:marRight w:val="0"/>
      <w:marTop w:val="0"/>
      <w:marBottom w:val="0"/>
      <w:divBdr>
        <w:top w:val="none" w:sz="0" w:space="0" w:color="auto"/>
        <w:left w:val="none" w:sz="0" w:space="0" w:color="auto"/>
        <w:bottom w:val="none" w:sz="0" w:space="0" w:color="auto"/>
        <w:right w:val="none" w:sz="0" w:space="0" w:color="auto"/>
      </w:divBdr>
    </w:div>
    <w:div w:id="749931093">
      <w:bodyDiv w:val="1"/>
      <w:marLeft w:val="0"/>
      <w:marRight w:val="0"/>
      <w:marTop w:val="0"/>
      <w:marBottom w:val="0"/>
      <w:divBdr>
        <w:top w:val="none" w:sz="0" w:space="0" w:color="auto"/>
        <w:left w:val="none" w:sz="0" w:space="0" w:color="auto"/>
        <w:bottom w:val="none" w:sz="0" w:space="0" w:color="auto"/>
        <w:right w:val="none" w:sz="0" w:space="0" w:color="auto"/>
      </w:divBdr>
    </w:div>
    <w:div w:id="1426342371">
      <w:bodyDiv w:val="1"/>
      <w:marLeft w:val="0"/>
      <w:marRight w:val="0"/>
      <w:marTop w:val="0"/>
      <w:marBottom w:val="0"/>
      <w:divBdr>
        <w:top w:val="none" w:sz="0" w:space="0" w:color="auto"/>
        <w:left w:val="none" w:sz="0" w:space="0" w:color="auto"/>
        <w:bottom w:val="none" w:sz="0" w:space="0" w:color="auto"/>
        <w:right w:val="none" w:sz="0" w:space="0" w:color="auto"/>
      </w:divBdr>
    </w:div>
    <w:div w:id="1444306937">
      <w:bodyDiv w:val="1"/>
      <w:marLeft w:val="0"/>
      <w:marRight w:val="0"/>
      <w:marTop w:val="0"/>
      <w:marBottom w:val="0"/>
      <w:divBdr>
        <w:top w:val="none" w:sz="0" w:space="0" w:color="auto"/>
        <w:left w:val="none" w:sz="0" w:space="0" w:color="auto"/>
        <w:bottom w:val="none" w:sz="0" w:space="0" w:color="auto"/>
        <w:right w:val="none" w:sz="0" w:space="0" w:color="auto"/>
      </w:divBdr>
    </w:div>
    <w:div w:id="1494835534">
      <w:bodyDiv w:val="1"/>
      <w:marLeft w:val="0"/>
      <w:marRight w:val="0"/>
      <w:marTop w:val="0"/>
      <w:marBottom w:val="0"/>
      <w:divBdr>
        <w:top w:val="none" w:sz="0" w:space="0" w:color="auto"/>
        <w:left w:val="none" w:sz="0" w:space="0" w:color="auto"/>
        <w:bottom w:val="none" w:sz="0" w:space="0" w:color="auto"/>
        <w:right w:val="none" w:sz="0" w:space="0" w:color="auto"/>
      </w:divBdr>
    </w:div>
    <w:div w:id="19524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Props1.xml><?xml version="1.0" encoding="utf-8"?>
<ds:datastoreItem xmlns:ds="http://schemas.openxmlformats.org/officeDocument/2006/customXml" ds:itemID="{B2B0F007-AB0E-422D-B9E8-CC7D93191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FA825870-A5B6-4574-A9D7-492ABAB3123A}">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B8B208FA-527A-4EF3-AD67-487215A333C1}">
  <ds:schemaRefs>
    <ds:schemaRef ds:uri="http://schemas.microsoft.com/sharepoint/v3/contenttype/forms"/>
  </ds:schemaRefs>
</ds:datastoreItem>
</file>

<file path=customXml/itemProps4.xml><?xml version="1.0" encoding="utf-8"?>
<ds:datastoreItem xmlns:ds="http://schemas.openxmlformats.org/officeDocument/2006/customXml" ds:itemID="{C7B55E15-E87D-43F7-8657-E9FAED9FA417}">
  <ds:schemaRefs>
    <ds:schemaRef ds:uri="http://schemas.microsoft.com/office/2006/metadata/customXs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1595</Words>
  <Characters>9476</Characters>
  <Application>Microsoft Office Word</Application>
  <DocSecurity>0</DocSecurity>
  <Lines>78</Lines>
  <Paragraphs>22</Paragraphs>
  <ScaleCrop>false</ScaleCrop>
  <HeadingPairs>
    <vt:vector size="8" baseType="variant">
      <vt:variant>
        <vt:lpstr>Titel</vt:lpstr>
      </vt:variant>
      <vt:variant>
        <vt:i4>1</vt:i4>
      </vt:variant>
      <vt:variant>
        <vt:lpstr>Title</vt:lpstr>
      </vt:variant>
      <vt:variant>
        <vt:i4>1</vt:i4>
      </vt:variant>
      <vt:variant>
        <vt:lpstr>Cím</vt:lpstr>
      </vt:variant>
      <vt:variant>
        <vt:i4>1</vt:i4>
      </vt:variant>
      <vt:variant>
        <vt:lpstr>Название</vt:lpstr>
      </vt:variant>
      <vt:variant>
        <vt:i4>1</vt:i4>
      </vt:variant>
    </vt:vector>
  </HeadingPairs>
  <TitlesOfParts>
    <vt:vector size="4" baseType="lpstr">
      <vt:lpstr>AMP_WWER REACTOR COOLANT PIPING</vt:lpstr>
      <vt:lpstr>AMP_WWER REACTOR COOLANT PIPING</vt:lpstr>
      <vt:lpstr>AMP_WWER REACTOR COOLANT PIPING</vt:lpstr>
      <vt:lpstr>AMP_WWER REACTOR COOLANT PIPING</vt:lpstr>
    </vt:vector>
  </TitlesOfParts>
  <Company>Rovno NPP</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AMP_WWER REACTOR COOLANT PIPING</dc:title>
  <dc:subject/>
  <dc:creator>KazOI</dc:creator>
  <cp:keywords/>
  <cp:lastModifiedBy>KRIVANEK, Robert</cp:lastModifiedBy>
  <cp:revision>4</cp:revision>
  <dcterms:created xsi:type="dcterms:W3CDTF">2020-12-22T17:04:00Z</dcterms:created>
  <dcterms:modified xsi:type="dcterms:W3CDTF">2020-12-30T10:51:00Z</dcterms:modified>
</cp:coreProperties>
</file>