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AC85C" w14:textId="5F08F1DB" w:rsidR="00EB7F8B" w:rsidRPr="00EB7F8B" w:rsidRDefault="00EB7F8B" w:rsidP="00C5742D">
      <w:pPr>
        <w:pStyle w:val="IGALLTitle1"/>
        <w:tabs>
          <w:tab w:val="left" w:pos="1134"/>
        </w:tabs>
        <w:ind w:left="1134" w:hanging="1134"/>
      </w:pPr>
      <w:r w:rsidRPr="00EB7F8B">
        <w:t>AMP 202</w:t>
      </w:r>
      <w:r w:rsidR="00E23BCA">
        <w:tab/>
      </w:r>
      <w:r w:rsidRPr="00C5742D">
        <w:rPr>
          <w:kern w:val="24"/>
        </w:rPr>
        <w:t>ELECTRICAL</w:t>
      </w:r>
      <w:r w:rsidRPr="00EB7F8B">
        <w:t xml:space="preserve"> INSULATION FOR ELECTRICAL CABLES AND CONNECTIONS NOT SUBJECT TO ENVIRONMENTAL QUALIFICATION REQUIREMENTS USED IN INSTRUMENTATION CIRCUITS </w:t>
      </w:r>
      <w:r w:rsidR="006B7875">
        <w:t xml:space="preserve">(VERSION </w:t>
      </w:r>
      <w:r w:rsidR="006B7875" w:rsidRPr="00C5742D">
        <w:t>20</w:t>
      </w:r>
      <w:r w:rsidR="00C5742D">
        <w:t>20</w:t>
      </w:r>
      <w:r w:rsidR="006B7875">
        <w:t>)</w:t>
      </w:r>
    </w:p>
    <w:p w14:paraId="08FFB872" w14:textId="77777777" w:rsidR="00EB7F8B" w:rsidRPr="00EB7F8B" w:rsidRDefault="00EB7F8B" w:rsidP="00C5742D">
      <w:pPr>
        <w:pStyle w:val="IGALLTitle2"/>
      </w:pPr>
      <w:r w:rsidRPr="00EB7F8B">
        <w:t>Programme Description</w:t>
      </w:r>
    </w:p>
    <w:p w14:paraId="5553A16A" w14:textId="42A81159" w:rsidR="00EB7F8B" w:rsidRPr="00EB7F8B" w:rsidRDefault="00EB7F8B" w:rsidP="00C5742D">
      <w:pPr>
        <w:rPr>
          <w:kern w:val="0"/>
        </w:rPr>
      </w:pPr>
      <w:r w:rsidRPr="00EB7F8B">
        <w:rPr>
          <w:kern w:val="0"/>
        </w:rPr>
        <w:t>The purpose of this AMP is to provide reasonable assurance that the intended functions of electrical cables and connections (that are not subject to the environmental qualification requirements and are used in instrumentation circuits with sensitive, high</w:t>
      </w:r>
      <w:r w:rsidR="00E23BCA">
        <w:rPr>
          <w:kern w:val="0"/>
        </w:rPr>
        <w:noBreakHyphen/>
      </w:r>
      <w:r w:rsidRPr="00EB7F8B">
        <w:rPr>
          <w:kern w:val="0"/>
        </w:rPr>
        <w:t>voltage, low-level current signals exposed to adverse localized environments caused by temperature, radiation, moisture,</w:t>
      </w:r>
      <w:r w:rsidR="0082771E">
        <w:rPr>
          <w:kern w:val="0"/>
        </w:rPr>
        <w:t xml:space="preserve"> wear,</w:t>
      </w:r>
      <w:r w:rsidRPr="00EB7F8B">
        <w:rPr>
          <w:kern w:val="0"/>
        </w:rPr>
        <w:t xml:space="preserve"> chemical</w:t>
      </w:r>
      <w:r w:rsidR="00895A4B">
        <w:rPr>
          <w:kern w:val="0"/>
        </w:rPr>
        <w:t xml:space="preserve"> or surface</w:t>
      </w:r>
      <w:r w:rsidRPr="00EB7F8B">
        <w:rPr>
          <w:kern w:val="0"/>
        </w:rPr>
        <w:t xml:space="preserve"> contamination)</w:t>
      </w:r>
      <w:r w:rsidRPr="00EB7F8B">
        <w:t xml:space="preserve"> </w:t>
      </w:r>
      <w:r w:rsidR="00E823FA">
        <w:t xml:space="preserve">which </w:t>
      </w:r>
      <w:r w:rsidRPr="00EB7F8B">
        <w:t xml:space="preserve">are susceptible to age-related degradation are adequately age managed </w:t>
      </w:r>
      <w:r w:rsidRPr="00EB7F8B">
        <w:rPr>
          <w:kern w:val="0"/>
          <w:lang w:eastAsia="en-US"/>
        </w:rPr>
        <w:t>[1–9].</w:t>
      </w:r>
    </w:p>
    <w:p w14:paraId="04643B99" w14:textId="4D838F1A" w:rsidR="00EB7F8B" w:rsidRPr="00EB7F8B" w:rsidRDefault="00EB7F8B" w:rsidP="00C5742D">
      <w:pPr>
        <w:rPr>
          <w:kern w:val="0"/>
          <w:lang w:eastAsia="en-US"/>
        </w:rPr>
      </w:pPr>
      <w:r w:rsidRPr="00EB7F8B">
        <w:rPr>
          <w:kern w:val="0"/>
        </w:rPr>
        <w:t xml:space="preserve">In most areas within a nuclear power plant, the actual </w:t>
      </w:r>
      <w:r w:rsidRPr="00EB7F8B">
        <w:rPr>
          <w:kern w:val="0"/>
          <w:lang w:eastAsia="en-US"/>
        </w:rPr>
        <w:t>operating</w:t>
      </w:r>
      <w:r w:rsidRPr="00EB7F8B">
        <w:rPr>
          <w:kern w:val="0"/>
        </w:rPr>
        <w:t xml:space="preserve"> environments (</w:t>
      </w:r>
      <w:r w:rsidR="009A0344">
        <w:rPr>
          <w:kern w:val="0"/>
        </w:rPr>
        <w:t>e.g.</w:t>
      </w:r>
      <w:r w:rsidRPr="00EB7F8B">
        <w:rPr>
          <w:kern w:val="0"/>
        </w:rPr>
        <w:t xml:space="preserve"> temperature, radiation, or </w:t>
      </w:r>
      <w:r w:rsidRPr="00EB7F8B">
        <w:rPr>
          <w:kern w:val="0"/>
          <w:lang w:eastAsia="en-US"/>
        </w:rPr>
        <w:t>moisture</w:t>
      </w:r>
      <w:r w:rsidR="00E823FA">
        <w:rPr>
          <w:kern w:val="0"/>
          <w:lang w:eastAsia="en-US"/>
        </w:rPr>
        <w:t>)</w:t>
      </w:r>
      <w:r w:rsidRPr="00EB7F8B">
        <w:rPr>
          <w:kern w:val="0"/>
          <w:lang w:eastAsia="en-US"/>
        </w:rPr>
        <w:t xml:space="preserve"> are</w:t>
      </w:r>
      <w:r w:rsidRPr="00EB7F8B">
        <w:rPr>
          <w:kern w:val="0"/>
        </w:rPr>
        <w:t xml:space="preserve"> less severe than the plant design environment. However, in a limited number of localized areas, the actual environments may be more severe than the </w:t>
      </w:r>
      <w:r w:rsidRPr="00EB7F8B">
        <w:rPr>
          <w:kern w:val="0"/>
          <w:lang w:eastAsia="en-US"/>
        </w:rPr>
        <w:t xml:space="preserve">anticipated </w:t>
      </w:r>
      <w:r w:rsidRPr="00EB7F8B">
        <w:rPr>
          <w:kern w:val="0"/>
        </w:rPr>
        <w:t>design environment.</w:t>
      </w:r>
      <w:r w:rsidRPr="00EB7F8B">
        <w:t xml:space="preserve"> These localized areas are characterized as </w:t>
      </w:r>
      <w:r w:rsidR="006B7875">
        <w:t>‘</w:t>
      </w:r>
      <w:r w:rsidRPr="00EB7F8B">
        <w:t>adverse localized environments</w:t>
      </w:r>
      <w:r w:rsidR="006B7875">
        <w:t>’</w:t>
      </w:r>
      <w:r w:rsidRPr="00EB7F8B">
        <w:rPr>
          <w:kern w:val="0"/>
          <w:lang w:eastAsia="en-US"/>
        </w:rPr>
        <w:t xml:space="preserve"> that represent</w:t>
      </w:r>
      <w:r w:rsidRPr="00EB7F8B">
        <w:rPr>
          <w:kern w:val="0"/>
        </w:rPr>
        <w:t xml:space="preserve"> a limited plant area </w:t>
      </w:r>
      <w:r w:rsidRPr="00EB7F8B">
        <w:rPr>
          <w:kern w:val="0"/>
          <w:lang w:eastAsia="en-US"/>
        </w:rPr>
        <w:t>where the op</w:t>
      </w:r>
      <w:r w:rsidR="00E23BCA">
        <w:rPr>
          <w:kern w:val="0"/>
          <w:lang w:eastAsia="en-US"/>
        </w:rPr>
        <w:t>e</w:t>
      </w:r>
      <w:r w:rsidRPr="00EB7F8B">
        <w:rPr>
          <w:kern w:val="0"/>
          <w:lang w:eastAsia="en-US"/>
        </w:rPr>
        <w:t xml:space="preserve">rating environment is </w:t>
      </w:r>
      <w:r w:rsidRPr="00EB7F8B">
        <w:rPr>
          <w:kern w:val="0"/>
        </w:rPr>
        <w:t xml:space="preserve">significantly more severe than the </w:t>
      </w:r>
      <w:r w:rsidRPr="00EB7F8B">
        <w:rPr>
          <w:kern w:val="0"/>
          <w:lang w:eastAsia="en-US"/>
        </w:rPr>
        <w:t xml:space="preserve">anticipated </w:t>
      </w:r>
      <w:r w:rsidRPr="00EB7F8B">
        <w:rPr>
          <w:kern w:val="0"/>
        </w:rPr>
        <w:t xml:space="preserve">plant design environment for the cable or connection </w:t>
      </w:r>
      <w:r w:rsidRPr="00EB7F8B">
        <w:rPr>
          <w:kern w:val="0"/>
          <w:lang w:eastAsia="en-US"/>
        </w:rPr>
        <w:t xml:space="preserve">electrical </w:t>
      </w:r>
      <w:r w:rsidRPr="00EB7F8B">
        <w:rPr>
          <w:kern w:val="0"/>
        </w:rPr>
        <w:t>insulation</w:t>
      </w:r>
      <w:r w:rsidRPr="00EB7F8B">
        <w:rPr>
          <w:kern w:val="0"/>
          <w:lang w:eastAsia="en-US"/>
        </w:rPr>
        <w:t>. A discussion</w:t>
      </w:r>
      <w:r w:rsidRPr="00EB7F8B">
        <w:rPr>
          <w:kern w:val="0"/>
        </w:rPr>
        <w:t xml:space="preserve"> of an adverse </w:t>
      </w:r>
      <w:r w:rsidRPr="00EB7F8B">
        <w:rPr>
          <w:kern w:val="0"/>
          <w:lang w:eastAsia="en-US"/>
        </w:rPr>
        <w:t xml:space="preserve">localized environment and methods for identification can be found in AMP 201. </w:t>
      </w:r>
    </w:p>
    <w:p w14:paraId="144F1921" w14:textId="75334834" w:rsidR="00EB7F8B" w:rsidRPr="00733820" w:rsidRDefault="00EB7F8B" w:rsidP="00C5742D">
      <w:pPr>
        <w:rPr>
          <w:color w:val="FF0000"/>
          <w:kern w:val="0"/>
        </w:rPr>
      </w:pPr>
      <w:r w:rsidRPr="00733820">
        <w:rPr>
          <w:color w:val="FF0000"/>
          <w:kern w:val="0"/>
        </w:rPr>
        <w:t xml:space="preserve">Exposure of electrical cable and connection insulation material to stressors of adverse localized environments could lead to </w:t>
      </w:r>
      <w:r w:rsidRPr="00733820">
        <w:rPr>
          <w:color w:val="FF0000"/>
          <w:lang w:val="en-GB"/>
        </w:rPr>
        <w:t>ageing degradation mechanisms such as thermal degradation of organic materials, radiation</w:t>
      </w:r>
      <w:r w:rsidRPr="00733820">
        <w:rPr>
          <w:color w:val="FF0000"/>
          <w:lang w:val="en-GB"/>
        </w:rPr>
        <w:softHyphen/>
      </w:r>
      <w:r w:rsidRPr="00733820">
        <w:rPr>
          <w:color w:val="FF0000"/>
          <w:lang w:val="en-GB"/>
        </w:rPr>
        <w:noBreakHyphen/>
        <w:t xml:space="preserve">induced oxidation, moisture intrusion, </w:t>
      </w:r>
      <w:r w:rsidR="00992521" w:rsidRPr="00733820">
        <w:rPr>
          <w:color w:val="FF0000"/>
          <w:lang w:val="en-GB"/>
        </w:rPr>
        <w:t xml:space="preserve">wear, </w:t>
      </w:r>
      <w:r w:rsidR="00895A4B" w:rsidRPr="00733820">
        <w:rPr>
          <w:color w:val="FF0000"/>
          <w:lang w:val="en-GB"/>
        </w:rPr>
        <w:t>chemical</w:t>
      </w:r>
      <w:r w:rsidR="0082771E" w:rsidRPr="00733820">
        <w:rPr>
          <w:color w:val="FF0000"/>
          <w:lang w:val="en-GB"/>
        </w:rPr>
        <w:t xml:space="preserve"> </w:t>
      </w:r>
      <w:r w:rsidR="0082771E" w:rsidRPr="00733820">
        <w:rPr>
          <w:color w:val="FF0000"/>
        </w:rPr>
        <w:t>(</w:t>
      </w:r>
      <w:r w:rsidR="009A0344" w:rsidRPr="00733820">
        <w:rPr>
          <w:color w:val="FF0000"/>
        </w:rPr>
        <w:t>e.g.</w:t>
      </w:r>
      <w:r w:rsidR="0082771E" w:rsidRPr="00733820">
        <w:rPr>
          <w:color w:val="FF0000"/>
        </w:rPr>
        <w:t xml:space="preserve"> such as leakage of solvents, hydraulic fluid and borates)</w:t>
      </w:r>
      <w:r w:rsidR="00895A4B" w:rsidRPr="00733820">
        <w:rPr>
          <w:color w:val="FF0000"/>
          <w:lang w:val="en-GB"/>
        </w:rPr>
        <w:t xml:space="preserve"> or </w:t>
      </w:r>
      <w:r w:rsidRPr="00733820">
        <w:rPr>
          <w:color w:val="FF0000"/>
          <w:lang w:val="en-GB"/>
        </w:rPr>
        <w:t>surface contamination</w:t>
      </w:r>
      <w:r w:rsidRPr="00733820">
        <w:rPr>
          <w:color w:val="FF0000"/>
        </w:rPr>
        <w:t>, radiolysis and volatilization of plasticizers</w:t>
      </w:r>
      <w:r w:rsidRPr="00733820">
        <w:rPr>
          <w:color w:val="FF0000"/>
          <w:lang w:val="en-GB"/>
        </w:rPr>
        <w:t>.</w:t>
      </w:r>
      <w:r w:rsidRPr="00733820">
        <w:rPr>
          <w:color w:val="FF0000"/>
          <w:kern w:val="0"/>
        </w:rPr>
        <w:t xml:space="preserve"> </w:t>
      </w:r>
      <w:r w:rsidRPr="00733820">
        <w:rPr>
          <w:color w:val="FF0000"/>
          <w:lang w:val="en-GB"/>
        </w:rPr>
        <w:t>These ageing related degradation mechanisms</w:t>
      </w:r>
      <w:r w:rsidRPr="00733820">
        <w:rPr>
          <w:color w:val="FF0000"/>
          <w:kern w:val="0"/>
        </w:rPr>
        <w:t xml:space="preserve"> can result in ageing effects such as reduced insulation resistance (IR</w:t>
      </w:r>
      <w:r w:rsidRPr="00733820">
        <w:rPr>
          <w:color w:val="FF0000"/>
          <w:kern w:val="0"/>
          <w:lang w:eastAsia="en-US"/>
        </w:rPr>
        <w:t>), shield degradation,</w:t>
      </w:r>
      <w:r w:rsidRPr="00733820">
        <w:rPr>
          <w:color w:val="FF0000"/>
          <w:kern w:val="0"/>
        </w:rPr>
        <w:t xml:space="preserve"> or </w:t>
      </w:r>
      <w:r w:rsidRPr="00733820">
        <w:rPr>
          <w:color w:val="FF0000"/>
          <w:kern w:val="0"/>
          <w:lang w:eastAsia="en-US"/>
        </w:rPr>
        <w:t xml:space="preserve">material </w:t>
      </w:r>
      <w:r w:rsidRPr="00733820">
        <w:rPr>
          <w:color w:val="FF0000"/>
          <w:kern w:val="0"/>
        </w:rPr>
        <w:t xml:space="preserve">hardening </w:t>
      </w:r>
      <w:r w:rsidRPr="00733820">
        <w:rPr>
          <w:color w:val="FF0000"/>
          <w:kern w:val="0"/>
          <w:lang w:eastAsia="en-US"/>
        </w:rPr>
        <w:t>or</w:t>
      </w:r>
      <w:r w:rsidRPr="00733820">
        <w:rPr>
          <w:color w:val="FF0000"/>
          <w:kern w:val="0"/>
        </w:rPr>
        <w:t xml:space="preserve"> loss of strength</w:t>
      </w:r>
      <w:r w:rsidRPr="00733820">
        <w:rPr>
          <w:color w:val="FF0000"/>
          <w:kern w:val="0"/>
          <w:lang w:eastAsia="en-US"/>
        </w:rPr>
        <w:t xml:space="preserve"> (e.g. dielectric or </w:t>
      </w:r>
      <w:r w:rsidR="000154BC" w:rsidRPr="00733820">
        <w:rPr>
          <w:color w:val="FF0000"/>
          <w:kern w:val="0"/>
          <w:lang w:eastAsia="en-US"/>
        </w:rPr>
        <w:t>mechanical</w:t>
      </w:r>
      <w:r w:rsidRPr="00733820">
        <w:rPr>
          <w:color w:val="FF0000"/>
          <w:kern w:val="0"/>
          <w:lang w:eastAsia="en-US"/>
        </w:rPr>
        <w:t>).</w:t>
      </w:r>
      <w:r w:rsidRPr="00733820">
        <w:rPr>
          <w:color w:val="FF0000"/>
          <w:kern w:val="0"/>
        </w:rPr>
        <w:t xml:space="preserve"> Reduced IR causes an increase in leakage currents between conductors and from individual conductors to ground. A</w:t>
      </w:r>
      <w:r w:rsidR="000154BC" w:rsidRPr="00733820">
        <w:rPr>
          <w:color w:val="FF0000"/>
          <w:kern w:val="0"/>
        </w:rPr>
        <w:t> </w:t>
      </w:r>
      <w:r w:rsidRPr="00733820">
        <w:rPr>
          <w:color w:val="FF0000"/>
          <w:kern w:val="0"/>
        </w:rPr>
        <w:t>reduction in IR is a</w:t>
      </w:r>
      <w:r w:rsidR="000154BC" w:rsidRPr="00733820">
        <w:rPr>
          <w:color w:val="FF0000"/>
          <w:kern w:val="0"/>
        </w:rPr>
        <w:t> </w:t>
      </w:r>
      <w:r w:rsidRPr="00733820">
        <w:rPr>
          <w:color w:val="FF0000"/>
          <w:kern w:val="0"/>
        </w:rPr>
        <w:t>concern for all circuits, but especially those with sensitive, high</w:t>
      </w:r>
      <w:r w:rsidR="000154BC" w:rsidRPr="00733820">
        <w:rPr>
          <w:color w:val="FF0000"/>
          <w:kern w:val="0"/>
        </w:rPr>
        <w:softHyphen/>
      </w:r>
      <w:r w:rsidR="000154BC" w:rsidRPr="00733820">
        <w:rPr>
          <w:color w:val="FF0000"/>
          <w:kern w:val="0"/>
        </w:rPr>
        <w:noBreakHyphen/>
      </w:r>
      <w:r w:rsidRPr="00733820">
        <w:rPr>
          <w:color w:val="FF0000"/>
          <w:kern w:val="0"/>
        </w:rPr>
        <w:t>voltage, low</w:t>
      </w:r>
      <w:r w:rsidR="000154BC" w:rsidRPr="00733820">
        <w:rPr>
          <w:color w:val="FF0000"/>
          <w:kern w:val="0"/>
        </w:rPr>
        <w:softHyphen/>
      </w:r>
      <w:r w:rsidR="000154BC" w:rsidRPr="00733820">
        <w:rPr>
          <w:color w:val="FF0000"/>
          <w:kern w:val="0"/>
        </w:rPr>
        <w:noBreakHyphen/>
      </w:r>
      <w:r w:rsidRPr="00733820">
        <w:rPr>
          <w:color w:val="FF0000"/>
          <w:kern w:val="0"/>
        </w:rPr>
        <w:t>level current signals, such as radiation monitoring and n</w:t>
      </w:r>
      <w:r w:rsidR="006B7875" w:rsidRPr="00733820">
        <w:rPr>
          <w:color w:val="FF0000"/>
          <w:kern w:val="0"/>
        </w:rPr>
        <w:t>uclear instrumentation circuits</w:t>
      </w:r>
      <w:r w:rsidRPr="00733820">
        <w:rPr>
          <w:color w:val="FF0000"/>
          <w:kern w:val="0"/>
        </w:rPr>
        <w:t xml:space="preserve"> because a</w:t>
      </w:r>
      <w:r w:rsidRPr="00733820">
        <w:rPr>
          <w:color w:val="FF0000"/>
          <w:kern w:val="0"/>
          <w:lang w:eastAsia="en-US"/>
        </w:rPr>
        <w:t> </w:t>
      </w:r>
      <w:r w:rsidRPr="00733820">
        <w:rPr>
          <w:color w:val="FF0000"/>
          <w:kern w:val="0"/>
        </w:rPr>
        <w:t>reduced IR may contribute to signal inaccuracies</w:t>
      </w:r>
      <w:r w:rsidR="009A0344" w:rsidRPr="00733820">
        <w:rPr>
          <w:color w:val="FF0000"/>
          <w:kern w:val="0"/>
        </w:rPr>
        <w:t xml:space="preserve"> </w:t>
      </w:r>
      <w:r w:rsidRPr="00733820">
        <w:rPr>
          <w:color w:val="FF0000"/>
          <w:kern w:val="0"/>
          <w:lang w:eastAsia="en-US"/>
        </w:rPr>
        <w:t>[10].</w:t>
      </w:r>
    </w:p>
    <w:p w14:paraId="3983B179" w14:textId="3CA1824D" w:rsidR="00EB7F8B" w:rsidRPr="00EB7F8B" w:rsidRDefault="00EB7F8B" w:rsidP="00C5742D">
      <w:pPr>
        <w:rPr>
          <w:kern w:val="0"/>
        </w:rPr>
      </w:pPr>
      <w:r w:rsidRPr="00EB7F8B">
        <w:rPr>
          <w:kern w:val="0"/>
          <w:lang w:eastAsia="en-US"/>
        </w:rPr>
        <w:t>In this AMP, in addition to the evaluation and identification of adverse localized environments</w:t>
      </w:r>
      <w:r w:rsidRPr="00EB7F8B">
        <w:rPr>
          <w:kern w:val="0"/>
        </w:rPr>
        <w:t xml:space="preserve">, either of two methods can be used to identify the existence of ageing degradation. In the first method, calibration results or findings of surveillance testing </w:t>
      </w:r>
      <w:r w:rsidRPr="00EB7F8B">
        <w:rPr>
          <w:kern w:val="0"/>
          <w:lang w:eastAsia="en-US"/>
        </w:rPr>
        <w:t>programmes</w:t>
      </w:r>
      <w:r w:rsidRPr="00EB7F8B">
        <w:rPr>
          <w:kern w:val="0"/>
        </w:rPr>
        <w:t xml:space="preserve"> are evaluated to identify the existence of cable and connection </w:t>
      </w:r>
      <w:r w:rsidRPr="00EB7F8B">
        <w:rPr>
          <w:kern w:val="0"/>
          <w:lang w:eastAsia="en-US"/>
        </w:rPr>
        <w:t xml:space="preserve">electrical </w:t>
      </w:r>
      <w:r w:rsidRPr="00EB7F8B">
        <w:rPr>
          <w:kern w:val="0"/>
        </w:rPr>
        <w:t xml:space="preserve">insulation ageing degradation. In the second method, direct testing of the cable system is performed. Visual inspection of cables and connections, and the identification of adverse localized environments, as applicable, provide additional means to detect cable and connection ageing effects due to temperature, radiation, moisture, </w:t>
      </w:r>
      <w:r w:rsidRPr="00EB7F8B">
        <w:rPr>
          <w:kern w:val="0"/>
          <w:lang w:eastAsia="en-US"/>
        </w:rPr>
        <w:t>wear</w:t>
      </w:r>
      <w:r w:rsidR="00992521">
        <w:rPr>
          <w:kern w:val="0"/>
          <w:lang w:eastAsia="en-US"/>
        </w:rPr>
        <w:t>, chemical</w:t>
      </w:r>
      <w:r w:rsidRPr="00EB7F8B">
        <w:rPr>
          <w:kern w:val="0"/>
          <w:lang w:eastAsia="en-US"/>
        </w:rPr>
        <w:t xml:space="preserve"> </w:t>
      </w:r>
      <w:r w:rsidRPr="00EB7F8B">
        <w:rPr>
          <w:kern w:val="0"/>
        </w:rPr>
        <w:t xml:space="preserve">or </w:t>
      </w:r>
      <w:r w:rsidRPr="00EB7F8B">
        <w:rPr>
          <w:kern w:val="0"/>
          <w:lang w:eastAsia="en-US"/>
        </w:rPr>
        <w:t>surface</w:t>
      </w:r>
      <w:r w:rsidRPr="00EB7F8B">
        <w:rPr>
          <w:kern w:val="0"/>
        </w:rPr>
        <w:t xml:space="preserve"> contamination</w:t>
      </w:r>
      <w:r w:rsidR="000154BC">
        <w:rPr>
          <w:kern w:val="0"/>
        </w:rPr>
        <w:t xml:space="preserve"> </w:t>
      </w:r>
      <w:r w:rsidRPr="00EB7F8B">
        <w:rPr>
          <w:kern w:val="0"/>
          <w:lang w:eastAsia="en-US"/>
        </w:rPr>
        <w:t>(</w:t>
      </w:r>
      <w:r w:rsidR="009A0344">
        <w:rPr>
          <w:kern w:val="0"/>
          <w:lang w:eastAsia="en-US"/>
        </w:rPr>
        <w:t>e.g.</w:t>
      </w:r>
      <w:r w:rsidRPr="00EB7F8B">
        <w:rPr>
          <w:kern w:val="0"/>
          <w:lang w:eastAsia="en-US"/>
        </w:rPr>
        <w:t xml:space="preserve"> such as leakage of solvents, hydraulic fluid and borates)</w:t>
      </w:r>
      <w:r w:rsidR="000154BC">
        <w:rPr>
          <w:kern w:val="0"/>
          <w:lang w:eastAsia="en-US"/>
        </w:rPr>
        <w:t> </w:t>
      </w:r>
      <w:r w:rsidRPr="00EB7F8B">
        <w:rPr>
          <w:kern w:val="0"/>
          <w:lang w:eastAsia="en-US"/>
        </w:rPr>
        <w:t>[11].</w:t>
      </w:r>
      <w:r w:rsidRPr="00EB7F8B">
        <w:rPr>
          <w:kern w:val="0"/>
        </w:rPr>
        <w:t xml:space="preserve"> This AMP applies to </w:t>
      </w:r>
      <w:r w:rsidRPr="00EB7F8B">
        <w:rPr>
          <w:kern w:val="0"/>
          <w:lang w:eastAsia="en-US"/>
        </w:rPr>
        <w:t>high</w:t>
      </w:r>
      <w:r w:rsidRPr="00EB7F8B">
        <w:rPr>
          <w:kern w:val="0"/>
          <w:lang w:eastAsia="en-US"/>
        </w:rPr>
        <w:softHyphen/>
      </w:r>
      <w:r w:rsidRPr="00EB7F8B">
        <w:rPr>
          <w:kern w:val="0"/>
          <w:lang w:eastAsia="en-US"/>
        </w:rPr>
        <w:noBreakHyphen/>
        <w:t>range</w:t>
      </w:r>
      <w:r w:rsidRPr="00EB7F8B">
        <w:rPr>
          <w:kern w:val="0"/>
          <w:lang w:eastAsia="en-US"/>
        </w:rPr>
        <w:softHyphen/>
      </w:r>
      <w:r w:rsidRPr="00EB7F8B">
        <w:rPr>
          <w:kern w:val="0"/>
          <w:lang w:eastAsia="en-US"/>
        </w:rPr>
        <w:noBreakHyphen/>
      </w:r>
      <w:r w:rsidRPr="00EB7F8B">
        <w:rPr>
          <w:kern w:val="0"/>
        </w:rPr>
        <w:t>radiation and neutron flux monitoring instrumentation cables in addition to other cables used in high</w:t>
      </w:r>
      <w:r w:rsidR="00E23BCA">
        <w:rPr>
          <w:kern w:val="0"/>
        </w:rPr>
        <w:softHyphen/>
      </w:r>
      <w:r w:rsidR="00E23BCA">
        <w:rPr>
          <w:kern w:val="0"/>
        </w:rPr>
        <w:noBreakHyphen/>
      </w:r>
      <w:r w:rsidRPr="00EB7F8B">
        <w:rPr>
          <w:kern w:val="0"/>
        </w:rPr>
        <w:t xml:space="preserve">voltage, </w:t>
      </w:r>
      <w:r w:rsidRPr="00EB7F8B">
        <w:rPr>
          <w:kern w:val="0"/>
          <w:lang w:eastAsia="en-US"/>
        </w:rPr>
        <w:t>low</w:t>
      </w:r>
      <w:r w:rsidRPr="00EB7F8B">
        <w:rPr>
          <w:kern w:val="0"/>
          <w:lang w:eastAsia="en-US"/>
        </w:rPr>
        <w:softHyphen/>
      </w:r>
      <w:r w:rsidRPr="00EB7F8B">
        <w:rPr>
          <w:kern w:val="0"/>
          <w:lang w:eastAsia="en-US"/>
        </w:rPr>
        <w:noBreakHyphen/>
      </w:r>
      <w:r w:rsidRPr="00EB7F8B">
        <w:rPr>
          <w:kern w:val="0"/>
        </w:rPr>
        <w:t>level current signal applications that are sensitive to reduction in IR. For these cables, AMP 201 does not apply.</w:t>
      </w:r>
    </w:p>
    <w:p w14:paraId="0C3C486D" w14:textId="77777777" w:rsidR="00EB7F8B" w:rsidRPr="00EB7F8B" w:rsidRDefault="00EB7F8B" w:rsidP="00C5742D">
      <w:r w:rsidRPr="00EB7F8B">
        <w:t>Cables and connections covered by this AMP are not subject to environmental qualification requirements, therefore this AMP is required to manage the ageing effects. This AMP provides reasonable assurance that the electrical insulation for electrical cables and connections will perform its intended function.</w:t>
      </w:r>
    </w:p>
    <w:p w14:paraId="7FB32C6D" w14:textId="77777777" w:rsidR="00EB7F8B" w:rsidRPr="00EB7F8B" w:rsidRDefault="00EB7F8B" w:rsidP="00C5742D">
      <w:pPr>
        <w:rPr>
          <w:kern w:val="0"/>
          <w:lang w:eastAsia="en-US"/>
        </w:rPr>
      </w:pPr>
    </w:p>
    <w:p w14:paraId="17BC3F98" w14:textId="77777777" w:rsidR="00EB7F8B" w:rsidRPr="00EB7F8B" w:rsidRDefault="00EB7F8B" w:rsidP="00C5742D">
      <w:pPr>
        <w:pStyle w:val="IGALLTitle2"/>
        <w:keepNext/>
      </w:pPr>
      <w:r w:rsidRPr="00EB7F8B">
        <w:lastRenderedPageBreak/>
        <w:t>Evaluation and Technical Basis</w:t>
      </w:r>
    </w:p>
    <w:p w14:paraId="2BE07692" w14:textId="77777777" w:rsidR="00EB7F8B" w:rsidRPr="00EB7F8B" w:rsidRDefault="00EB7F8B" w:rsidP="00C5742D">
      <w:pPr>
        <w:pStyle w:val="IGALLTitle3"/>
        <w:keepNext/>
        <w:rPr>
          <w:i/>
        </w:rPr>
      </w:pPr>
      <w:r w:rsidRPr="00EB7F8B">
        <w:rPr>
          <w:i/>
        </w:rPr>
        <w:t>Scope of the ageing management programme based on understanding ageing:</w:t>
      </w:r>
    </w:p>
    <w:p w14:paraId="5D319C66" w14:textId="0B4BFEF8" w:rsidR="00EB7F8B" w:rsidRPr="00EB7F8B" w:rsidRDefault="00EB7F8B" w:rsidP="00C5742D">
      <w:pPr>
        <w:rPr>
          <w:kern w:val="0"/>
        </w:rPr>
      </w:pPr>
      <w:r w:rsidRPr="00EB7F8B">
        <w:rPr>
          <w:kern w:val="0"/>
        </w:rPr>
        <w:t>This AMP applies to electrical cables and connections (cable system) used in circuits with sensitive, high</w:t>
      </w:r>
      <w:r w:rsidR="0082771E">
        <w:rPr>
          <w:kern w:val="0"/>
        </w:rPr>
        <w:t>-</w:t>
      </w:r>
      <w:r w:rsidRPr="00EB7F8B">
        <w:rPr>
          <w:kern w:val="0"/>
        </w:rPr>
        <w:t xml:space="preserve">voltage, </w:t>
      </w:r>
      <w:r w:rsidRPr="00EB7F8B">
        <w:rPr>
          <w:rFonts w:eastAsia="Calibri"/>
          <w:kern w:val="0"/>
          <w:lang w:eastAsia="en-US"/>
        </w:rPr>
        <w:t>low</w:t>
      </w:r>
      <w:r w:rsidRPr="00EB7F8B">
        <w:rPr>
          <w:rFonts w:eastAsia="Calibri"/>
          <w:kern w:val="0"/>
          <w:lang w:eastAsia="en-US"/>
        </w:rPr>
        <w:softHyphen/>
      </w:r>
      <w:r w:rsidRPr="00EB7F8B">
        <w:rPr>
          <w:rFonts w:eastAsia="Calibri"/>
          <w:kern w:val="0"/>
          <w:lang w:eastAsia="en-US"/>
        </w:rPr>
        <w:noBreakHyphen/>
      </w:r>
      <w:r w:rsidRPr="00EB7F8B">
        <w:rPr>
          <w:kern w:val="0"/>
        </w:rPr>
        <w:t xml:space="preserve">level current signals, such as radiation monitoring and nuclear instrumentation </w:t>
      </w:r>
      <w:r w:rsidRPr="00EB7F8B">
        <w:rPr>
          <w:rFonts w:eastAsia="Calibri"/>
          <w:kern w:val="0"/>
          <w:lang w:eastAsia="en-US"/>
        </w:rPr>
        <w:t xml:space="preserve">and subjected to </w:t>
      </w:r>
      <w:r w:rsidRPr="00EB7F8B">
        <w:rPr>
          <w:kern w:val="0"/>
        </w:rPr>
        <w:t xml:space="preserve">adverse localized environments </w:t>
      </w:r>
      <w:r w:rsidRPr="00EB7F8B">
        <w:rPr>
          <w:rFonts w:eastAsia="Calibri"/>
          <w:kern w:val="0"/>
          <w:lang w:eastAsia="en-US"/>
        </w:rPr>
        <w:t>caused by</w:t>
      </w:r>
      <w:r w:rsidRPr="00EB7F8B">
        <w:rPr>
          <w:kern w:val="0"/>
        </w:rPr>
        <w:t xml:space="preserve"> temperature, radiation, moisture, </w:t>
      </w:r>
      <w:r w:rsidRPr="00EB7F8B">
        <w:rPr>
          <w:rFonts w:eastAsia="Calibri"/>
          <w:kern w:val="0"/>
          <w:lang w:eastAsia="en-US"/>
        </w:rPr>
        <w:t>wear</w:t>
      </w:r>
      <w:r w:rsidR="0082771E">
        <w:rPr>
          <w:rFonts w:eastAsia="Calibri"/>
          <w:kern w:val="0"/>
          <w:lang w:eastAsia="en-US"/>
        </w:rPr>
        <w:t>, chemical</w:t>
      </w:r>
      <w:r w:rsidRPr="00EB7F8B">
        <w:rPr>
          <w:rFonts w:eastAsia="Calibri"/>
          <w:kern w:val="0"/>
          <w:lang w:eastAsia="en-US"/>
        </w:rPr>
        <w:t xml:space="preserve"> </w:t>
      </w:r>
      <w:r w:rsidR="0082771E" w:rsidRPr="00EB7F8B">
        <w:t>(</w:t>
      </w:r>
      <w:r w:rsidR="009A0344">
        <w:t>e.g.</w:t>
      </w:r>
      <w:r w:rsidR="0082771E" w:rsidRPr="00EB7F8B">
        <w:t xml:space="preserve"> such as leakage of solvents, hydraulic fluid and borates)</w:t>
      </w:r>
      <w:r w:rsidR="0082771E">
        <w:t xml:space="preserve"> </w:t>
      </w:r>
      <w:r w:rsidRPr="00EB7F8B">
        <w:rPr>
          <w:rFonts w:eastAsia="Calibri"/>
          <w:kern w:val="0"/>
          <w:lang w:eastAsia="en-US"/>
        </w:rPr>
        <w:t>or surface</w:t>
      </w:r>
      <w:r w:rsidRPr="00EB7F8B">
        <w:rPr>
          <w:kern w:val="0"/>
        </w:rPr>
        <w:t xml:space="preserve"> contamination</w:t>
      </w:r>
      <w:r w:rsidR="0082771E">
        <w:rPr>
          <w:kern w:val="0"/>
        </w:rPr>
        <w:t xml:space="preserve"> </w:t>
      </w:r>
      <w:r w:rsidRPr="00EB7F8B">
        <w:rPr>
          <w:rFonts w:eastAsia="Calibri"/>
          <w:kern w:val="0"/>
          <w:lang w:eastAsia="en-US"/>
        </w:rPr>
        <w:t xml:space="preserve">that are subject to ageing management review </w:t>
      </w:r>
      <w:r w:rsidRPr="00EB7F8B">
        <w:t>according to national regulatory requirements.</w:t>
      </w:r>
    </w:p>
    <w:p w14:paraId="5349DB55" w14:textId="77777777" w:rsidR="00EB7F8B" w:rsidRPr="00EB7F8B" w:rsidRDefault="00EB7F8B" w:rsidP="00C5742D">
      <w:pPr>
        <w:rPr>
          <w:kern w:val="0"/>
        </w:rPr>
      </w:pPr>
    </w:p>
    <w:p w14:paraId="53702365" w14:textId="77777777" w:rsidR="00EB7F8B" w:rsidRPr="00EB7F8B" w:rsidRDefault="00EB7F8B" w:rsidP="00C5742D">
      <w:pPr>
        <w:pStyle w:val="IGALLTitle3"/>
        <w:keepNext/>
        <w:rPr>
          <w:i/>
        </w:rPr>
      </w:pPr>
      <w:r w:rsidRPr="00EB7F8B">
        <w:rPr>
          <w:i/>
        </w:rPr>
        <w:t>Preventive actions to minimize and control ageing degradation:</w:t>
      </w:r>
    </w:p>
    <w:p w14:paraId="100AB987" w14:textId="77777777" w:rsidR="00EB7F8B" w:rsidRPr="00EB7F8B" w:rsidRDefault="00EB7F8B" w:rsidP="00C5742D">
      <w:pPr>
        <w:rPr>
          <w:kern w:val="0"/>
        </w:rPr>
      </w:pPr>
      <w:r w:rsidRPr="00EB7F8B">
        <w:rPr>
          <w:kern w:val="0"/>
        </w:rPr>
        <w:t>This is a</w:t>
      </w:r>
      <w:r w:rsidRPr="00EB7F8B">
        <w:rPr>
          <w:kern w:val="0"/>
          <w:lang w:eastAsia="en-US"/>
        </w:rPr>
        <w:t> </w:t>
      </w:r>
      <w:r w:rsidRPr="00EB7F8B">
        <w:rPr>
          <w:kern w:val="0"/>
        </w:rPr>
        <w:t>performance monitoring programme and no actions are taken as part of this programme to prevent or mitigate ageing degradation.</w:t>
      </w:r>
    </w:p>
    <w:p w14:paraId="067C2FBC" w14:textId="77777777" w:rsidR="00EB7F8B" w:rsidRPr="00EB7F8B" w:rsidRDefault="00EB7F8B" w:rsidP="00C5742D"/>
    <w:p w14:paraId="654001E8" w14:textId="77777777" w:rsidR="00EB7F8B" w:rsidRPr="00EB7F8B" w:rsidRDefault="00EB7F8B" w:rsidP="00C5742D">
      <w:pPr>
        <w:pStyle w:val="IGALLTitle3"/>
        <w:keepNext/>
        <w:rPr>
          <w:i/>
        </w:rPr>
      </w:pPr>
      <w:r w:rsidRPr="00EB7F8B">
        <w:rPr>
          <w:i/>
        </w:rPr>
        <w:t>Detection of ageing effects:</w:t>
      </w:r>
    </w:p>
    <w:p w14:paraId="63960D7A" w14:textId="77777777" w:rsidR="00EB7F8B" w:rsidRPr="00EB7F8B" w:rsidRDefault="00EB7F8B" w:rsidP="00C5742D">
      <w:pPr>
        <w:rPr>
          <w:kern w:val="0"/>
        </w:rPr>
      </w:pPr>
      <w:r w:rsidRPr="00EB7F8B">
        <w:rPr>
          <w:kern w:val="0"/>
        </w:rPr>
        <w:t xml:space="preserve">Review of calibration results or findings of surveillance </w:t>
      </w:r>
      <w:r w:rsidRPr="00EB7F8B">
        <w:rPr>
          <w:rFonts w:eastAsia="Calibri"/>
          <w:kern w:val="0"/>
          <w:lang w:eastAsia="en-US"/>
        </w:rPr>
        <w:t>programmes</w:t>
      </w:r>
      <w:r w:rsidRPr="00EB7F8B">
        <w:rPr>
          <w:kern w:val="0"/>
        </w:rPr>
        <w:t xml:space="preserve"> can provide an indication of the existence of ageing effects based on acceptance criteria related to instrumentation circuit performance. By reviewing the results obtained during normal calibration or surveillance, an applicant may detect severe ageing degradation prior to the loss of the cable and connection intended function. All calibration or surveillance results that do not meet acceptance criteria are reviewed for ageing effects when the results are available.</w:t>
      </w:r>
    </w:p>
    <w:p w14:paraId="0E8FE641" w14:textId="77777777" w:rsidR="00EB7F8B" w:rsidRPr="00EB7F8B" w:rsidRDefault="00EB7F8B" w:rsidP="00C5742D">
      <w:r w:rsidRPr="00EB7F8B">
        <w:rPr>
          <w:kern w:val="0"/>
        </w:rPr>
        <w:t>Cable system testing is conducted when the calibration or surveillance programme does not include the cabling system in the testing circuit, or as an alternative to the review of calibration results described above. A</w:t>
      </w:r>
      <w:r w:rsidRPr="00EB7F8B">
        <w:rPr>
          <w:kern w:val="0"/>
          <w:lang w:eastAsia="en-US"/>
        </w:rPr>
        <w:t> </w:t>
      </w:r>
      <w:r w:rsidRPr="00EB7F8B">
        <w:rPr>
          <w:kern w:val="0"/>
        </w:rPr>
        <w:t xml:space="preserve">proven cable system test such as insulation resistance tests, time domain reflectometry tests, or other testing </w:t>
      </w:r>
      <w:r w:rsidRPr="00EB7F8B">
        <w:rPr>
          <w:kern w:val="0"/>
          <w:lang w:eastAsia="en-US"/>
        </w:rPr>
        <w:t>proven</w:t>
      </w:r>
      <w:r w:rsidRPr="00EB7F8B">
        <w:rPr>
          <w:kern w:val="0"/>
        </w:rPr>
        <w:t xml:space="preserve"> to be effective in determining cable </w:t>
      </w:r>
      <w:r w:rsidRPr="00EB7F8B">
        <w:rPr>
          <w:kern w:val="0"/>
          <w:lang w:eastAsia="en-US"/>
        </w:rPr>
        <w:t>electrical</w:t>
      </w:r>
      <w:r w:rsidRPr="00EB7F8B">
        <w:rPr>
          <w:kern w:val="0"/>
        </w:rPr>
        <w:t xml:space="preserve"> insulation</w:t>
      </w:r>
      <w:r w:rsidR="00AA1357">
        <w:rPr>
          <w:kern w:val="0"/>
        </w:rPr>
        <w:t>,</w:t>
      </w:r>
      <w:r w:rsidRPr="00EB7F8B">
        <w:rPr>
          <w:kern w:val="0"/>
        </w:rPr>
        <w:t xml:space="preserve"> </w:t>
      </w:r>
      <w:r w:rsidRPr="00EB7F8B">
        <w:rPr>
          <w:kern w:val="0"/>
          <w:lang w:eastAsia="en-US"/>
        </w:rPr>
        <w:t>physical, mechanical and chemical properties</w:t>
      </w:r>
      <w:r w:rsidRPr="00EB7F8B">
        <w:rPr>
          <w:kern w:val="0"/>
        </w:rPr>
        <w:t xml:space="preserve"> is performed. The test frequency of the cable system is determined based on engineering evaluation</w:t>
      </w:r>
      <w:r w:rsidRPr="00EB7F8B">
        <w:rPr>
          <w:kern w:val="0"/>
          <w:lang w:eastAsia="en-US"/>
        </w:rPr>
        <w:t> [12].</w:t>
      </w:r>
      <w:r w:rsidRPr="00EB7F8B" w:rsidDel="00314051">
        <w:rPr>
          <w:kern w:val="0"/>
          <w:lang w:eastAsia="en-US"/>
        </w:rPr>
        <w:t xml:space="preserve"> </w:t>
      </w:r>
      <w:r w:rsidRPr="00EB7F8B">
        <w:rPr>
          <w:kern w:val="0"/>
        </w:rPr>
        <w:t xml:space="preserve">Visual inspection of cables and connections, and the identification of adverse localized environments, as applicable, provide an additional means to detect cable and connection ageing effects due to temperature, radiation, moisture, </w:t>
      </w:r>
      <w:r w:rsidR="00992521">
        <w:rPr>
          <w:kern w:val="0"/>
        </w:rPr>
        <w:t>wear, chemical, or</w:t>
      </w:r>
      <w:r w:rsidRPr="00EB7F8B">
        <w:rPr>
          <w:kern w:val="0"/>
        </w:rPr>
        <w:t xml:space="preserve"> </w:t>
      </w:r>
      <w:r w:rsidRPr="00EB7F8B">
        <w:rPr>
          <w:kern w:val="0"/>
          <w:lang w:eastAsia="en-US"/>
        </w:rPr>
        <w:t>surface</w:t>
      </w:r>
      <w:r w:rsidRPr="00EB7F8B">
        <w:rPr>
          <w:kern w:val="0"/>
        </w:rPr>
        <w:t xml:space="preserve"> contamination.</w:t>
      </w:r>
      <w:r w:rsidRPr="00EB7F8B">
        <w:t xml:space="preserve"> The visual inspection of cable jacket and connection insulation surfaces is used to infer the adequacy of the cable and connection insulation and is not a substitute for review of calibration results or cable system testing [13–15].</w:t>
      </w:r>
    </w:p>
    <w:p w14:paraId="4180F26D" w14:textId="77777777" w:rsidR="00EB7F8B" w:rsidRPr="00EB7F8B" w:rsidRDefault="00EB7F8B" w:rsidP="00C5742D"/>
    <w:p w14:paraId="0AE11CE3" w14:textId="77777777" w:rsidR="00EB7F8B" w:rsidRPr="00EB7F8B" w:rsidRDefault="00EB7F8B" w:rsidP="00C5742D">
      <w:pPr>
        <w:pStyle w:val="IGALLTitle3"/>
        <w:keepNext/>
        <w:rPr>
          <w:i/>
        </w:rPr>
      </w:pPr>
      <w:r w:rsidRPr="00EB7F8B">
        <w:rPr>
          <w:i/>
        </w:rPr>
        <w:t>Monitoring and trending of ageing effects:</w:t>
      </w:r>
    </w:p>
    <w:p w14:paraId="791DE968" w14:textId="77777777" w:rsidR="00EB7F8B" w:rsidRPr="00EB7F8B" w:rsidRDefault="00EB7F8B" w:rsidP="00C5742D">
      <w:pPr>
        <w:widowControl/>
        <w:suppressAutoHyphens w:val="0"/>
        <w:autoSpaceDE w:val="0"/>
        <w:autoSpaceDN w:val="0"/>
        <w:adjustRightInd w:val="0"/>
        <w:rPr>
          <w:lang w:val="en-GB"/>
        </w:rPr>
      </w:pPr>
      <w:r w:rsidRPr="00EB7F8B">
        <w:rPr>
          <w:kern w:val="0"/>
        </w:rPr>
        <w:t>The parameters monitored are determined from the specific calibration, surveillances, or testing performed and are based on the specific instrumentation circuit under surveillance or being calibrated, as documented in plant procedures.</w:t>
      </w:r>
    </w:p>
    <w:p w14:paraId="0B903CC9" w14:textId="77777777" w:rsidR="00EB7F8B" w:rsidRPr="00EB7F8B" w:rsidRDefault="00EB7F8B" w:rsidP="00C5742D">
      <w:r w:rsidRPr="00EB7F8B">
        <w:rPr>
          <w:kern w:val="0"/>
        </w:rPr>
        <w:t xml:space="preserve">Trending actions are not part of this AMP because the ability to trend test results is </w:t>
      </w:r>
      <w:r w:rsidRPr="00EB7F8B">
        <w:t xml:space="preserve">dependent on the specific type of test chosen. However, test results that are </w:t>
      </w:r>
      <w:proofErr w:type="spellStart"/>
      <w:r w:rsidRPr="00EB7F8B">
        <w:t>trendable</w:t>
      </w:r>
      <w:proofErr w:type="spellEnd"/>
      <w:r w:rsidRPr="00EB7F8B">
        <w:t xml:space="preserve"> provide additional information on the rate of cable or connection degradation.</w:t>
      </w:r>
    </w:p>
    <w:p w14:paraId="3778A431" w14:textId="77777777" w:rsidR="00EB7F8B" w:rsidRPr="00EB7F8B" w:rsidRDefault="00EB7F8B" w:rsidP="00C5742D"/>
    <w:p w14:paraId="2A3FB5FB" w14:textId="77777777" w:rsidR="00EB7F8B" w:rsidRPr="00EB7F8B" w:rsidRDefault="00EB7F8B" w:rsidP="00C5742D">
      <w:pPr>
        <w:pStyle w:val="IGALLTitle3"/>
        <w:keepNext/>
        <w:rPr>
          <w:i/>
        </w:rPr>
      </w:pPr>
      <w:r w:rsidRPr="00EB7F8B">
        <w:rPr>
          <w:i/>
        </w:rPr>
        <w:t>Mitigating ageing effects:</w:t>
      </w:r>
    </w:p>
    <w:p w14:paraId="69353147" w14:textId="77777777" w:rsidR="00EB7F8B" w:rsidRPr="00EB7F8B" w:rsidRDefault="00EB7F8B" w:rsidP="00C5742D">
      <w:r w:rsidRPr="00EB7F8B">
        <w:t>This programme is a condition monitoring programme. This programme has no specific operation, maintena</w:t>
      </w:r>
      <w:r w:rsidR="00E23BCA">
        <w:t>n</w:t>
      </w:r>
      <w:r w:rsidRPr="00EB7F8B">
        <w:t xml:space="preserve">ce, repair or replacement mitigation aspects. </w:t>
      </w:r>
    </w:p>
    <w:p w14:paraId="38B05B7E" w14:textId="77777777" w:rsidR="00EB7F8B" w:rsidRPr="00EB7F8B" w:rsidRDefault="00EB7F8B" w:rsidP="00C5742D"/>
    <w:p w14:paraId="60B2BD6C" w14:textId="77777777" w:rsidR="00EB7F8B" w:rsidRPr="00EB7F8B" w:rsidRDefault="00EB7F8B" w:rsidP="00C5742D">
      <w:pPr>
        <w:pStyle w:val="IGALLTitle3"/>
        <w:keepNext/>
        <w:rPr>
          <w:i/>
        </w:rPr>
      </w:pPr>
      <w:r w:rsidRPr="00EB7F8B">
        <w:rPr>
          <w:i/>
        </w:rPr>
        <w:t>Acceptance criteria:</w:t>
      </w:r>
    </w:p>
    <w:p w14:paraId="4419D178" w14:textId="77777777" w:rsidR="00EB7F8B" w:rsidRPr="00EB7F8B" w:rsidRDefault="00EB7F8B" w:rsidP="00C5742D">
      <w:r w:rsidRPr="00EB7F8B">
        <w:t>Any indication or relevant conditions of degradation may be evaluated for acceptance in accordance with the pertinent governing requirements or guidance documents [16]. Examination results and flaws that exceed the acceptance criteria in the pertinent governing requirements or guidance documents may require repair or replacement activities, or further evaluation to demonstrate that the component will continue to perform its intended function.</w:t>
      </w:r>
      <w:r w:rsidRPr="00EB7F8B" w:rsidDel="007A5421">
        <w:t xml:space="preserve"> </w:t>
      </w:r>
    </w:p>
    <w:p w14:paraId="2D85BE63" w14:textId="77777777" w:rsidR="00EB7F8B" w:rsidRPr="00EB7F8B" w:rsidRDefault="00EB7F8B" w:rsidP="00C5742D">
      <w:pPr>
        <w:rPr>
          <w:lang w:val="en-GB"/>
        </w:rPr>
      </w:pPr>
    </w:p>
    <w:p w14:paraId="7EE5B4FA" w14:textId="77777777" w:rsidR="00EB7F8B" w:rsidRPr="00EB7F8B" w:rsidRDefault="00EB7F8B" w:rsidP="00C5742D">
      <w:pPr>
        <w:pStyle w:val="IGALLTitle3"/>
        <w:keepNext/>
        <w:ind w:left="357" w:hanging="357"/>
        <w:rPr>
          <w:i/>
        </w:rPr>
      </w:pPr>
      <w:r w:rsidRPr="00EB7F8B">
        <w:rPr>
          <w:i/>
        </w:rPr>
        <w:t>Corrective actions:</w:t>
      </w:r>
    </w:p>
    <w:p w14:paraId="4D5CD2EE" w14:textId="77777777" w:rsidR="00EB7F8B" w:rsidRPr="00EB7F8B" w:rsidRDefault="00EB7F8B" w:rsidP="00C5742D">
      <w:pPr>
        <w:rPr>
          <w:kern w:val="0"/>
        </w:rPr>
      </w:pPr>
      <w:r w:rsidRPr="00EB7F8B">
        <w:rPr>
          <w:kern w:val="0"/>
        </w:rPr>
        <w:t xml:space="preserve">Corrective actions, such as recalibration and circuit troubleshooting, are implemented when calibration, surveillance, cable system test results, or visual inspection do not meet the acceptance criteria. An engineering evaluation is performed when the acceptance criteria are not met in order to </w:t>
      </w:r>
      <w:r w:rsidRPr="00EB7F8B">
        <w:rPr>
          <w:kern w:val="0"/>
          <w:lang w:eastAsia="en-US"/>
        </w:rPr>
        <w:t>demonstrate</w:t>
      </w:r>
      <w:r w:rsidRPr="00EB7F8B">
        <w:rPr>
          <w:kern w:val="0"/>
        </w:rPr>
        <w:t xml:space="preserve"> that the electrical cable system </w:t>
      </w:r>
      <w:r w:rsidRPr="00EB7F8B">
        <w:rPr>
          <w:kern w:val="0"/>
          <w:lang w:eastAsia="en-US"/>
        </w:rPr>
        <w:t>will continue to perform its intended function.</w:t>
      </w:r>
      <w:r w:rsidRPr="00EB7F8B">
        <w:rPr>
          <w:kern w:val="0"/>
        </w:rPr>
        <w:t xml:space="preserve"> Such an evaluation is to consider the significance of the calibration, surveillance, cable system test results, or visual inspection</w:t>
      </w:r>
      <w:r w:rsidRPr="00EB7F8B">
        <w:rPr>
          <w:kern w:val="0"/>
          <w:lang w:eastAsia="en-US"/>
        </w:rPr>
        <w:t>.</w:t>
      </w:r>
      <w:r w:rsidRPr="00EB7F8B">
        <w:rPr>
          <w:kern w:val="0"/>
        </w:rPr>
        <w:t xml:space="preserve"> When an unacceptable condition or situation is identified, a</w:t>
      </w:r>
      <w:r w:rsidRPr="00EB7F8B">
        <w:rPr>
          <w:kern w:val="0"/>
          <w:lang w:eastAsia="en-US"/>
        </w:rPr>
        <w:t> </w:t>
      </w:r>
      <w:r w:rsidRPr="00EB7F8B">
        <w:rPr>
          <w:kern w:val="0"/>
        </w:rPr>
        <w:t>determination is made as to whether the review of calibration results and cable system testing frequency needs to be increased.</w:t>
      </w:r>
    </w:p>
    <w:p w14:paraId="7D14D4E4" w14:textId="77777777" w:rsidR="00EB7F8B" w:rsidRPr="00EB7F8B" w:rsidRDefault="00EB7F8B" w:rsidP="00C5742D">
      <w:pPr>
        <w:rPr>
          <w:lang w:val="en-GB"/>
        </w:rPr>
      </w:pPr>
    </w:p>
    <w:p w14:paraId="23382644" w14:textId="77777777" w:rsidR="00EB7F8B" w:rsidRPr="00EB7F8B" w:rsidRDefault="00EB7F8B" w:rsidP="00C5742D">
      <w:pPr>
        <w:pStyle w:val="IGALLTitle3"/>
        <w:keepNext/>
        <w:rPr>
          <w:i/>
        </w:rPr>
      </w:pPr>
      <w:r w:rsidRPr="00EB7F8B">
        <w:rPr>
          <w:i/>
        </w:rPr>
        <w:t>Operating experience feedback and feedback of research and development results:</w:t>
      </w:r>
      <w:r w:rsidRPr="00EB7F8B">
        <w:rPr>
          <w:i/>
        </w:rPr>
        <w:tab/>
      </w:r>
    </w:p>
    <w:p w14:paraId="3C20C6DC" w14:textId="6B253454" w:rsidR="00EB7F8B" w:rsidRPr="00EB7F8B" w:rsidRDefault="00EB7F8B" w:rsidP="00C5742D">
      <w:pPr>
        <w:rPr>
          <w:rFonts w:eastAsia="Arial"/>
          <w:lang w:eastAsia="ja-JP"/>
        </w:rPr>
      </w:pPr>
      <w:r w:rsidRPr="00EB7F8B">
        <w:rPr>
          <w:rFonts w:eastAsia="Arial"/>
          <w:lang w:eastAsia="ja-JP"/>
        </w:rPr>
        <w:t>This AMP addresses the industry</w:t>
      </w:r>
      <w:r w:rsidRPr="00EB7F8B">
        <w:rPr>
          <w:rFonts w:eastAsia="Arial"/>
          <w:lang w:eastAsia="ja-JP"/>
        </w:rPr>
        <w:softHyphen/>
      </w:r>
      <w:r w:rsidRPr="00EB7F8B">
        <w:rPr>
          <w:rFonts w:eastAsia="Arial"/>
          <w:lang w:eastAsia="ja-JP"/>
        </w:rPr>
        <w:noBreakHyphen/>
        <w:t>wide generic experience. Relevant plant</w:t>
      </w:r>
      <w:r w:rsidRPr="00EB7F8B">
        <w:rPr>
          <w:rFonts w:eastAsia="Arial"/>
          <w:lang w:eastAsia="ja-JP"/>
        </w:rPr>
        <w:softHyphen/>
      </w:r>
      <w:r w:rsidRPr="00EB7F8B">
        <w:rPr>
          <w:rFonts w:eastAsia="Arial"/>
          <w:lang w:eastAsia="ja-JP"/>
        </w:rPr>
        <w:noBreakHyphen/>
        <w:t>specific operating experience is considered in the development of the plant AMP to ensure the AMP is adequate for the plant. The plant implements a feedback process to periodically evaluate plant and industry</w:t>
      </w:r>
      <w:r w:rsidRPr="00EB7F8B">
        <w:rPr>
          <w:rFonts w:eastAsia="Arial"/>
          <w:lang w:eastAsia="ja-JP"/>
        </w:rPr>
        <w:softHyphen/>
      </w:r>
      <w:r w:rsidRPr="00EB7F8B">
        <w:rPr>
          <w:rFonts w:eastAsia="Arial"/>
          <w:lang w:eastAsia="ja-JP"/>
        </w:rPr>
        <w:noBreakHyphen/>
        <w:t>wide operating experience and research and development (R&amp;D) results, and, as necessary, either modifies the plant AMP or takes additional actions (</w:t>
      </w:r>
      <w:r w:rsidR="009A0344">
        <w:rPr>
          <w:rFonts w:eastAsia="Arial"/>
          <w:lang w:eastAsia="ja-JP"/>
        </w:rPr>
        <w:t>e.g.</w:t>
      </w:r>
      <w:r w:rsidRPr="00EB7F8B">
        <w:rPr>
          <w:rFonts w:eastAsia="Arial"/>
          <w:lang w:eastAsia="ja-JP"/>
        </w:rPr>
        <w:t xml:space="preserve"> develop a new plant</w:t>
      </w:r>
      <w:r w:rsidRPr="00EB7F8B">
        <w:rPr>
          <w:rFonts w:eastAsia="Arial"/>
          <w:lang w:eastAsia="ja-JP"/>
        </w:rPr>
        <w:softHyphen/>
      </w:r>
      <w:r w:rsidRPr="00EB7F8B">
        <w:rPr>
          <w:rFonts w:eastAsia="Arial"/>
          <w:lang w:eastAsia="ja-JP"/>
        </w:rPr>
        <w:noBreakHyphen/>
        <w:t>specific AMP) to demonstrate the continued effectiveness of ageing management.</w:t>
      </w:r>
    </w:p>
    <w:p w14:paraId="5079BCB0" w14:textId="77777777" w:rsidR="00EB7F8B" w:rsidRPr="00EB7F8B" w:rsidRDefault="00EB7F8B" w:rsidP="00C5742D">
      <w:pPr>
        <w:rPr>
          <w:kern w:val="0"/>
        </w:rPr>
      </w:pPr>
      <w:r w:rsidRPr="00EB7F8B">
        <w:rPr>
          <w:kern w:val="0"/>
        </w:rPr>
        <w:t xml:space="preserve">Operating experience has identified </w:t>
      </w:r>
      <w:r w:rsidRPr="00EB7F8B">
        <w:rPr>
          <w:kern w:val="0"/>
          <w:lang w:eastAsia="en-US"/>
        </w:rPr>
        <w:t>cases</w:t>
      </w:r>
      <w:r w:rsidRPr="00EB7F8B">
        <w:rPr>
          <w:kern w:val="0"/>
        </w:rPr>
        <w:t xml:space="preserve"> where a change in temperature across a high range radiation monitor cable in containment resulted in a substantial change in the reading of the monitor. </w:t>
      </w:r>
      <w:r w:rsidRPr="00EB7F8B">
        <w:rPr>
          <w:kern w:val="0"/>
          <w:lang w:eastAsia="en-US"/>
        </w:rPr>
        <w:t>Plant trips due to electrical noise in nuclear instrumentation ha</w:t>
      </w:r>
      <w:r w:rsidR="00941492">
        <w:rPr>
          <w:kern w:val="0"/>
          <w:lang w:eastAsia="en-US"/>
        </w:rPr>
        <w:t>ve</w:t>
      </w:r>
      <w:r w:rsidRPr="00EB7F8B">
        <w:rPr>
          <w:kern w:val="0"/>
          <w:lang w:eastAsia="en-US"/>
        </w:rPr>
        <w:t xml:space="preserve"> also occurred. </w:t>
      </w:r>
      <w:r w:rsidRPr="00EB7F8B">
        <w:rPr>
          <w:kern w:val="0"/>
        </w:rPr>
        <w:t>Changes in instrument calibration can be caused by degradation of the cable and are a possible indication of electrical cable</w:t>
      </w:r>
      <w:r w:rsidRPr="00EB7F8B">
        <w:rPr>
          <w:kern w:val="0"/>
          <w:lang w:eastAsia="en-US"/>
        </w:rPr>
        <w:t xml:space="preserve"> ageing</w:t>
      </w:r>
      <w:r w:rsidRPr="00EB7F8B">
        <w:rPr>
          <w:kern w:val="0"/>
        </w:rPr>
        <w:t xml:space="preserve"> degradation.</w:t>
      </w:r>
    </w:p>
    <w:p w14:paraId="694892D0" w14:textId="77777777" w:rsidR="00EB7F8B" w:rsidRPr="00EB7F8B" w:rsidRDefault="00EB7F8B" w:rsidP="00C5742D">
      <w:r w:rsidRPr="00EB7F8B">
        <w:rPr>
          <w:kern w:val="0"/>
        </w:rPr>
        <w:t>Site specific and industry wide operating experience regarding neutron flux instrumentation circuits contains events related to cable/connector issues inside containment near the reactor vessel.</w:t>
      </w:r>
      <w:r w:rsidRPr="00EB7F8B">
        <w:rPr>
          <w:kern w:val="0"/>
          <w:lang w:eastAsia="en-US"/>
        </w:rPr>
        <w:t xml:space="preserve"> </w:t>
      </w:r>
    </w:p>
    <w:p w14:paraId="20351E77" w14:textId="77777777" w:rsidR="00EB7F8B" w:rsidRPr="00EB7F8B" w:rsidRDefault="00EB7F8B" w:rsidP="00C5742D">
      <w:pPr>
        <w:rPr>
          <w:kern w:val="0"/>
          <w:lang w:eastAsia="en-US"/>
        </w:rPr>
      </w:pPr>
      <w:r w:rsidRPr="00EB7F8B">
        <w:rPr>
          <w:kern w:val="0"/>
          <w:lang w:eastAsia="en-US"/>
        </w:rPr>
        <w:t xml:space="preserve">At the time when this AMP was produced, no relevant R&amp;D was identified. </w:t>
      </w:r>
    </w:p>
    <w:p w14:paraId="30DE7A19" w14:textId="77777777" w:rsidR="00EB7F8B" w:rsidRPr="00EB7F8B" w:rsidRDefault="00EB7F8B" w:rsidP="00C5742D">
      <w:pPr>
        <w:rPr>
          <w:kern w:val="0"/>
        </w:rPr>
      </w:pPr>
    </w:p>
    <w:p w14:paraId="61FED3C4" w14:textId="75687BF3" w:rsidR="00EB7F8B" w:rsidRPr="006C7F31" w:rsidRDefault="00EB7F8B" w:rsidP="006C7F31">
      <w:pPr>
        <w:pStyle w:val="IGALLTitle3"/>
      </w:pPr>
      <w:r w:rsidRPr="006C7F31">
        <w:t xml:space="preserve">Quality management: </w:t>
      </w:r>
    </w:p>
    <w:p w14:paraId="080EF95F" w14:textId="21C50871" w:rsidR="00EB7F8B" w:rsidRPr="00EB7F8B" w:rsidRDefault="00EB7F8B" w:rsidP="00C5742D">
      <w:r w:rsidRPr="00EB7F8B">
        <w:t>Site quality assurance procedures, review and approval processes, and administrative controls are implemented in accordance with the different national regulatory requirements</w:t>
      </w:r>
      <w:r w:rsidRPr="00EB7F8B">
        <w:rPr>
          <w:rFonts w:eastAsia="Arial"/>
          <w:lang w:eastAsia="ja-JP"/>
        </w:rPr>
        <w:t xml:space="preserve">, </w:t>
      </w:r>
      <w:r w:rsidR="009A0344">
        <w:t>e.g.</w:t>
      </w:r>
      <w:r w:rsidRPr="00EB7F8B">
        <w:t xml:space="preserve"> </w:t>
      </w:r>
      <w:r w:rsidRPr="00EB7F8B">
        <w:rPr>
          <w:rFonts w:eastAsia="Arial"/>
          <w:lang w:eastAsia="ja-JP"/>
        </w:rPr>
        <w:t>[17].</w:t>
      </w:r>
    </w:p>
    <w:p w14:paraId="41816BF5" w14:textId="77777777" w:rsidR="00EB7F8B" w:rsidRPr="00EB7F8B" w:rsidRDefault="00EB7F8B" w:rsidP="00733820"/>
    <w:p w14:paraId="1D17638F" w14:textId="77777777" w:rsidR="00EB7F8B" w:rsidRPr="00733820" w:rsidRDefault="00EB7F8B" w:rsidP="00733820">
      <w:pPr>
        <w:rPr>
          <w:b/>
          <w:bCs/>
        </w:rPr>
      </w:pPr>
      <w:r w:rsidRPr="00733820">
        <w:rPr>
          <w:b/>
          <w:bCs/>
        </w:rPr>
        <w:t xml:space="preserve">References </w:t>
      </w:r>
    </w:p>
    <w:p w14:paraId="2553185A"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 xml:space="preserve">UNITED STATES NUCLEAR REGULATORY COMMISSION, Insulation Material for Electrical Cables and Connections Not Subject to 10 CFR 50.49 Environmental </w:t>
      </w:r>
      <w:r w:rsidRPr="00733820">
        <w:rPr>
          <w:color w:val="000000"/>
          <w:szCs w:val="24"/>
          <w:lang w:val="en-US" w:eastAsia="ja-JP"/>
        </w:rPr>
        <w:lastRenderedPageBreak/>
        <w:t>Qualification Requirements used in Instrumentation Circuits. In: Generic Aging Lessons Learned (GALL) Report — Final Report. NUREG</w:t>
      </w:r>
      <w:r w:rsidRPr="00733820">
        <w:rPr>
          <w:color w:val="000000"/>
          <w:szCs w:val="24"/>
          <w:lang w:val="en-US" w:eastAsia="ja-JP"/>
        </w:rPr>
        <w:noBreakHyphen/>
        <w:t>1801, Rev. 2, Chapter XI.E2., USNRC, Washington, DC (2010).</w:t>
      </w:r>
    </w:p>
    <w:p w14:paraId="7FD9FF65"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UNITED STATES NUCLEAR REGULATORY COMMISSION, Environmental Qualification Deficiency for Cables and Containment Penetration Pigtails, USNRC Information Notice No. 97</w:t>
      </w:r>
      <w:r w:rsidRPr="00733820">
        <w:rPr>
          <w:color w:val="000000"/>
          <w:szCs w:val="24"/>
          <w:lang w:val="en-US" w:eastAsia="ja-JP"/>
        </w:rPr>
        <w:noBreakHyphen/>
        <w:t>45, Washington, DC (1997).</w:t>
      </w:r>
    </w:p>
    <w:p w14:paraId="6927C990"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UNITED STATES NUCLEAR REGULATORY COMMISSION, Environmental Qualification Deficiency for Cables and Containment Penetration Pigtails, USNRC Information Notice No. 97</w:t>
      </w:r>
      <w:r w:rsidRPr="00733820">
        <w:rPr>
          <w:color w:val="000000"/>
          <w:szCs w:val="24"/>
          <w:lang w:val="en-US" w:eastAsia="ja-JP"/>
        </w:rPr>
        <w:noBreakHyphen/>
        <w:t>45, Supplement 1, Washington, DC (1998).</w:t>
      </w:r>
    </w:p>
    <w:p w14:paraId="366C8D87"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ATOMIC ENERGY SOCIETY OF JAPAN, Code on Implementation and Review of Nuclear Power Plant Ageing Management Program, AESJ-SC-P005, AESJ, Japan (2015).</w:t>
      </w:r>
    </w:p>
    <w:p w14:paraId="7D7E4350"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ELECTRIC POWER RESEARCH INSTITUTE, High Range Radiation Monitor Cable Study: Phase I, EPRI TR</w:t>
      </w:r>
      <w:r w:rsidRPr="00733820">
        <w:rPr>
          <w:color w:val="000000"/>
          <w:szCs w:val="24"/>
          <w:lang w:val="en-US" w:eastAsia="ja-JP"/>
        </w:rPr>
        <w:noBreakHyphen/>
        <w:t>110379, Palo Alto, CA (1998).</w:t>
      </w:r>
    </w:p>
    <w:p w14:paraId="6FE95B01"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ELECTRIC POWER RESEARCH INSTITUTE, High Range Radiation Monitor Cable Study: Phase II, EPRI TR</w:t>
      </w:r>
      <w:r w:rsidRPr="00733820">
        <w:rPr>
          <w:color w:val="000000"/>
          <w:szCs w:val="24"/>
          <w:lang w:val="en-US" w:eastAsia="ja-JP"/>
        </w:rPr>
        <w:noBreakHyphen/>
        <w:t>112582, Palo Alto, CA (2000).</w:t>
      </w:r>
    </w:p>
    <w:p w14:paraId="66553ACF"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ELECTRIC POWER RESEARCH INSTITUTE, Guideline for the Management of Adverse Localized Equipment Environments, Electric Power Research Institute, EPRI TR-109619, Palo Alto, CA (1999).</w:t>
      </w:r>
    </w:p>
    <w:p w14:paraId="6EBE045E"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INTERNATIONAL ATOMIC ENERGY AGENCY, Ageing Management for Nuclear Power Plants, Safety Guide No. NS-G-2.12, IAEA, Vienna (2009).</w:t>
      </w:r>
    </w:p>
    <w:p w14:paraId="0ABA7CF1"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INTERNATIONAL ATOMIC ENERGY AGENCY, Assessing and Managing cable Ageing in Nuclear Power Plants, Technical Report No. NP-T-3.6, IAEA, Vienna (2012).</w:t>
      </w:r>
    </w:p>
    <w:p w14:paraId="2F57E785"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UNITED STATES NUCLEAR REGULATORY COMMISSION, Insights Gained From Aging Research, NUREG/CR-5643, USNRC, Washington, DC </w:t>
      </w:r>
      <w:r w:rsidR="00C11EFD" w:rsidRPr="00733820">
        <w:rPr>
          <w:color w:val="000000"/>
          <w:szCs w:val="24"/>
          <w:lang w:val="en-US" w:eastAsia="ja-JP"/>
        </w:rPr>
        <w:t>(</w:t>
      </w:r>
      <w:r w:rsidRPr="00733820">
        <w:rPr>
          <w:color w:val="000000"/>
          <w:szCs w:val="24"/>
          <w:lang w:val="en-US" w:eastAsia="ja-JP"/>
        </w:rPr>
        <w:t>1992</w:t>
      </w:r>
      <w:r w:rsidR="00C11EFD" w:rsidRPr="00733820">
        <w:rPr>
          <w:color w:val="000000"/>
          <w:szCs w:val="24"/>
          <w:lang w:val="en-US" w:eastAsia="ja-JP"/>
        </w:rPr>
        <w:t>)</w:t>
      </w:r>
      <w:r w:rsidRPr="00733820">
        <w:rPr>
          <w:color w:val="000000"/>
          <w:szCs w:val="24"/>
          <w:lang w:val="en-US" w:eastAsia="ja-JP"/>
        </w:rPr>
        <w:t>.</w:t>
      </w:r>
    </w:p>
    <w:p w14:paraId="5A59951C"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JAPAN NUCLEAR ENERGY SAFETY ORGANIZATION, Review Manual for Aging Management Technical Evaluation, JNES-RE-2013-9012, JNES, Tokyo (2013).</w:t>
      </w:r>
    </w:p>
    <w:p w14:paraId="39BA2B10"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SANDIA NATIONAL LABORATORIES, Nuclear Energy Plant Optimization (NEPO) Final Report on Aging and Condition Monitoring of Low-Voltage Cable Materials, SAND2005-7331, Sandia National Laboratories, Albuquerque, NM (2005).</w:t>
      </w:r>
    </w:p>
    <w:p w14:paraId="3612E120"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OGDEN ENVIRONMENTAL AND ENERGY SERVICES CO. / SANDIA NATIONAL LABORATORIES, Aging Management Guideline for Commercial Nuclear Power Plants - Electrical Cable and Terminations, SAND96</w:t>
      </w:r>
      <w:r w:rsidRPr="00733820">
        <w:rPr>
          <w:color w:val="000000"/>
          <w:szCs w:val="24"/>
          <w:lang w:val="en-US" w:eastAsia="ja-JP"/>
        </w:rPr>
        <w:softHyphen/>
      </w:r>
      <w:r w:rsidRPr="00733820">
        <w:rPr>
          <w:color w:val="000000"/>
          <w:szCs w:val="24"/>
          <w:lang w:val="en-US" w:eastAsia="ja-JP"/>
        </w:rPr>
        <w:noBreakHyphen/>
        <w:t>0344, Blue Bell, PA / Albuquerque, NM (1996).</w:t>
      </w:r>
    </w:p>
    <w:p w14:paraId="0D535A13" w14:textId="7D812CB5"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INTERNATIONAL ATOMIC ENERGY AGENCY, Assessment and Management of Ageing of Major Nuclear Power Plant Components Important to Safety: In</w:t>
      </w:r>
      <w:r w:rsidRPr="00733820">
        <w:rPr>
          <w:color w:val="000000"/>
          <w:szCs w:val="24"/>
          <w:lang w:val="en-US" w:eastAsia="ja-JP"/>
        </w:rPr>
        <w:noBreakHyphen/>
        <w:t>Containment Instrumentation and Control Cables, IAEA</w:t>
      </w:r>
      <w:r w:rsidRPr="00733820">
        <w:rPr>
          <w:color w:val="000000"/>
          <w:szCs w:val="24"/>
          <w:lang w:val="en-US" w:eastAsia="ja-JP"/>
        </w:rPr>
        <w:softHyphen/>
      </w:r>
      <w:r w:rsidRPr="00733820">
        <w:rPr>
          <w:color w:val="000000"/>
          <w:szCs w:val="24"/>
          <w:lang w:val="en-US" w:eastAsia="ja-JP"/>
        </w:rPr>
        <w:noBreakHyphen/>
        <w:t>TECDOC</w:t>
      </w:r>
      <w:r w:rsidRPr="00733820">
        <w:rPr>
          <w:color w:val="000000"/>
          <w:szCs w:val="24"/>
          <w:lang w:val="en-US" w:eastAsia="ja-JP"/>
        </w:rPr>
        <w:softHyphen/>
      </w:r>
      <w:r w:rsidRPr="00733820">
        <w:rPr>
          <w:color w:val="000000"/>
          <w:szCs w:val="24"/>
          <w:lang w:val="en-US" w:eastAsia="ja-JP"/>
        </w:rPr>
        <w:noBreakHyphen/>
        <w:t xml:space="preserve">1188, IAEA, Vienna (2000). </w:t>
      </w:r>
    </w:p>
    <w:p w14:paraId="51B34F63"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INSTITUTE OF ELECTRICAL AND ELECTRONIC ENGINEERS, IEEE Guide for Assessing, Monitoring and Mitigating Aging Effects on Class 1E Equipment Used in Nuclear Power Generating Stations, IEEE Std. 1205-2014.</w:t>
      </w:r>
    </w:p>
    <w:p w14:paraId="66F9638D" w14:textId="77777777"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t>UNITED STATES NUCLEAR REGULATORY COMMISSION, Condition Monitoring Techniques for Electric Cables Used in Nuclear Power Plants, USNRC Regulatory Guide 1.218, Washington, DC (2012).</w:t>
      </w:r>
    </w:p>
    <w:p w14:paraId="086D0938" w14:textId="729B7C79" w:rsidR="00EB7F8B" w:rsidRPr="00733820" w:rsidRDefault="00EB7F8B" w:rsidP="00733820">
      <w:pPr>
        <w:pStyle w:val="IGALLReferences"/>
        <w:numPr>
          <w:ilvl w:val="0"/>
          <w:numId w:val="2"/>
        </w:numPr>
        <w:ind w:left="567" w:hanging="567"/>
        <w:rPr>
          <w:color w:val="000000"/>
          <w:szCs w:val="24"/>
          <w:lang w:val="en-US" w:eastAsia="ja-JP"/>
        </w:rPr>
      </w:pPr>
      <w:r w:rsidRPr="00733820">
        <w:rPr>
          <w:color w:val="000000"/>
          <w:szCs w:val="24"/>
          <w:lang w:val="en-US" w:eastAsia="ja-JP"/>
        </w:rPr>
        <w:lastRenderedPageBreak/>
        <w:t>UNITED STATES NUCLEAR REGULATORY COMMISSION, 10 CFR</w:t>
      </w:r>
      <w:r w:rsidR="00C11EFD" w:rsidRPr="00733820">
        <w:rPr>
          <w:color w:val="000000"/>
          <w:szCs w:val="24"/>
          <w:lang w:val="en-US" w:eastAsia="ja-JP"/>
        </w:rPr>
        <w:t xml:space="preserve"> </w:t>
      </w:r>
      <w:r w:rsidRPr="00733820">
        <w:rPr>
          <w:color w:val="000000"/>
          <w:szCs w:val="24"/>
          <w:lang w:val="en-US" w:eastAsia="ja-JP"/>
        </w:rPr>
        <w:t>Part</w:t>
      </w:r>
      <w:r w:rsidR="00C11EFD" w:rsidRPr="00733820">
        <w:rPr>
          <w:color w:val="000000"/>
          <w:szCs w:val="24"/>
          <w:lang w:val="en-US" w:eastAsia="ja-JP"/>
        </w:rPr>
        <w:t> </w:t>
      </w:r>
      <w:r w:rsidRPr="00733820">
        <w:rPr>
          <w:color w:val="000000"/>
          <w:szCs w:val="24"/>
          <w:lang w:val="en-US" w:eastAsia="ja-JP"/>
        </w:rPr>
        <w:t>50, Appendix B, Quality Assurance Criteria for Nuclear Power Plants and Fuel Reprocessing Plants, US Govt Printing Office, Washington, DC (2015).</w:t>
      </w:r>
    </w:p>
    <w:p w14:paraId="5A075985" w14:textId="17DBB5FB" w:rsidR="00EB7F8B" w:rsidRPr="00733820" w:rsidRDefault="00A26B4A" w:rsidP="00733820">
      <w:pPr>
        <w:pStyle w:val="IGALLReferences"/>
        <w:numPr>
          <w:ilvl w:val="0"/>
          <w:numId w:val="2"/>
        </w:numPr>
        <w:ind w:left="567" w:hanging="567"/>
        <w:rPr>
          <w:color w:val="FF0000"/>
          <w:szCs w:val="24"/>
          <w:lang w:val="en-US" w:eastAsia="ja-JP"/>
        </w:rPr>
      </w:pPr>
      <w:r w:rsidRPr="00733820">
        <w:rPr>
          <w:color w:val="FF0000"/>
          <w:szCs w:val="24"/>
          <w:lang w:val="en-US" w:eastAsia="ja-JP"/>
        </w:rPr>
        <w:t xml:space="preserve">ELECTRIC POWER RESEARCH INSTITUTE, </w:t>
      </w:r>
      <w:r w:rsidR="00D6231D" w:rsidRPr="00733820">
        <w:rPr>
          <w:color w:val="FF0000"/>
          <w:szCs w:val="24"/>
          <w:lang w:val="en-US" w:eastAsia="ja-JP"/>
        </w:rPr>
        <w:t>Low-Voltage and Instrumentation and Control Cable Aging Management Guide, Revision 1. EPRI, Palo Alto, CA:  2017. 3002010641.</w:t>
      </w:r>
    </w:p>
    <w:p w14:paraId="67023BA6" w14:textId="77777777" w:rsidR="005C5444" w:rsidRPr="00EB7F8B" w:rsidRDefault="005C5444">
      <w:pPr>
        <w:rPr>
          <w:lang w:val="en-GB"/>
        </w:rPr>
      </w:pPr>
      <w:bookmarkStart w:id="0" w:name="_GoBack"/>
      <w:bookmarkEnd w:id="0"/>
    </w:p>
    <w:sectPr w:rsidR="005C5444" w:rsidRPr="00EB7F8B" w:rsidSect="005F16A0">
      <w:footerReference w:type="default" r:id="rId11"/>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37578" w14:textId="77777777" w:rsidR="00BB45AA" w:rsidRDefault="00BB45AA">
      <w:pPr>
        <w:spacing w:before="0" w:after="0"/>
      </w:pPr>
      <w:r>
        <w:separator/>
      </w:r>
    </w:p>
  </w:endnote>
  <w:endnote w:type="continuationSeparator" w:id="0">
    <w:p w14:paraId="28DD0913" w14:textId="77777777" w:rsidR="00BB45AA" w:rsidRDefault="00BB45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EF6D3" w14:textId="77777777" w:rsidR="003E2233" w:rsidRDefault="00EB7F8B">
    <w:pPr>
      <w:pStyle w:val="Footer"/>
      <w:jc w:val="center"/>
    </w:pPr>
    <w:r>
      <w:fldChar w:fldCharType="begin"/>
    </w:r>
    <w:r>
      <w:instrText xml:space="preserve"> PAGE   \* MERGEFORMAT </w:instrText>
    </w:r>
    <w:r>
      <w:fldChar w:fldCharType="separate"/>
    </w:r>
    <w:r w:rsidR="00686E79">
      <w:rPr>
        <w:noProof/>
      </w:rPr>
      <w:t>5</w:t>
    </w:r>
    <w:r>
      <w:fldChar w:fldCharType="end"/>
    </w:r>
  </w:p>
  <w:p w14:paraId="5E7F9EE5" w14:textId="77777777" w:rsidR="003E2233" w:rsidRDefault="003E2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A65FC" w14:textId="77777777" w:rsidR="00BB45AA" w:rsidRDefault="00BB45AA">
      <w:pPr>
        <w:spacing w:before="0" w:after="0"/>
      </w:pPr>
      <w:r>
        <w:separator/>
      </w:r>
    </w:p>
  </w:footnote>
  <w:footnote w:type="continuationSeparator" w:id="0">
    <w:p w14:paraId="6433D74C" w14:textId="77777777" w:rsidR="00BB45AA" w:rsidRDefault="00BB45A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76477"/>
    <w:multiLevelType w:val="hybridMultilevel"/>
    <w:tmpl w:val="E528BFC6"/>
    <w:lvl w:ilvl="0" w:tplc="90DCB768">
      <w:start w:val="1"/>
      <w:numFmt w:val="decimal"/>
      <w:lvlText w:val="[%1]"/>
      <w:lvlJc w:val="left"/>
      <w:pPr>
        <w:ind w:left="7448"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586365"/>
    <w:multiLevelType w:val="hybridMultilevel"/>
    <w:tmpl w:val="43CC7FF4"/>
    <w:lvl w:ilvl="0" w:tplc="0C0A000F">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8B"/>
    <w:rsid w:val="000154BC"/>
    <w:rsid w:val="00071923"/>
    <w:rsid w:val="001349C9"/>
    <w:rsid w:val="001759D2"/>
    <w:rsid w:val="001C3630"/>
    <w:rsid w:val="00235FA6"/>
    <w:rsid w:val="002B31CB"/>
    <w:rsid w:val="003773A5"/>
    <w:rsid w:val="003E2233"/>
    <w:rsid w:val="00433EF7"/>
    <w:rsid w:val="00511046"/>
    <w:rsid w:val="00564895"/>
    <w:rsid w:val="005C5444"/>
    <w:rsid w:val="005F16A0"/>
    <w:rsid w:val="00686E79"/>
    <w:rsid w:val="006A7BD3"/>
    <w:rsid w:val="006B7875"/>
    <w:rsid w:val="006C150B"/>
    <w:rsid w:val="006C7F31"/>
    <w:rsid w:val="007077DE"/>
    <w:rsid w:val="00733820"/>
    <w:rsid w:val="0082771E"/>
    <w:rsid w:val="0083195B"/>
    <w:rsid w:val="00880211"/>
    <w:rsid w:val="00895A4B"/>
    <w:rsid w:val="008B7852"/>
    <w:rsid w:val="008C2110"/>
    <w:rsid w:val="00941492"/>
    <w:rsid w:val="00946895"/>
    <w:rsid w:val="00962634"/>
    <w:rsid w:val="00992521"/>
    <w:rsid w:val="009A0344"/>
    <w:rsid w:val="009D0667"/>
    <w:rsid w:val="00A0496C"/>
    <w:rsid w:val="00A12912"/>
    <w:rsid w:val="00A26B4A"/>
    <w:rsid w:val="00A73C0B"/>
    <w:rsid w:val="00AA1357"/>
    <w:rsid w:val="00BB45AA"/>
    <w:rsid w:val="00C11EFD"/>
    <w:rsid w:val="00C5742D"/>
    <w:rsid w:val="00C938C0"/>
    <w:rsid w:val="00D6231D"/>
    <w:rsid w:val="00DF61D0"/>
    <w:rsid w:val="00E23BCA"/>
    <w:rsid w:val="00E823FA"/>
    <w:rsid w:val="00EA0FE4"/>
    <w:rsid w:val="00EB7F8B"/>
    <w:rsid w:val="00F33F84"/>
    <w:rsid w:val="00FB1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E8EE1C5"/>
  <w15:chartTrackingRefBased/>
  <w15:docId w15:val="{2C2F3265-4837-4897-9D82-251B6B9C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F8B"/>
    <w:pPr>
      <w:widowControl w:val="0"/>
      <w:suppressAutoHyphens/>
      <w:spacing w:before="120" w:after="120"/>
      <w:jc w:val="both"/>
    </w:pPr>
    <w:rPr>
      <w:rFonts w:ascii="Times New Roman" w:eastAsia="Arial Unicode MS" w:hAnsi="Times New Roman"/>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uiPriority w:val="32"/>
    <w:qFormat/>
    <w:rsid w:val="00EB7F8B"/>
    <w:rPr>
      <w:b/>
      <w:bCs/>
      <w:smallCaps/>
      <w:color w:val="C0504D"/>
      <w:spacing w:val="5"/>
      <w:u w:val="single"/>
    </w:rPr>
  </w:style>
  <w:style w:type="paragraph" w:customStyle="1" w:styleId="IGALLTitle1">
    <w:name w:val="IGALL Title 1"/>
    <w:basedOn w:val="Normal"/>
    <w:link w:val="IGALLTitle1Car"/>
    <w:qFormat/>
    <w:rsid w:val="00EB7F8B"/>
    <w:rPr>
      <w:b/>
      <w:bCs/>
      <w:lang w:val="en-GB"/>
    </w:rPr>
  </w:style>
  <w:style w:type="paragraph" w:customStyle="1" w:styleId="IGALLTitle2">
    <w:name w:val="IGALL Title 2"/>
    <w:basedOn w:val="Normal"/>
    <w:link w:val="IGALLTitle2Car"/>
    <w:qFormat/>
    <w:rsid w:val="00EB7F8B"/>
    <w:rPr>
      <w:b/>
      <w:bCs/>
      <w:lang w:val="en-GB"/>
    </w:rPr>
  </w:style>
  <w:style w:type="character" w:customStyle="1" w:styleId="IGALLTitle1Car">
    <w:name w:val="IGALL Title 1 Car"/>
    <w:link w:val="IGALLTitle1"/>
    <w:rsid w:val="00EB7F8B"/>
    <w:rPr>
      <w:rFonts w:ascii="Times New Roman" w:eastAsia="Arial Unicode MS" w:hAnsi="Times New Roman" w:cs="Times New Roman"/>
      <w:b/>
      <w:bCs/>
      <w:kern w:val="1"/>
      <w:sz w:val="24"/>
      <w:szCs w:val="24"/>
      <w:lang w:val="en-GB" w:eastAsia="ar-SA"/>
    </w:rPr>
  </w:style>
  <w:style w:type="paragraph" w:customStyle="1" w:styleId="IGALLTitle3">
    <w:name w:val="IGALL Title 3"/>
    <w:basedOn w:val="Normal"/>
    <w:link w:val="IGALLTitle3Car"/>
    <w:qFormat/>
    <w:rsid w:val="00EB7F8B"/>
    <w:pPr>
      <w:numPr>
        <w:numId w:val="1"/>
      </w:numPr>
    </w:pPr>
    <w:rPr>
      <w:b/>
      <w:bCs/>
      <w:lang w:val="en-GB"/>
    </w:rPr>
  </w:style>
  <w:style w:type="character" w:customStyle="1" w:styleId="IGALLTitle2Car">
    <w:name w:val="IGALL Title 2 Car"/>
    <w:link w:val="IGALLTitle2"/>
    <w:rsid w:val="00EB7F8B"/>
    <w:rPr>
      <w:rFonts w:ascii="Times New Roman" w:eastAsia="Arial Unicode MS" w:hAnsi="Times New Roman" w:cs="Times New Roman"/>
      <w:b/>
      <w:bCs/>
      <w:kern w:val="1"/>
      <w:sz w:val="24"/>
      <w:szCs w:val="24"/>
      <w:lang w:val="en-GB" w:eastAsia="ar-SA"/>
    </w:rPr>
  </w:style>
  <w:style w:type="paragraph" w:customStyle="1" w:styleId="IGALLReferencesTitle">
    <w:name w:val="IGALL References Title"/>
    <w:basedOn w:val="Normal"/>
    <w:link w:val="IGALLReferencesTitleCar"/>
    <w:qFormat/>
    <w:rsid w:val="00EB7F8B"/>
    <w:rPr>
      <w:b/>
      <w:bCs/>
      <w:lang w:val="en-GB"/>
    </w:rPr>
  </w:style>
  <w:style w:type="character" w:customStyle="1" w:styleId="IGALLTitle3Car">
    <w:name w:val="IGALL Title 3 Car"/>
    <w:link w:val="IGALLTitle3"/>
    <w:rsid w:val="00EB7F8B"/>
    <w:rPr>
      <w:rFonts w:ascii="Times New Roman" w:eastAsia="Arial Unicode MS" w:hAnsi="Times New Roman" w:cs="Times New Roman"/>
      <w:b/>
      <w:bCs/>
      <w:kern w:val="1"/>
      <w:sz w:val="24"/>
      <w:szCs w:val="24"/>
      <w:lang w:val="en-GB" w:eastAsia="ar-SA"/>
    </w:rPr>
  </w:style>
  <w:style w:type="paragraph" w:customStyle="1" w:styleId="IGALLReferences">
    <w:name w:val="IGALL References"/>
    <w:basedOn w:val="Normal"/>
    <w:link w:val="IGALLReferencesCar"/>
    <w:qFormat/>
    <w:rsid w:val="00EB7F8B"/>
    <w:pPr>
      <w:widowControl/>
      <w:suppressAutoHyphens w:val="0"/>
    </w:pPr>
    <w:rPr>
      <w:rFonts w:eastAsia="MS Mincho"/>
      <w:kern w:val="0"/>
      <w:szCs w:val="20"/>
      <w:lang w:val="x-none" w:eastAsia="x-none"/>
    </w:rPr>
  </w:style>
  <w:style w:type="character" w:customStyle="1" w:styleId="IGALLReferencesTitleCar">
    <w:name w:val="IGALL References Title Car"/>
    <w:link w:val="IGALLReferencesTitle"/>
    <w:rsid w:val="00EB7F8B"/>
    <w:rPr>
      <w:rFonts w:ascii="Times New Roman" w:eastAsia="Arial Unicode MS" w:hAnsi="Times New Roman" w:cs="Times New Roman"/>
      <w:b/>
      <w:bCs/>
      <w:kern w:val="1"/>
      <w:sz w:val="24"/>
      <w:szCs w:val="24"/>
      <w:lang w:val="en-GB" w:eastAsia="ar-SA"/>
    </w:rPr>
  </w:style>
  <w:style w:type="character" w:customStyle="1" w:styleId="IGALLReferencesCar">
    <w:name w:val="IGALL References Car"/>
    <w:link w:val="IGALLReferences"/>
    <w:rsid w:val="00EB7F8B"/>
    <w:rPr>
      <w:rFonts w:ascii="Times New Roman" w:eastAsia="MS Mincho" w:hAnsi="Times New Roman" w:cs="Times New Roman"/>
      <w:sz w:val="24"/>
      <w:szCs w:val="20"/>
      <w:lang w:val="x-none" w:eastAsia="x-none"/>
    </w:rPr>
  </w:style>
  <w:style w:type="paragraph" w:styleId="Header">
    <w:name w:val="header"/>
    <w:basedOn w:val="Normal"/>
    <w:link w:val="HeaderChar"/>
    <w:uiPriority w:val="99"/>
    <w:rsid w:val="00EB7F8B"/>
    <w:pPr>
      <w:widowControl/>
      <w:tabs>
        <w:tab w:val="center" w:pos="4320"/>
        <w:tab w:val="right" w:pos="8640"/>
      </w:tabs>
      <w:suppressAutoHyphens w:val="0"/>
      <w:jc w:val="left"/>
    </w:pPr>
    <w:rPr>
      <w:rFonts w:ascii="Arial" w:eastAsia="Times New Roman" w:hAnsi="Arial"/>
      <w:kern w:val="0"/>
      <w:sz w:val="20"/>
      <w:szCs w:val="20"/>
      <w:lang w:eastAsia="x-none"/>
    </w:rPr>
  </w:style>
  <w:style w:type="character" w:customStyle="1" w:styleId="HeaderChar">
    <w:name w:val="Header Char"/>
    <w:link w:val="Header"/>
    <w:uiPriority w:val="99"/>
    <w:rsid w:val="00EB7F8B"/>
    <w:rPr>
      <w:rFonts w:ascii="Arial" w:eastAsia="Times New Roman" w:hAnsi="Arial" w:cs="Times New Roman"/>
      <w:sz w:val="20"/>
      <w:szCs w:val="20"/>
      <w:lang w:val="en-US" w:eastAsia="x-none"/>
    </w:rPr>
  </w:style>
  <w:style w:type="paragraph" w:styleId="Footer">
    <w:name w:val="footer"/>
    <w:basedOn w:val="Normal"/>
    <w:link w:val="FooterChar"/>
    <w:uiPriority w:val="99"/>
    <w:unhideWhenUsed/>
    <w:rsid w:val="00EB7F8B"/>
    <w:pPr>
      <w:tabs>
        <w:tab w:val="center" w:pos="4252"/>
        <w:tab w:val="right" w:pos="8504"/>
      </w:tabs>
    </w:pPr>
    <w:rPr>
      <w:rFonts w:ascii="Arial" w:hAnsi="Arial"/>
      <w:sz w:val="20"/>
    </w:rPr>
  </w:style>
  <w:style w:type="character" w:customStyle="1" w:styleId="FooterChar">
    <w:name w:val="Footer Char"/>
    <w:link w:val="Footer"/>
    <w:uiPriority w:val="99"/>
    <w:rsid w:val="00EB7F8B"/>
    <w:rPr>
      <w:rFonts w:ascii="Arial" w:eastAsia="Arial Unicode MS" w:hAnsi="Arial" w:cs="Times New Roman"/>
      <w:kern w:val="1"/>
      <w:sz w:val="20"/>
      <w:szCs w:val="24"/>
      <w:lang w:val="en-US" w:eastAsia="ar-SA"/>
    </w:rPr>
  </w:style>
  <w:style w:type="paragraph" w:styleId="BalloonText">
    <w:name w:val="Balloon Text"/>
    <w:basedOn w:val="Normal"/>
    <w:link w:val="BalloonTextChar"/>
    <w:uiPriority w:val="99"/>
    <w:semiHidden/>
    <w:unhideWhenUsed/>
    <w:rsid w:val="00EB7F8B"/>
    <w:pPr>
      <w:spacing w:before="0" w:after="0"/>
    </w:pPr>
    <w:rPr>
      <w:rFonts w:ascii="Segoe UI" w:hAnsi="Segoe UI"/>
      <w:sz w:val="18"/>
      <w:szCs w:val="18"/>
    </w:rPr>
  </w:style>
  <w:style w:type="character" w:customStyle="1" w:styleId="BalloonTextChar">
    <w:name w:val="Balloon Text Char"/>
    <w:link w:val="BalloonText"/>
    <w:uiPriority w:val="99"/>
    <w:semiHidden/>
    <w:rsid w:val="00EB7F8B"/>
    <w:rPr>
      <w:rFonts w:ascii="Segoe UI" w:eastAsia="Arial Unicode MS" w:hAnsi="Segoe UI" w:cs="Segoe UI"/>
      <w:kern w:val="1"/>
      <w:sz w:val="18"/>
      <w:szCs w:val="18"/>
      <w:lang w:val="en-US" w:eastAsia="ar-SA"/>
    </w:rPr>
  </w:style>
  <w:style w:type="paragraph" w:styleId="Revision">
    <w:name w:val="Revision"/>
    <w:hidden/>
    <w:uiPriority w:val="99"/>
    <w:semiHidden/>
    <w:rsid w:val="00EB7F8B"/>
    <w:rPr>
      <w:rFonts w:ascii="Times New Roman" w:eastAsia="Arial Unicode MS" w:hAnsi="Times New Roman"/>
      <w:kern w:val="1"/>
      <w:sz w:val="24"/>
      <w:szCs w:val="24"/>
      <w:lang w:val="en-US" w:eastAsia="ar-SA"/>
    </w:rPr>
  </w:style>
  <w:style w:type="character" w:styleId="CommentReference">
    <w:name w:val="annotation reference"/>
    <w:uiPriority w:val="99"/>
    <w:semiHidden/>
    <w:unhideWhenUsed/>
    <w:rsid w:val="00941492"/>
    <w:rPr>
      <w:sz w:val="16"/>
      <w:szCs w:val="16"/>
    </w:rPr>
  </w:style>
  <w:style w:type="paragraph" w:styleId="CommentText">
    <w:name w:val="annotation text"/>
    <w:basedOn w:val="Normal"/>
    <w:link w:val="CommentTextChar"/>
    <w:uiPriority w:val="99"/>
    <w:semiHidden/>
    <w:unhideWhenUsed/>
    <w:rsid w:val="00941492"/>
    <w:rPr>
      <w:sz w:val="20"/>
      <w:szCs w:val="20"/>
    </w:rPr>
  </w:style>
  <w:style w:type="character" w:customStyle="1" w:styleId="CommentTextChar">
    <w:name w:val="Comment Text Char"/>
    <w:link w:val="CommentText"/>
    <w:uiPriority w:val="99"/>
    <w:semiHidden/>
    <w:rsid w:val="00941492"/>
    <w:rPr>
      <w:rFonts w:ascii="Times New Roman" w:eastAsia="Arial Unicode MS" w:hAnsi="Times New Roman"/>
      <w:kern w:val="1"/>
      <w:lang w:val="en-US" w:eastAsia="ar-SA"/>
    </w:rPr>
  </w:style>
  <w:style w:type="paragraph" w:styleId="CommentSubject">
    <w:name w:val="annotation subject"/>
    <w:basedOn w:val="CommentText"/>
    <w:next w:val="CommentText"/>
    <w:link w:val="CommentSubjectChar"/>
    <w:uiPriority w:val="99"/>
    <w:semiHidden/>
    <w:unhideWhenUsed/>
    <w:rsid w:val="00941492"/>
    <w:rPr>
      <w:b/>
      <w:bCs/>
    </w:rPr>
  </w:style>
  <w:style w:type="character" w:customStyle="1" w:styleId="CommentSubjectChar">
    <w:name w:val="Comment Subject Char"/>
    <w:link w:val="CommentSubject"/>
    <w:uiPriority w:val="99"/>
    <w:semiHidden/>
    <w:rsid w:val="00941492"/>
    <w:rPr>
      <w:rFonts w:ascii="Times New Roman" w:eastAsia="Arial Unicode MS" w:hAnsi="Times New Roman"/>
      <w:b/>
      <w:bCs/>
      <w:kern w:val="1"/>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Props1.xml><?xml version="1.0" encoding="utf-8"?>
<ds:datastoreItem xmlns:ds="http://schemas.openxmlformats.org/officeDocument/2006/customXml" ds:itemID="{CBD52899-4E2A-4715-BBD8-B817375063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D7A113-3501-4E58-B723-ADDCAA936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4DA4C8-FB3B-46CA-B9D8-F9194C93D09B}">
  <ds:schemaRefs>
    <ds:schemaRef ds:uri="http://schemas.microsoft.com/sharepoint/v3/contenttype/forms"/>
  </ds:schemaRefs>
</ds:datastoreItem>
</file>

<file path=customXml/itemProps4.xml><?xml version="1.0" encoding="utf-8"?>
<ds:datastoreItem xmlns:ds="http://schemas.openxmlformats.org/officeDocument/2006/customXml" ds:itemID="{05A40FEE-441E-48CC-90BF-278F6704F328}">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1921</Words>
  <Characters>10953</Characters>
  <Application>Microsoft Office Word</Application>
  <DocSecurity>0</DocSecurity>
  <Lines>91</Lines>
  <Paragraphs>25</Paragraphs>
  <ScaleCrop>false</ScaleCrop>
  <HeadingPairs>
    <vt:vector size="6" baseType="variant">
      <vt:variant>
        <vt:lpstr>Title</vt:lpstr>
      </vt:variant>
      <vt:variant>
        <vt:i4>1</vt:i4>
      </vt:variant>
      <vt:variant>
        <vt:lpstr>Název</vt:lpstr>
      </vt:variant>
      <vt:variant>
        <vt:i4>1</vt:i4>
      </vt:variant>
      <vt:variant>
        <vt:lpstr>Titel</vt:lpstr>
      </vt:variant>
      <vt:variant>
        <vt:i4>1</vt:i4>
      </vt:variant>
    </vt:vector>
  </HeadingPairs>
  <TitlesOfParts>
    <vt:vector size="3" baseType="lpstr">
      <vt:lpstr/>
      <vt:lpstr/>
      <vt:lpstr/>
    </vt:vector>
  </TitlesOfParts>
  <Company>IAEA</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Ralf-Michael Zander</dc:creator>
  <cp:keywords/>
  <cp:lastModifiedBy>PETOFI, Gabor</cp:lastModifiedBy>
  <cp:revision>8</cp:revision>
  <dcterms:created xsi:type="dcterms:W3CDTF">2020-11-12T15:04:00Z</dcterms:created>
  <dcterms:modified xsi:type="dcterms:W3CDTF">2020-12-19T08:07:00Z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1590242269</vt:i4>
  </property>
  <property fmtid="{D5CDD505-2E9C-101B-9397-08002B2CF9AE}" pid="4" name="_EmailSubject">
    <vt:lpwstr>Action item 1.1a and 1.1b (6-1, 6-2)</vt:lpwstr>
  </property>
  <property fmtid="{D5CDD505-2E9C-101B-9397-08002B2CF9AE}" pid="5" name="_AuthorEmail">
    <vt:lpwstr>mlm@iberdrola.es</vt:lpwstr>
  </property>
  <property fmtid="{D5CDD505-2E9C-101B-9397-08002B2CF9AE}" pid="6" name="_AuthorEmailDisplayName">
    <vt:lpwstr>Calatayud Mateo, Miguel Angel</vt:lpwstr>
  </property>
  <property fmtid="{D5CDD505-2E9C-101B-9397-08002B2CF9AE}" pid="7" name="_ReviewingToolsShownOnce">
    <vt:lpwstr/>
  </property>
</Properties>
</file>