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1F00D" w14:textId="6CB30CCE" w:rsidR="005E3DAC" w:rsidRPr="000F2E20" w:rsidRDefault="00881B27" w:rsidP="006C3FE1">
      <w:pPr>
        <w:pStyle w:val="IGALLTitle1"/>
        <w:ind w:left="1134" w:hanging="1134"/>
        <w:jc w:val="left"/>
      </w:pPr>
      <w:r>
        <w:t>AMP</w:t>
      </w:r>
      <w:r w:rsidR="0086476F">
        <w:t xml:space="preserve"> </w:t>
      </w:r>
      <w:r>
        <w:t>205</w:t>
      </w:r>
      <w:r w:rsidR="0086476F">
        <w:tab/>
      </w:r>
      <w:r w:rsidR="00952C0B" w:rsidRPr="00952C0B">
        <w:t>FUSE HOLDERS</w:t>
      </w:r>
      <w:r w:rsidR="005E3DAC" w:rsidRPr="000F2E20">
        <w:t xml:space="preserve"> </w:t>
      </w:r>
      <w:bookmarkStart w:id="0" w:name="_GoBack"/>
      <w:bookmarkEnd w:id="0"/>
      <w:r w:rsidR="00D33B76">
        <w:t xml:space="preserve"> </w:t>
      </w:r>
      <w:r w:rsidR="00D33B76">
        <w:rPr>
          <w:rFonts w:eastAsia="Times New Roman"/>
          <w:caps/>
          <w:lang w:eastAsia="en-US"/>
        </w:rPr>
        <w:t>NOT SUBJECT TO ENVIRONMENTAL QUALIFICATION REQUIREMENTS</w:t>
      </w:r>
      <w:r w:rsidR="00ED1515">
        <w:rPr>
          <w:rFonts w:eastAsia="Times New Roman"/>
          <w:caps/>
          <w:lang w:eastAsia="en-US"/>
        </w:rPr>
        <w:t xml:space="preserve"> </w:t>
      </w:r>
      <w:r w:rsidR="00ED1515">
        <w:t xml:space="preserve"> (VERSION 20</w:t>
      </w:r>
      <w:r w:rsidR="006C3FE1">
        <w:t>20</w:t>
      </w:r>
      <w:r w:rsidR="00ED1515">
        <w:t>)</w:t>
      </w:r>
    </w:p>
    <w:p w14:paraId="5D531DD4" w14:textId="77777777" w:rsidR="005E3DAC" w:rsidRPr="002259A6" w:rsidRDefault="005E3DAC" w:rsidP="006C3FE1">
      <w:pPr>
        <w:pStyle w:val="IGALLTitle1"/>
      </w:pPr>
      <w:r w:rsidRPr="002259A6">
        <w:t>Programme Description</w:t>
      </w:r>
    </w:p>
    <w:p w14:paraId="58AC38A3" w14:textId="77777777" w:rsidR="00952C0B" w:rsidRPr="002259A6" w:rsidRDefault="00952C0B" w:rsidP="006C3FE1">
      <w:r w:rsidRPr="002259A6">
        <w:t xml:space="preserve">The purpose of the AMP described herein is to provide reasonable assurance that the intended functions of the metallic clamps of fuse holders are maintained consistent with the current licensing basis through the </w:t>
      </w:r>
      <w:r w:rsidR="00506B2F">
        <w:t xml:space="preserve">intended </w:t>
      </w:r>
      <w:r w:rsidRPr="002259A6">
        <w:t>period of</w:t>
      </w:r>
      <w:r w:rsidR="00506B2F">
        <w:t xml:space="preserve"> </w:t>
      </w:r>
      <w:r w:rsidRPr="002259A6">
        <w:t>operation</w:t>
      </w:r>
      <w:r w:rsidR="0086476F">
        <w:t xml:space="preserve"> </w:t>
      </w:r>
      <w:r w:rsidR="001C7D86">
        <w:t>[1-3]</w:t>
      </w:r>
      <w:r w:rsidR="00135D78">
        <w:t>.</w:t>
      </w:r>
      <w:r w:rsidR="0035054F" w:rsidRPr="002259A6" w:rsidDel="004B76DE">
        <w:t xml:space="preserve"> </w:t>
      </w:r>
      <w:r w:rsidRPr="002259A6">
        <w:t>Fuse holders (fuse blocks) are classified as a specialized type of terminal block because of the similarity in fuse holder design and construction to that of a terminal block. Fuse holders are typically constructed of blocks of rigid insulating material, such as phenolic resins. Metallic clamps (clips) are attached to the blocks to hold each end of the fuse. The clamps, which are typically made of copper, can be spring-loaded clips that allow the fuse ferrules or blades to slip in, or they can be bolt lugs, to which the fuse ends are bolted.</w:t>
      </w:r>
    </w:p>
    <w:p w14:paraId="6205B142" w14:textId="77777777" w:rsidR="00952C0B" w:rsidRPr="002259A6" w:rsidRDefault="008F7B58" w:rsidP="006C3FE1">
      <w:r w:rsidRPr="002259A6">
        <w:t>AMP</w:t>
      </w:r>
      <w:r w:rsidR="0086476F">
        <w:t xml:space="preserve"> </w:t>
      </w:r>
      <w:r w:rsidRPr="002259A6">
        <w:t>201</w:t>
      </w:r>
      <w:r w:rsidR="00952C0B" w:rsidRPr="002259A6">
        <w:t xml:space="preserve"> manages the </w:t>
      </w:r>
      <w:r w:rsidR="0077534C" w:rsidRPr="002259A6">
        <w:t>ageing</w:t>
      </w:r>
      <w:r w:rsidR="00952C0B" w:rsidRPr="002259A6">
        <w:t xml:space="preserve"> of insulating material but not the metallic clamps of the fuse holders. The AMP for fuse holders (metallic clamps) needs to account for the following </w:t>
      </w:r>
      <w:r w:rsidR="0077534C" w:rsidRPr="002259A6">
        <w:t>ageing</w:t>
      </w:r>
      <w:r w:rsidR="00952C0B" w:rsidRPr="002259A6">
        <w:t xml:space="preserve"> stressors if applicable: increased resistance of connection due to chemical contamination, corrosion, and oxidation or fatigue caused by ohmic heating, thermal cycling, electrical transients, frequent manipulation, or vibration. </w:t>
      </w:r>
      <w:r w:rsidR="00215E36" w:rsidRPr="002259A6">
        <w:t>AMP</w:t>
      </w:r>
      <w:r w:rsidR="0086476F">
        <w:t xml:space="preserve"> </w:t>
      </w:r>
      <w:r w:rsidR="00534150" w:rsidRPr="002259A6">
        <w:t>201</w:t>
      </w:r>
      <w:r w:rsidR="00952C0B" w:rsidRPr="002259A6">
        <w:rPr>
          <w:color w:val="0000FF"/>
          <w:lang w:eastAsia="ja-JP"/>
        </w:rPr>
        <w:t xml:space="preserve"> </w:t>
      </w:r>
      <w:r w:rsidR="00952C0B" w:rsidRPr="002259A6">
        <w:t xml:space="preserve">is based on only a visual inspection of accessible cables and connections. Visual inspection is not sufficient to detect the </w:t>
      </w:r>
      <w:r w:rsidR="0077534C" w:rsidRPr="002259A6">
        <w:t>ageing</w:t>
      </w:r>
      <w:r w:rsidR="00952C0B" w:rsidRPr="002259A6">
        <w:t xml:space="preserve"> effects from chemical contamination, corrosion, oxidation, fatigue, or vibration on the metallic clamps of the fuse holder.</w:t>
      </w:r>
    </w:p>
    <w:p w14:paraId="0F6E2E56" w14:textId="77777777" w:rsidR="00952C0B" w:rsidRPr="00543FBC" w:rsidRDefault="00952C0B" w:rsidP="006C3FE1">
      <w:r w:rsidRPr="00543FBC">
        <w:t xml:space="preserve">Fuse holders that are within the scope </w:t>
      </w:r>
      <w:r w:rsidR="00FD0156" w:rsidRPr="00543FBC">
        <w:t xml:space="preserve">according to national </w:t>
      </w:r>
      <w:r w:rsidR="00534150" w:rsidRPr="00543FBC">
        <w:t>regulatory requirements</w:t>
      </w:r>
      <w:r w:rsidRPr="00543FBC">
        <w:t xml:space="preserve"> </w:t>
      </w:r>
      <w:r w:rsidR="00052F39">
        <w:t>are</w:t>
      </w:r>
      <w:r w:rsidRPr="00543FBC">
        <w:t xml:space="preserve"> tested to provide an indication of the condition of the metallic clamps of the fuse holders. The specific type of test performed is determined prior to the initial test and is to be a proven test for detecting deterioration of metallic clamps of the fuse holders, such as thermography, contact resistance testing, or other </w:t>
      </w:r>
      <w:r w:rsidR="00027F5D" w:rsidRPr="00543FBC">
        <w:t>proven</w:t>
      </w:r>
      <w:r w:rsidR="009B57FE" w:rsidRPr="00543FBC">
        <w:t xml:space="preserve"> </w:t>
      </w:r>
      <w:r w:rsidRPr="00543FBC">
        <w:t>test justified in the application.</w:t>
      </w:r>
    </w:p>
    <w:p w14:paraId="10F4484D" w14:textId="77777777" w:rsidR="005E3DAC" w:rsidRDefault="00534150" w:rsidP="006C3FE1">
      <w:r w:rsidRPr="002259A6">
        <w:t xml:space="preserve">Operating experience has shown that </w:t>
      </w:r>
      <w:r w:rsidR="00952C0B" w:rsidRPr="002259A6">
        <w:t xml:space="preserve">fuse holders experience a number of age-related failures. The major concern is that failures of a deteriorated cable system (cables, connections including fuse holders, and penetrations) might be induced during accident conditions. Since they are not subject to the environmental qualification requirements, an AMP is required to manage the </w:t>
      </w:r>
      <w:r w:rsidR="0077534C" w:rsidRPr="002259A6">
        <w:t>ageing</w:t>
      </w:r>
      <w:r w:rsidR="00952C0B" w:rsidRPr="002259A6">
        <w:t xml:space="preserve"> effects. This AMP ensures that fuse holders will perform their intended function for the </w:t>
      </w:r>
      <w:r w:rsidR="00506B2F">
        <w:t xml:space="preserve">intended </w:t>
      </w:r>
      <w:r w:rsidR="00952C0B" w:rsidRPr="002259A6">
        <w:t>period of operation</w:t>
      </w:r>
      <w:r w:rsidR="001C7D86">
        <w:t xml:space="preserve"> [4-7]</w:t>
      </w:r>
      <w:r w:rsidR="00DA2C45">
        <w:t>.</w:t>
      </w:r>
    </w:p>
    <w:p w14:paraId="06866826" w14:textId="77777777" w:rsidR="007C3D05" w:rsidRDefault="0053308E" w:rsidP="006C3FE1">
      <w:r w:rsidRPr="00E8374A">
        <w:rPr>
          <w:rFonts w:cs="Arial"/>
          <w:strike/>
          <w:color w:val="4F81BD"/>
          <w:kern w:val="24"/>
        </w:rPr>
        <w:t xml:space="preserve"> </w:t>
      </w:r>
    </w:p>
    <w:p w14:paraId="6D5639CA" w14:textId="77777777" w:rsidR="005E3DAC" w:rsidRPr="002259A6" w:rsidRDefault="005E3DAC" w:rsidP="006C3FE1">
      <w:pPr>
        <w:pStyle w:val="IGALLTitle2"/>
      </w:pPr>
      <w:r w:rsidRPr="002259A6">
        <w:t>Evaluation and Technical Basis</w:t>
      </w:r>
    </w:p>
    <w:p w14:paraId="1FF3FF3C" w14:textId="77777777" w:rsidR="005E3DAC" w:rsidRPr="002259A6" w:rsidRDefault="005E3DAC" w:rsidP="006C3FE1">
      <w:pPr>
        <w:pStyle w:val="IGALLTitle3"/>
        <w:tabs>
          <w:tab w:val="left" w:pos="426"/>
        </w:tabs>
        <w:ind w:left="0" w:firstLine="0"/>
        <w:rPr>
          <w:i/>
        </w:rPr>
      </w:pPr>
      <w:r w:rsidRPr="002259A6">
        <w:rPr>
          <w:i/>
        </w:rPr>
        <w:t>Scope of the ageing management programme</w:t>
      </w:r>
      <w:r w:rsidR="0077534C" w:rsidRPr="002259A6">
        <w:rPr>
          <w:i/>
        </w:rPr>
        <w:t xml:space="preserve"> based on understanding ageing</w:t>
      </w:r>
      <w:r w:rsidR="00276191" w:rsidRPr="002259A6">
        <w:rPr>
          <w:i/>
        </w:rPr>
        <w:t>:</w:t>
      </w:r>
    </w:p>
    <w:p w14:paraId="6E935638" w14:textId="77777777" w:rsidR="005E3DAC" w:rsidRDefault="00BE4835" w:rsidP="006C3FE1">
      <w:r w:rsidRPr="002259A6">
        <w:t>This AMP manages fuse holders</w:t>
      </w:r>
      <w:r w:rsidR="000A052B" w:rsidRPr="002259A6">
        <w:t xml:space="preserve">, within the scope according </w:t>
      </w:r>
      <w:r w:rsidR="000A052B" w:rsidRPr="00543FBC">
        <w:t xml:space="preserve">to national </w:t>
      </w:r>
      <w:r w:rsidR="00534150" w:rsidRPr="00543FBC">
        <w:t>regulatory requirements</w:t>
      </w:r>
      <w:r w:rsidR="000A052B" w:rsidRPr="00543FBC">
        <w:t>,</w:t>
      </w:r>
      <w:r w:rsidR="000A052B" w:rsidRPr="002259A6">
        <w:t xml:space="preserve"> </w:t>
      </w:r>
      <w:r w:rsidRPr="002259A6">
        <w:t xml:space="preserve">(metallic clamps) considered susceptible to the following </w:t>
      </w:r>
      <w:r w:rsidR="0077534C" w:rsidRPr="002259A6">
        <w:t>ageing</w:t>
      </w:r>
      <w:r w:rsidRPr="002259A6">
        <w:t xml:space="preserve"> effects: increased resistance of connection due to chemical contamination, corrosion, oxidation</w:t>
      </w:r>
      <w:r w:rsidR="000A052B" w:rsidRPr="002259A6">
        <w:t>,</w:t>
      </w:r>
      <w:r w:rsidRPr="002259A6">
        <w:t xml:space="preserve"> </w:t>
      </w:r>
      <w:r w:rsidR="00534150" w:rsidRPr="002259A6">
        <w:t xml:space="preserve">and </w:t>
      </w:r>
      <w:r w:rsidRPr="002259A6">
        <w:t xml:space="preserve">fatigue caused by ohmic heating, thermal cycling, electrical transients, frequent manipulation, or vibration. </w:t>
      </w:r>
    </w:p>
    <w:p w14:paraId="255F8FBE" w14:textId="77777777" w:rsidR="005E3DAC" w:rsidRPr="002259A6" w:rsidRDefault="005E3DAC" w:rsidP="006C3FE1">
      <w:pPr>
        <w:pStyle w:val="IGALLTitle3"/>
        <w:tabs>
          <w:tab w:val="left" w:pos="426"/>
        </w:tabs>
        <w:ind w:left="0" w:firstLine="0"/>
        <w:rPr>
          <w:i/>
        </w:rPr>
      </w:pPr>
      <w:r w:rsidRPr="002259A6">
        <w:rPr>
          <w:i/>
        </w:rPr>
        <w:t>Preventive actions to minimize and control ageing degradation</w:t>
      </w:r>
      <w:r w:rsidR="00276191" w:rsidRPr="002259A6">
        <w:rPr>
          <w:i/>
        </w:rPr>
        <w:t>:</w:t>
      </w:r>
    </w:p>
    <w:p w14:paraId="5E1A26FE" w14:textId="77777777" w:rsidR="005E3DAC" w:rsidRDefault="00BE4835" w:rsidP="006C3FE1">
      <w:r w:rsidRPr="002259A6">
        <w:t xml:space="preserve">This is a condition monitoring </w:t>
      </w:r>
      <w:r w:rsidR="001E5FF9">
        <w:t xml:space="preserve">programme </w:t>
      </w:r>
      <w:r w:rsidRPr="002259A6">
        <w:t xml:space="preserve">and no actions are taken as part of this </w:t>
      </w:r>
      <w:r w:rsidR="001E5FF9">
        <w:t xml:space="preserve">programme </w:t>
      </w:r>
      <w:r w:rsidRPr="002259A6">
        <w:t xml:space="preserve">to prevent or mitigate </w:t>
      </w:r>
      <w:r w:rsidR="0077534C" w:rsidRPr="002259A6">
        <w:t>ageing</w:t>
      </w:r>
      <w:r w:rsidRPr="002259A6">
        <w:t xml:space="preserve"> degradation.</w:t>
      </w:r>
    </w:p>
    <w:p w14:paraId="2C56B63E" w14:textId="77777777" w:rsidR="00926DF0" w:rsidRPr="006C3FE1" w:rsidRDefault="00926DF0" w:rsidP="006C3FE1"/>
    <w:p w14:paraId="159A2571" w14:textId="77777777" w:rsidR="005E3DAC" w:rsidRPr="002259A6" w:rsidRDefault="005E3DAC" w:rsidP="006C3FE1">
      <w:pPr>
        <w:pStyle w:val="IGALLTitle3"/>
        <w:tabs>
          <w:tab w:val="left" w:pos="426"/>
        </w:tabs>
        <w:ind w:left="0" w:firstLine="0"/>
        <w:rPr>
          <w:i/>
        </w:rPr>
      </w:pPr>
      <w:r w:rsidRPr="002259A6">
        <w:rPr>
          <w:i/>
        </w:rPr>
        <w:t>Detection of ageing effects</w:t>
      </w:r>
      <w:r w:rsidR="00276191" w:rsidRPr="002259A6">
        <w:rPr>
          <w:i/>
        </w:rPr>
        <w:t>:</w:t>
      </w:r>
    </w:p>
    <w:p w14:paraId="559B2D60" w14:textId="77777777" w:rsidR="005E3DAC" w:rsidRDefault="00BE4835" w:rsidP="006C3FE1">
      <w:pPr>
        <w:rPr>
          <w:bCs/>
          <w:lang w:val="en-GB"/>
        </w:rPr>
      </w:pPr>
      <w:r w:rsidRPr="002259A6">
        <w:t xml:space="preserve">Fuse holders are </w:t>
      </w:r>
      <w:r w:rsidR="00534150" w:rsidRPr="002259A6">
        <w:t xml:space="preserve">to be </w:t>
      </w:r>
      <w:r w:rsidRPr="002259A6">
        <w:t xml:space="preserve">tested </w:t>
      </w:r>
      <w:r w:rsidR="00534150" w:rsidRPr="002259A6">
        <w:t>on a periodic basis</w:t>
      </w:r>
      <w:r w:rsidR="00DD5566" w:rsidRPr="002259A6">
        <w:t xml:space="preserve"> </w:t>
      </w:r>
      <w:r w:rsidRPr="002259A6">
        <w:t xml:space="preserve">to provide an indication of the condition of the </w:t>
      </w:r>
      <w:r w:rsidRPr="002259A6">
        <w:lastRenderedPageBreak/>
        <w:t xml:space="preserve">metallic clamp of the fuse holder. Testing may include thermography, contact resistance testing, or other </w:t>
      </w:r>
      <w:r w:rsidR="00027F5D">
        <w:t>proven</w:t>
      </w:r>
      <w:r w:rsidRPr="002259A6">
        <w:t xml:space="preserve"> test methods.</w:t>
      </w:r>
      <w:r w:rsidR="00DD5566" w:rsidRPr="002259A6">
        <w:rPr>
          <w:bCs/>
          <w:lang w:val="en-GB"/>
        </w:rPr>
        <w:t xml:space="preserve"> </w:t>
      </w:r>
    </w:p>
    <w:p w14:paraId="5B9F4126" w14:textId="7F8E6605" w:rsidR="004E7C52" w:rsidRPr="004562D3" w:rsidRDefault="00C668CC" w:rsidP="006C3FE1">
      <w:pPr>
        <w:rPr>
          <w:bCs/>
          <w:color w:val="FF0000"/>
          <w:lang w:val="en-GB"/>
        </w:rPr>
      </w:pPr>
      <w:r w:rsidRPr="004562D3">
        <w:rPr>
          <w:bCs/>
          <w:color w:val="FF0000"/>
          <w:lang w:val="en-GB"/>
        </w:rPr>
        <w:t xml:space="preserve">A population of aged fuse holders is tested on a periodical basis according to national regulations on a representative population (defined by the NPP). If negative </w:t>
      </w:r>
      <w:r w:rsidR="006C3FE1" w:rsidRPr="004562D3">
        <w:rPr>
          <w:bCs/>
          <w:color w:val="FF0000"/>
          <w:lang w:val="en-GB"/>
        </w:rPr>
        <w:t xml:space="preserve">operating experience </w:t>
      </w:r>
      <w:r w:rsidRPr="004562D3">
        <w:rPr>
          <w:bCs/>
          <w:color w:val="FF0000"/>
          <w:lang w:val="en-GB"/>
        </w:rPr>
        <w:t xml:space="preserve">is detected, </w:t>
      </w:r>
      <w:r w:rsidR="00CA55EA" w:rsidRPr="004562D3">
        <w:rPr>
          <w:bCs/>
          <w:color w:val="FF0000"/>
          <w:lang w:val="en-GB"/>
        </w:rPr>
        <w:t>defect fuse holders removed from the installation should be submitted to potential complementary tests to understand the ageing effect. Depending on the conclusions of the additional investigations, the population to be tested could be expanded.</w:t>
      </w:r>
    </w:p>
    <w:p w14:paraId="07932B32" w14:textId="77777777" w:rsidR="005E3DAC" w:rsidRPr="002259A6" w:rsidRDefault="005E3DAC" w:rsidP="006C3FE1">
      <w:pPr>
        <w:pStyle w:val="IGALLTitle3"/>
        <w:tabs>
          <w:tab w:val="left" w:pos="426"/>
        </w:tabs>
        <w:ind w:left="0" w:firstLine="0"/>
        <w:rPr>
          <w:i/>
        </w:rPr>
      </w:pPr>
      <w:r w:rsidRPr="002259A6">
        <w:rPr>
          <w:i/>
        </w:rPr>
        <w:t>Monitoring and trending of ageing effects</w:t>
      </w:r>
      <w:r w:rsidR="00276191" w:rsidRPr="002259A6">
        <w:rPr>
          <w:i/>
        </w:rPr>
        <w:t>:</w:t>
      </w:r>
    </w:p>
    <w:p w14:paraId="33ECCF38" w14:textId="77777777" w:rsidR="005E3DAC" w:rsidRDefault="00BE4835" w:rsidP="006C3FE1">
      <w:r w:rsidRPr="002259A6">
        <w:t xml:space="preserve">Trending actions are not included as part of this AMP because the ability to trend test results is dependent on the specific type of test chosen. However, results that are </w:t>
      </w:r>
      <w:proofErr w:type="spellStart"/>
      <w:r w:rsidRPr="002259A6">
        <w:t>trendable</w:t>
      </w:r>
      <w:proofErr w:type="spellEnd"/>
      <w:r w:rsidRPr="002259A6">
        <w:t xml:space="preserve"> provide additional information on the rate of degradation.</w:t>
      </w:r>
    </w:p>
    <w:p w14:paraId="1ED657B6" w14:textId="77777777" w:rsidR="005D2897" w:rsidRPr="006C3FE1" w:rsidRDefault="005D2897" w:rsidP="006C3FE1"/>
    <w:p w14:paraId="1FEF95B8" w14:textId="77777777" w:rsidR="005E3DAC" w:rsidRPr="002259A6" w:rsidRDefault="005E3DAC" w:rsidP="006C3FE1">
      <w:pPr>
        <w:pStyle w:val="IGALLTitle3"/>
        <w:tabs>
          <w:tab w:val="left" w:pos="426"/>
        </w:tabs>
        <w:ind w:left="0" w:firstLine="0"/>
        <w:rPr>
          <w:i/>
        </w:rPr>
      </w:pPr>
      <w:r w:rsidRPr="002259A6">
        <w:rPr>
          <w:i/>
        </w:rPr>
        <w:t>Mitigating ageing effects</w:t>
      </w:r>
      <w:r w:rsidR="00276191" w:rsidRPr="002259A6">
        <w:rPr>
          <w:i/>
        </w:rPr>
        <w:t>:</w:t>
      </w:r>
    </w:p>
    <w:p w14:paraId="454F7AF3" w14:textId="77777777" w:rsidR="00534150" w:rsidRDefault="00534150" w:rsidP="006C3FE1">
      <w:r w:rsidRPr="002259A6">
        <w:t xml:space="preserve">This </w:t>
      </w:r>
      <w:r w:rsidR="001E5FF9">
        <w:t xml:space="preserve">programme </w:t>
      </w:r>
      <w:r w:rsidRPr="002259A6">
        <w:t>is a condition monitoring program</w:t>
      </w:r>
      <w:r w:rsidR="00FB244F">
        <w:t>me</w:t>
      </w:r>
      <w:r w:rsidRPr="002259A6">
        <w:t xml:space="preserve">. This </w:t>
      </w:r>
      <w:r w:rsidR="001E5FF9">
        <w:t xml:space="preserve">programme </w:t>
      </w:r>
      <w:r w:rsidRPr="002259A6">
        <w:t xml:space="preserve">has no specific operations, maintenance, repair or replacement mitigation aspects.   </w:t>
      </w:r>
    </w:p>
    <w:p w14:paraId="152CA495" w14:textId="77777777" w:rsidR="0086476F" w:rsidRDefault="0086476F" w:rsidP="006C3FE1"/>
    <w:p w14:paraId="6CB2959C" w14:textId="77777777" w:rsidR="005E3DAC" w:rsidRPr="002259A6" w:rsidRDefault="005E3DAC" w:rsidP="006C3FE1">
      <w:pPr>
        <w:pStyle w:val="IGALLTitle3"/>
        <w:tabs>
          <w:tab w:val="left" w:pos="426"/>
        </w:tabs>
        <w:ind w:left="0" w:firstLine="0"/>
        <w:rPr>
          <w:i/>
        </w:rPr>
      </w:pPr>
      <w:r w:rsidRPr="002259A6">
        <w:rPr>
          <w:i/>
        </w:rPr>
        <w:t>Acceptance criteria</w:t>
      </w:r>
      <w:r w:rsidR="00276191" w:rsidRPr="002259A6">
        <w:rPr>
          <w:i/>
        </w:rPr>
        <w:t>:</w:t>
      </w:r>
    </w:p>
    <w:p w14:paraId="1A226554" w14:textId="77777777" w:rsidR="005E3DAC" w:rsidRDefault="00BE4835" w:rsidP="006C3FE1">
      <w:r w:rsidRPr="002259A6">
        <w:t>The acceptance criteria for each test are defined by the specific type of test performed and the specific type of fuse holder tested. The metallic clamp of the fuse holder needs to be below the maximum allowed temperature for the application when thermography is used; otherwise, a low resistance value appropriate for the application when resistance measurement is used.</w:t>
      </w:r>
    </w:p>
    <w:p w14:paraId="34961179" w14:textId="77777777" w:rsidR="005D2897" w:rsidRPr="008C04A6" w:rsidRDefault="005D2897" w:rsidP="006C3FE1"/>
    <w:p w14:paraId="7C290D25" w14:textId="77777777" w:rsidR="005E3DAC" w:rsidRPr="002259A6" w:rsidRDefault="005E3DAC" w:rsidP="006C3FE1">
      <w:pPr>
        <w:pStyle w:val="IGALLTitle3"/>
        <w:tabs>
          <w:tab w:val="left" w:pos="426"/>
        </w:tabs>
        <w:ind w:left="0" w:firstLine="0"/>
        <w:rPr>
          <w:i/>
        </w:rPr>
      </w:pPr>
      <w:r w:rsidRPr="002259A6">
        <w:rPr>
          <w:i/>
        </w:rPr>
        <w:t>Corrective actions</w:t>
      </w:r>
      <w:r w:rsidR="00276191" w:rsidRPr="002259A6">
        <w:rPr>
          <w:i/>
        </w:rPr>
        <w:t>:</w:t>
      </w:r>
    </w:p>
    <w:p w14:paraId="4DEA3B80" w14:textId="77777777" w:rsidR="005E3DAC" w:rsidRDefault="00380DA6" w:rsidP="006C3FE1">
      <w:r w:rsidRPr="002259A6">
        <w:t>A</w:t>
      </w:r>
      <w:r w:rsidR="00BE4835" w:rsidRPr="002259A6">
        <w:t xml:space="preserve">n engineering evaluation is </w:t>
      </w:r>
      <w:proofErr w:type="gramStart"/>
      <w:r w:rsidR="00BE4835" w:rsidRPr="002259A6">
        <w:t>performed</w:t>
      </w:r>
      <w:proofErr w:type="gramEnd"/>
      <w:r w:rsidR="00BE4835" w:rsidRPr="002259A6">
        <w:t xml:space="preserve"> </w:t>
      </w:r>
      <w:r w:rsidRPr="002259A6">
        <w:t xml:space="preserve">and corrective actions are taken </w:t>
      </w:r>
      <w:r w:rsidR="00BE4835" w:rsidRPr="002259A6">
        <w:t>when the test acceptance criteria are not met in order to ensure that the intended functions of the fuse holders can be maintained</w:t>
      </w:r>
      <w:r w:rsidR="00BE4835" w:rsidRPr="002259A6">
        <w:rPr>
          <w:kern w:val="22"/>
        </w:rPr>
        <w:t xml:space="preserve"> consistent with the current licensing basis.</w:t>
      </w:r>
      <w:r w:rsidR="00BE4835" w:rsidRPr="002259A6">
        <w:t xml:space="preserve"> Such an evaluation is to consider the significance of the test results, the operability of the component, the reportability of the event, the extent of the concern, the potential root causes for not meeting the test acceptance criteria, the corrective action necessary, and the likelihood of recurrence. </w:t>
      </w:r>
    </w:p>
    <w:p w14:paraId="2DF98F78" w14:textId="77777777" w:rsidR="006C3FE1" w:rsidRDefault="006C3FE1" w:rsidP="006C3FE1"/>
    <w:p w14:paraId="5A01ACA2" w14:textId="77777777" w:rsidR="001921EA" w:rsidRPr="00052F39" w:rsidRDefault="00714736" w:rsidP="006C3FE1">
      <w:pPr>
        <w:pStyle w:val="IGALLTitle3"/>
        <w:tabs>
          <w:tab w:val="left" w:pos="426"/>
        </w:tabs>
        <w:ind w:left="0" w:firstLine="0"/>
        <w:rPr>
          <w:i/>
        </w:rPr>
      </w:pPr>
      <w:r w:rsidRPr="00A15A28">
        <w:rPr>
          <w:i/>
        </w:rPr>
        <w:t>Operating experience feedback and feedback of research and development results:</w:t>
      </w:r>
    </w:p>
    <w:p w14:paraId="0D48ABFB" w14:textId="77777777" w:rsidR="00800440" w:rsidRPr="00800440" w:rsidRDefault="00800440" w:rsidP="006C3FE1">
      <w:pPr>
        <w:pStyle w:val="IGALLTitle3"/>
        <w:numPr>
          <w:ilvl w:val="0"/>
          <w:numId w:val="0"/>
        </w:numPr>
        <w:rPr>
          <w:b w:val="0"/>
          <w:i/>
        </w:rPr>
      </w:pPr>
      <w:r w:rsidRPr="00800440">
        <w:rPr>
          <w:b w:val="0"/>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  </w:t>
      </w:r>
    </w:p>
    <w:p w14:paraId="37FA6997" w14:textId="77777777" w:rsidR="00800440" w:rsidRPr="002259A6" w:rsidRDefault="00800440" w:rsidP="006C3FE1">
      <w:r w:rsidRPr="002259A6">
        <w:t>Operating experience has shown that loosening of fuse holders and corrosion of fuse clips are ageing mechanisms that, if left unmanaged, can lead to a loss of electrical continuity function. Operating experience in NUREG-1760 documented fuse holder failures due to fatigue and recommends maintenance procedures be reviewed to minimize removal and reinsertion of fuses to de-energize components (as this can lead to degradation of the fuse holders).</w:t>
      </w:r>
    </w:p>
    <w:p w14:paraId="1CB1A28B" w14:textId="77777777" w:rsidR="00800440" w:rsidRDefault="00800440" w:rsidP="006C3FE1">
      <w:pPr>
        <w:pStyle w:val="ListParagraph"/>
        <w:widowControl/>
        <w:suppressAutoHyphens w:val="0"/>
        <w:ind w:left="0"/>
        <w:contextualSpacing w:val="0"/>
        <w:jc w:val="left"/>
        <w:rPr>
          <w:color w:val="000000"/>
          <w:lang w:val="en-GB"/>
        </w:rPr>
      </w:pPr>
      <w:r>
        <w:rPr>
          <w:color w:val="000000"/>
          <w:lang w:val="en-GB"/>
        </w:rPr>
        <w:t>A</w:t>
      </w:r>
      <w:r>
        <w:t>t the time when this AMP was produced, no relevant R&amp;D was identified.</w:t>
      </w:r>
    </w:p>
    <w:p w14:paraId="65B57C6B" w14:textId="77777777" w:rsidR="00063F41" w:rsidRPr="002259A6" w:rsidRDefault="00063F41" w:rsidP="006C3FE1"/>
    <w:p w14:paraId="7E731179" w14:textId="77777777" w:rsidR="005E3DAC" w:rsidRPr="002259A6" w:rsidRDefault="005E3DAC" w:rsidP="006C3FE1">
      <w:pPr>
        <w:pStyle w:val="IGALLTitle3"/>
        <w:tabs>
          <w:tab w:val="left" w:pos="426"/>
        </w:tabs>
        <w:ind w:left="0" w:firstLine="0"/>
        <w:rPr>
          <w:i/>
        </w:rPr>
      </w:pPr>
      <w:r w:rsidRPr="002259A6">
        <w:rPr>
          <w:i/>
        </w:rPr>
        <w:t>Quality management</w:t>
      </w:r>
      <w:r w:rsidR="00276191" w:rsidRPr="002259A6">
        <w:rPr>
          <w:i/>
        </w:rPr>
        <w:t>:</w:t>
      </w:r>
    </w:p>
    <w:p w14:paraId="1F7251C9" w14:textId="116AF06D" w:rsidR="00A873D2" w:rsidRPr="002259A6" w:rsidRDefault="00A873D2" w:rsidP="006C3FE1">
      <w:r w:rsidRPr="002259A6">
        <w:rPr>
          <w:rFonts w:eastAsia="Arial"/>
          <w:color w:val="000000"/>
          <w:lang w:eastAsia="ja-JP"/>
        </w:rPr>
        <w:t>Site quality assurance procedures, review and approval processes, and administrative controls are implemented in accordance with the different national regulatory requirements (</w:t>
      </w:r>
      <w:r w:rsidR="006F433E">
        <w:rPr>
          <w:rFonts w:eastAsia="Arial"/>
          <w:color w:val="000000"/>
          <w:lang w:eastAsia="ja-JP"/>
        </w:rPr>
        <w:t>e.g.</w:t>
      </w:r>
      <w:r w:rsidRPr="002259A6">
        <w:rPr>
          <w:rFonts w:eastAsia="Arial"/>
          <w:color w:val="000000"/>
          <w:lang w:eastAsia="ja-JP"/>
        </w:rPr>
        <w:t xml:space="preserve"> 10 CFR 50, Appendix B</w:t>
      </w:r>
      <w:r w:rsidR="00DA2C45">
        <w:rPr>
          <w:rFonts w:eastAsia="Arial"/>
          <w:color w:val="000000"/>
          <w:lang w:eastAsia="ja-JP"/>
        </w:rPr>
        <w:t xml:space="preserve"> </w:t>
      </w:r>
      <w:r w:rsidR="004B76DE">
        <w:rPr>
          <w:rFonts w:eastAsia="Arial"/>
          <w:color w:val="000000"/>
          <w:lang w:eastAsia="ja-JP"/>
        </w:rPr>
        <w:fldChar w:fldCharType="begin"/>
      </w:r>
      <w:r w:rsidR="004B76DE">
        <w:rPr>
          <w:rFonts w:eastAsia="Arial"/>
          <w:color w:val="000000"/>
          <w:lang w:eastAsia="ja-JP"/>
        </w:rPr>
        <w:instrText xml:space="preserve"> REF _Ref353550063 \r \h </w:instrText>
      </w:r>
      <w:r w:rsidR="0086476F">
        <w:rPr>
          <w:rFonts w:eastAsia="Arial"/>
          <w:color w:val="000000"/>
          <w:lang w:eastAsia="ja-JP"/>
        </w:rPr>
        <w:instrText xml:space="preserve"> \* MERGEFORMAT </w:instrText>
      </w:r>
      <w:r w:rsidR="004B76DE">
        <w:rPr>
          <w:rFonts w:eastAsia="Arial"/>
          <w:color w:val="000000"/>
          <w:lang w:eastAsia="ja-JP"/>
        </w:rPr>
      </w:r>
      <w:r w:rsidR="004B76DE">
        <w:rPr>
          <w:rFonts w:eastAsia="Arial"/>
          <w:color w:val="000000"/>
          <w:lang w:eastAsia="ja-JP"/>
        </w:rPr>
        <w:fldChar w:fldCharType="separate"/>
      </w:r>
      <w:r w:rsidR="00052F39">
        <w:rPr>
          <w:rFonts w:eastAsia="Arial"/>
          <w:color w:val="000000"/>
          <w:lang w:eastAsia="ja-JP"/>
        </w:rPr>
        <w:t>[8]</w:t>
      </w:r>
      <w:r w:rsidR="004B76DE">
        <w:rPr>
          <w:rFonts w:eastAsia="Arial"/>
          <w:color w:val="000000"/>
          <w:lang w:eastAsia="ja-JP"/>
        </w:rPr>
        <w:fldChar w:fldCharType="end"/>
      </w:r>
      <w:r w:rsidRPr="002259A6">
        <w:rPr>
          <w:rFonts w:eastAsia="Arial"/>
          <w:color w:val="000000"/>
          <w:lang w:eastAsia="ja-JP"/>
        </w:rPr>
        <w:t>).</w:t>
      </w:r>
    </w:p>
    <w:p w14:paraId="7FB84530" w14:textId="77777777" w:rsidR="00A32037" w:rsidRDefault="00A32037" w:rsidP="006C3FE1">
      <w:pPr>
        <w:pStyle w:val="IGALLReferencesTitle"/>
      </w:pPr>
    </w:p>
    <w:p w14:paraId="5B4332FA" w14:textId="77777777" w:rsidR="00C34CD2" w:rsidRPr="00F8120E" w:rsidRDefault="005E3DAC" w:rsidP="006C3FE1">
      <w:pPr>
        <w:pStyle w:val="IGALLReferencesTitle"/>
      </w:pPr>
      <w:r w:rsidRPr="00F8120E">
        <w:t xml:space="preserve">References </w:t>
      </w:r>
    </w:p>
    <w:p w14:paraId="3C079A6E" w14:textId="77777777" w:rsidR="00A61241" w:rsidRPr="00052F39" w:rsidRDefault="00F8120E" w:rsidP="006C3FE1">
      <w:pPr>
        <w:pStyle w:val="IGALLReferences"/>
        <w:tabs>
          <w:tab w:val="clear" w:pos="360"/>
        </w:tabs>
        <w:ind w:left="567" w:hanging="567"/>
        <w:rPr>
          <w:rFonts w:ascii="Times New Roman" w:hAnsi="Times New Roman"/>
        </w:rPr>
      </w:pPr>
      <w:bookmarkStart w:id="1" w:name="_Ref353549966"/>
      <w:r w:rsidRPr="00052F39">
        <w:rPr>
          <w:rFonts w:ascii="Times New Roman" w:hAnsi="Times New Roman"/>
        </w:rPr>
        <w:t xml:space="preserve">UNITED STATES NUCLEAR REGULATORY COMMISSION, </w:t>
      </w:r>
      <w:r w:rsidR="00A61241" w:rsidRPr="00052F39">
        <w:rPr>
          <w:rFonts w:ascii="Times New Roman" w:hAnsi="Times New Roman"/>
        </w:rPr>
        <w:t>Fuse Holders</w:t>
      </w:r>
      <w:r w:rsidR="009D0ECF" w:rsidRPr="00052F39">
        <w:rPr>
          <w:rFonts w:ascii="Times New Roman" w:hAnsi="Times New Roman"/>
        </w:rPr>
        <w:t>,</w:t>
      </w:r>
      <w:r w:rsidR="00F218AB" w:rsidRPr="00052F39">
        <w:rPr>
          <w:rFonts w:ascii="Times New Roman" w:hAnsi="Times New Roman"/>
        </w:rPr>
        <w:t xml:space="preserve"> NUREG 1801 Rev.2 Chapter XI.E5, USNRC,</w:t>
      </w:r>
      <w:r w:rsidR="009D0ECF" w:rsidRPr="00052F39">
        <w:rPr>
          <w:rFonts w:ascii="Times New Roman" w:hAnsi="Times New Roman"/>
        </w:rPr>
        <w:t xml:space="preserve"> December 2010</w:t>
      </w:r>
      <w:bookmarkEnd w:id="1"/>
      <w:r w:rsidR="00596A54" w:rsidRPr="00052F39">
        <w:rPr>
          <w:rFonts w:ascii="Times New Roman" w:hAnsi="Times New Roman"/>
        </w:rPr>
        <w:t>.</w:t>
      </w:r>
    </w:p>
    <w:p w14:paraId="0ABC403C" w14:textId="59A2FED7" w:rsidR="00F8120E" w:rsidRPr="004562D3" w:rsidRDefault="00F218AB" w:rsidP="00DD2BC9">
      <w:pPr>
        <w:pStyle w:val="IGALLReferences"/>
        <w:tabs>
          <w:tab w:val="clear" w:pos="360"/>
        </w:tabs>
        <w:ind w:left="567" w:hanging="567"/>
        <w:rPr>
          <w:rFonts w:ascii="Times New Roman" w:hAnsi="Times New Roman"/>
          <w:color w:val="FF0000"/>
        </w:rPr>
      </w:pPr>
      <w:bookmarkStart w:id="2" w:name="_Ref353549971"/>
      <w:r w:rsidRPr="004562D3">
        <w:rPr>
          <w:rFonts w:ascii="Times New Roman" w:hAnsi="Times New Roman"/>
          <w:color w:val="FF0000"/>
        </w:rPr>
        <w:t xml:space="preserve">INTERNATIONAL ATOMIC ENERGY AGENCY, </w:t>
      </w:r>
      <w:r w:rsidR="00F8120E" w:rsidRPr="004562D3">
        <w:rPr>
          <w:rFonts w:ascii="Times New Roman" w:hAnsi="Times New Roman"/>
          <w:color w:val="FF0000"/>
        </w:rPr>
        <w:t xml:space="preserve">Ageing Management </w:t>
      </w:r>
      <w:r w:rsidR="00DD2BC9" w:rsidRPr="004562D3">
        <w:rPr>
          <w:rFonts w:ascii="Times New Roman" w:hAnsi="Times New Roman"/>
          <w:color w:val="FF0000"/>
        </w:rPr>
        <w:t>and Development of a Programme for Long Term Operation of</w:t>
      </w:r>
      <w:r w:rsidR="00F8120E" w:rsidRPr="004562D3">
        <w:rPr>
          <w:rFonts w:ascii="Times New Roman" w:hAnsi="Times New Roman"/>
          <w:color w:val="FF0000"/>
        </w:rPr>
        <w:t xml:space="preserve"> Nuclear Power Plants, Safety Guide No. </w:t>
      </w:r>
      <w:r w:rsidR="00DD2BC9" w:rsidRPr="004562D3">
        <w:rPr>
          <w:rFonts w:ascii="Times New Roman" w:hAnsi="Times New Roman"/>
          <w:color w:val="FF0000"/>
        </w:rPr>
        <w:t>SSG-48</w:t>
      </w:r>
      <w:r w:rsidR="002230C0" w:rsidRPr="004562D3">
        <w:rPr>
          <w:rFonts w:ascii="Times New Roman" w:hAnsi="Times New Roman"/>
          <w:color w:val="FF0000"/>
        </w:rPr>
        <w:t>, IAEA, Vienna</w:t>
      </w:r>
      <w:r w:rsidR="00DD2BC9" w:rsidRPr="004562D3">
        <w:rPr>
          <w:rFonts w:ascii="Times New Roman" w:hAnsi="Times New Roman"/>
          <w:color w:val="FF0000"/>
        </w:rPr>
        <w:t>, 2018</w:t>
      </w:r>
      <w:r w:rsidR="002230C0" w:rsidRPr="004562D3">
        <w:rPr>
          <w:rFonts w:ascii="Times New Roman" w:hAnsi="Times New Roman"/>
          <w:color w:val="FF0000"/>
        </w:rPr>
        <w:t>.</w:t>
      </w:r>
      <w:bookmarkEnd w:id="2"/>
    </w:p>
    <w:p w14:paraId="72F90234" w14:textId="5D176B59" w:rsidR="004B76DE" w:rsidRPr="004562D3" w:rsidRDefault="00406852" w:rsidP="006C3FE1">
      <w:pPr>
        <w:pStyle w:val="IGALLReferences"/>
        <w:tabs>
          <w:tab w:val="clear" w:pos="360"/>
        </w:tabs>
        <w:ind w:left="567" w:hanging="567"/>
        <w:rPr>
          <w:rFonts w:ascii="Times New Roman" w:hAnsi="Times New Roman"/>
          <w:color w:val="FF0000"/>
          <w:lang w:val="de-DE"/>
        </w:rPr>
      </w:pPr>
      <w:bookmarkStart w:id="3" w:name="_Ref353550277"/>
      <w:r w:rsidRPr="004562D3">
        <w:rPr>
          <w:rStyle w:val="IntenseReference"/>
          <w:rFonts w:ascii="Times New Roman" w:hAnsi="Times New Roman"/>
          <w:b w:val="0"/>
          <w:bCs w:val="0"/>
          <w:smallCaps w:val="0"/>
          <w:color w:val="FF0000"/>
          <w:spacing w:val="0"/>
          <w:u w:val="none"/>
          <w:lang w:val="de-DE"/>
        </w:rPr>
        <w:t xml:space="preserve">KERNTECHNISCHER AUSSCHUSS, </w:t>
      </w:r>
      <w:r w:rsidR="004B76DE" w:rsidRPr="004562D3">
        <w:rPr>
          <w:rStyle w:val="IntenseReference"/>
          <w:rFonts w:ascii="Times New Roman" w:hAnsi="Times New Roman"/>
          <w:b w:val="0"/>
          <w:bCs w:val="0"/>
          <w:smallCaps w:val="0"/>
          <w:color w:val="FF0000"/>
          <w:spacing w:val="0"/>
          <w:u w:val="none"/>
          <w:lang w:val="de-DE"/>
        </w:rPr>
        <w:t>Ageing Management in Nuclear Power Plants, KTA Standard 1403, KTA, Germany, November 201</w:t>
      </w:r>
      <w:bookmarkEnd w:id="3"/>
      <w:r w:rsidR="00C668CC" w:rsidRPr="004562D3">
        <w:rPr>
          <w:rStyle w:val="IntenseReference"/>
          <w:rFonts w:ascii="Times New Roman" w:hAnsi="Times New Roman"/>
          <w:b w:val="0"/>
          <w:bCs w:val="0"/>
          <w:smallCaps w:val="0"/>
          <w:color w:val="FF0000"/>
          <w:spacing w:val="0"/>
          <w:u w:val="none"/>
          <w:lang w:val="de-DE"/>
        </w:rPr>
        <w:t>7</w:t>
      </w:r>
      <w:r w:rsidR="00596A54" w:rsidRPr="004562D3">
        <w:rPr>
          <w:rStyle w:val="IntenseReference"/>
          <w:rFonts w:ascii="Times New Roman" w:hAnsi="Times New Roman"/>
          <w:b w:val="0"/>
          <w:bCs w:val="0"/>
          <w:smallCaps w:val="0"/>
          <w:color w:val="FF0000"/>
          <w:spacing w:val="0"/>
          <w:u w:val="none"/>
          <w:lang w:val="de-DE"/>
        </w:rPr>
        <w:t>.</w:t>
      </w:r>
      <w:r w:rsidRPr="004562D3">
        <w:rPr>
          <w:rStyle w:val="IntenseReference"/>
          <w:rFonts w:ascii="Times New Roman" w:hAnsi="Times New Roman"/>
          <w:b w:val="0"/>
          <w:bCs w:val="0"/>
          <w:smallCaps w:val="0"/>
          <w:color w:val="FF0000"/>
          <w:spacing w:val="0"/>
          <w:u w:val="none"/>
          <w:lang w:val="de-DE"/>
        </w:rPr>
        <w:t xml:space="preserve"> </w:t>
      </w:r>
    </w:p>
    <w:p w14:paraId="55D67EDF" w14:textId="77777777" w:rsidR="00A61241" w:rsidRPr="00052F39" w:rsidRDefault="00F8120E" w:rsidP="006C3FE1">
      <w:pPr>
        <w:pStyle w:val="IGALLReferences"/>
        <w:tabs>
          <w:tab w:val="clear" w:pos="360"/>
        </w:tabs>
        <w:ind w:left="567" w:hanging="567"/>
        <w:rPr>
          <w:rFonts w:ascii="Times New Roman" w:hAnsi="Times New Roman"/>
        </w:rPr>
      </w:pPr>
      <w:bookmarkStart w:id="4" w:name="_Ref353550002"/>
      <w:r w:rsidRPr="00052F39">
        <w:rPr>
          <w:rFonts w:ascii="Times New Roman" w:hAnsi="Times New Roman"/>
        </w:rPr>
        <w:t>UNITED STATES NUCLEAR REGULATORY COMMISSION</w:t>
      </w:r>
      <w:r w:rsidR="002230C0" w:rsidRPr="00052F39">
        <w:rPr>
          <w:rFonts w:ascii="Times New Roman" w:hAnsi="Times New Roman"/>
        </w:rPr>
        <w:t>,</w:t>
      </w:r>
      <w:r w:rsidRPr="00052F39">
        <w:rPr>
          <w:rFonts w:ascii="Times New Roman" w:hAnsi="Times New Roman"/>
        </w:rPr>
        <w:t xml:space="preserve"> </w:t>
      </w:r>
      <w:r w:rsidR="00A61241" w:rsidRPr="00052F39">
        <w:rPr>
          <w:rFonts w:ascii="Times New Roman" w:hAnsi="Times New Roman"/>
        </w:rPr>
        <w:t xml:space="preserve">Loss of Offsite Power Upon an Automatic Bus Transfer, </w:t>
      </w:r>
      <w:r w:rsidR="002230C0" w:rsidRPr="00052F39">
        <w:rPr>
          <w:rFonts w:ascii="Times New Roman" w:hAnsi="Times New Roman"/>
        </w:rPr>
        <w:t xml:space="preserve">NRC Information Notice 86-87, USNRC, </w:t>
      </w:r>
      <w:r w:rsidR="00A61241" w:rsidRPr="00052F39">
        <w:rPr>
          <w:rFonts w:ascii="Times New Roman" w:hAnsi="Times New Roman"/>
        </w:rPr>
        <w:t>October 10, 1986.</w:t>
      </w:r>
      <w:bookmarkEnd w:id="4"/>
    </w:p>
    <w:p w14:paraId="20CE2620" w14:textId="77777777" w:rsidR="00A61241" w:rsidRPr="00052F39" w:rsidRDefault="00F8120E" w:rsidP="006C3FE1">
      <w:pPr>
        <w:pStyle w:val="IGALLReferences"/>
        <w:tabs>
          <w:tab w:val="clear" w:pos="360"/>
        </w:tabs>
        <w:ind w:left="567" w:hanging="567"/>
        <w:rPr>
          <w:rFonts w:ascii="Times New Roman" w:hAnsi="Times New Roman"/>
        </w:rPr>
      </w:pPr>
      <w:bookmarkStart w:id="5" w:name="_Ref353550006"/>
      <w:r w:rsidRPr="00052F39">
        <w:rPr>
          <w:rFonts w:ascii="Times New Roman" w:hAnsi="Times New Roman"/>
        </w:rPr>
        <w:t>UNITED STATES NUCLEAR REGULATORY COMMISSION</w:t>
      </w:r>
      <w:r w:rsidR="002230C0" w:rsidRPr="00052F39">
        <w:rPr>
          <w:rFonts w:ascii="Times New Roman" w:hAnsi="Times New Roman"/>
        </w:rPr>
        <w:t>,</w:t>
      </w:r>
      <w:r w:rsidRPr="00052F39">
        <w:rPr>
          <w:rFonts w:ascii="Times New Roman" w:hAnsi="Times New Roman"/>
        </w:rPr>
        <w:t xml:space="preserve"> </w:t>
      </w:r>
      <w:r w:rsidR="00A61241" w:rsidRPr="00052F39">
        <w:rPr>
          <w:rFonts w:ascii="Times New Roman" w:hAnsi="Times New Roman"/>
        </w:rPr>
        <w:t xml:space="preserve">Diesel Generator Fuse Contacts, </w:t>
      </w:r>
      <w:r w:rsidR="002230C0" w:rsidRPr="00052F39">
        <w:rPr>
          <w:rFonts w:ascii="Times New Roman" w:hAnsi="Times New Roman"/>
        </w:rPr>
        <w:t xml:space="preserve">NRC Information Notice 87-42, USNRC, </w:t>
      </w:r>
      <w:r w:rsidR="00A61241" w:rsidRPr="00052F39">
        <w:rPr>
          <w:rFonts w:ascii="Times New Roman" w:hAnsi="Times New Roman"/>
        </w:rPr>
        <w:t>September 4, 1987.</w:t>
      </w:r>
      <w:bookmarkEnd w:id="5"/>
    </w:p>
    <w:p w14:paraId="1F996FCB" w14:textId="77777777" w:rsidR="00A61241" w:rsidRPr="00052F39" w:rsidRDefault="00F8120E" w:rsidP="006C3FE1">
      <w:pPr>
        <w:pStyle w:val="IGALLReferences"/>
        <w:tabs>
          <w:tab w:val="clear" w:pos="360"/>
        </w:tabs>
        <w:ind w:left="567" w:hanging="567"/>
        <w:rPr>
          <w:rFonts w:ascii="Times New Roman" w:hAnsi="Times New Roman"/>
        </w:rPr>
      </w:pPr>
      <w:bookmarkStart w:id="6" w:name="_Ref353550014"/>
      <w:r w:rsidRPr="00052F39">
        <w:rPr>
          <w:rFonts w:ascii="Times New Roman" w:hAnsi="Times New Roman"/>
        </w:rPr>
        <w:t>UNITED STATES NUCLEAR REGULATORY COMMISSION</w:t>
      </w:r>
      <w:r w:rsidR="002230C0" w:rsidRPr="00052F39">
        <w:rPr>
          <w:rFonts w:ascii="Times New Roman" w:hAnsi="Times New Roman"/>
        </w:rPr>
        <w:t>,</w:t>
      </w:r>
      <w:r w:rsidRPr="00052F39">
        <w:rPr>
          <w:rFonts w:ascii="Times New Roman" w:hAnsi="Times New Roman"/>
        </w:rPr>
        <w:t xml:space="preserve"> </w:t>
      </w:r>
      <w:r w:rsidR="00A61241" w:rsidRPr="00052F39">
        <w:rPr>
          <w:rFonts w:ascii="Times New Roman" w:hAnsi="Times New Roman"/>
        </w:rPr>
        <w:t>Status Indication of Control Power for Circuit Breakers Used in Safety-Related Application,</w:t>
      </w:r>
      <w:r w:rsidR="002230C0" w:rsidRPr="00052F39">
        <w:rPr>
          <w:rFonts w:ascii="Times New Roman" w:hAnsi="Times New Roman"/>
        </w:rPr>
        <w:t xml:space="preserve"> NRC Information Notice 91-78, USNRC,</w:t>
      </w:r>
      <w:r w:rsidR="00A61241" w:rsidRPr="00052F39">
        <w:rPr>
          <w:rFonts w:ascii="Times New Roman" w:hAnsi="Times New Roman"/>
        </w:rPr>
        <w:t xml:space="preserve"> November 28, 1991.</w:t>
      </w:r>
      <w:bookmarkEnd w:id="6"/>
    </w:p>
    <w:p w14:paraId="5C62943D" w14:textId="77777777" w:rsidR="005E3DAC" w:rsidRPr="00052F39" w:rsidRDefault="00F8120E" w:rsidP="006C3FE1">
      <w:pPr>
        <w:pStyle w:val="IGALLReferences"/>
        <w:tabs>
          <w:tab w:val="clear" w:pos="360"/>
        </w:tabs>
        <w:ind w:left="567" w:hanging="567"/>
        <w:rPr>
          <w:rFonts w:ascii="Times New Roman" w:hAnsi="Times New Roman"/>
        </w:rPr>
      </w:pPr>
      <w:bookmarkStart w:id="7" w:name="_Ref353550017"/>
      <w:r w:rsidRPr="00052F39">
        <w:rPr>
          <w:rFonts w:ascii="Times New Roman" w:hAnsi="Times New Roman"/>
        </w:rPr>
        <w:t>UNITED STATES NUCLEAR REGULATORY COMMISSION</w:t>
      </w:r>
      <w:r w:rsidR="002230C0" w:rsidRPr="00052F39">
        <w:rPr>
          <w:rFonts w:ascii="Times New Roman" w:hAnsi="Times New Roman"/>
        </w:rPr>
        <w:t>,</w:t>
      </w:r>
      <w:r w:rsidRPr="00052F39">
        <w:rPr>
          <w:rFonts w:ascii="Times New Roman" w:hAnsi="Times New Roman"/>
        </w:rPr>
        <w:t xml:space="preserve"> </w:t>
      </w:r>
      <w:r w:rsidR="0077534C" w:rsidRPr="00052F39">
        <w:rPr>
          <w:rFonts w:ascii="Times New Roman" w:hAnsi="Times New Roman"/>
        </w:rPr>
        <w:t>Ageing</w:t>
      </w:r>
      <w:r w:rsidR="00A61241" w:rsidRPr="00052F39">
        <w:rPr>
          <w:rFonts w:ascii="Times New Roman" w:hAnsi="Times New Roman"/>
        </w:rPr>
        <w:t xml:space="preserve"> Assessment of Safety-Related Fuses Used in Low- and Medium-Voltage Applications in Nuclear Power Plants, </w:t>
      </w:r>
      <w:r w:rsidR="002230C0" w:rsidRPr="00052F39">
        <w:rPr>
          <w:rFonts w:ascii="Times New Roman" w:hAnsi="Times New Roman"/>
        </w:rPr>
        <w:t xml:space="preserve">NUREG-1760, USNRC, </w:t>
      </w:r>
      <w:r w:rsidR="00A61241" w:rsidRPr="00052F39">
        <w:rPr>
          <w:rFonts w:ascii="Times New Roman" w:hAnsi="Times New Roman"/>
        </w:rPr>
        <w:t>May 31, 2002</w:t>
      </w:r>
      <w:bookmarkEnd w:id="7"/>
      <w:r w:rsidR="00596A54" w:rsidRPr="00052F39">
        <w:rPr>
          <w:rFonts w:ascii="Times New Roman" w:hAnsi="Times New Roman"/>
        </w:rPr>
        <w:t>.</w:t>
      </w:r>
    </w:p>
    <w:p w14:paraId="4CDDCBAA" w14:textId="77777777" w:rsidR="00AE3D74" w:rsidRPr="00052F39" w:rsidRDefault="00AE3D74" w:rsidP="006C3FE1">
      <w:pPr>
        <w:pStyle w:val="IGALLReferences"/>
        <w:tabs>
          <w:tab w:val="clear" w:pos="360"/>
        </w:tabs>
        <w:ind w:left="567" w:hanging="567"/>
        <w:rPr>
          <w:rFonts w:ascii="Times New Roman" w:hAnsi="Times New Roman"/>
        </w:rPr>
      </w:pPr>
      <w:bookmarkStart w:id="8" w:name="_Ref353550063"/>
      <w:r w:rsidRPr="00052F39">
        <w:rPr>
          <w:rFonts w:ascii="Times New Roman" w:hAnsi="Times New Roman"/>
        </w:rPr>
        <w:t>UNITED STATES NUCLEAR REGULATORY COMMISSION, 10 CFR Part 50, Appendix B, Quality Assurance Criteria for Nuclear Power Plants, Office of the Federal Register, National Archives and Records Administration, USNRC, 20</w:t>
      </w:r>
      <w:r w:rsidR="00406852" w:rsidRPr="00052F39">
        <w:rPr>
          <w:rFonts w:ascii="Times New Roman" w:hAnsi="Times New Roman"/>
        </w:rPr>
        <w:t>1</w:t>
      </w:r>
      <w:r w:rsidR="00D64F05" w:rsidRPr="00052F39">
        <w:rPr>
          <w:rFonts w:ascii="Times New Roman" w:hAnsi="Times New Roman"/>
        </w:rPr>
        <w:t>5</w:t>
      </w:r>
      <w:r w:rsidRPr="00052F39">
        <w:rPr>
          <w:rFonts w:ascii="Times New Roman" w:hAnsi="Times New Roman"/>
        </w:rPr>
        <w:t>.</w:t>
      </w:r>
      <w:bookmarkEnd w:id="8"/>
      <w:r w:rsidRPr="00052F39">
        <w:rPr>
          <w:rFonts w:ascii="Times New Roman" w:hAnsi="Times New Roman"/>
        </w:rPr>
        <w:t xml:space="preserve"> </w:t>
      </w:r>
    </w:p>
    <w:p w14:paraId="73DB1AFC" w14:textId="77777777" w:rsidR="006E7498" w:rsidRPr="006E7498" w:rsidRDefault="006E7498" w:rsidP="006C3FE1">
      <w:pPr>
        <w:pStyle w:val="IGALLReferences"/>
        <w:numPr>
          <w:ilvl w:val="0"/>
          <w:numId w:val="0"/>
        </w:numPr>
        <w:rPr>
          <w:rStyle w:val="IntenseReference"/>
          <w:rFonts w:ascii="Times New Roman" w:hAnsi="Times New Roman"/>
          <w:b w:val="0"/>
          <w:bCs w:val="0"/>
          <w:smallCaps w:val="0"/>
          <w:color w:val="000000"/>
          <w:spacing w:val="0"/>
          <w:szCs w:val="24"/>
          <w:u w:val="none"/>
        </w:rPr>
      </w:pPr>
    </w:p>
    <w:sectPr w:rsidR="006E7498" w:rsidRPr="006E7498" w:rsidSect="00052F39">
      <w:footerReference w:type="default" r:id="rId12"/>
      <w:pgSz w:w="11906" w:h="16838"/>
      <w:pgMar w:top="1417" w:right="1274" w:bottom="1417" w:left="1418"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5D87C" w16cex:dateUtc="2020-11-23T05:4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3EFD7" w14:textId="77777777" w:rsidR="00CF4267" w:rsidRDefault="00CF4267" w:rsidP="00EB24E2">
      <w:r>
        <w:separator/>
      </w:r>
    </w:p>
  </w:endnote>
  <w:endnote w:type="continuationSeparator" w:id="0">
    <w:p w14:paraId="699661C5" w14:textId="77777777" w:rsidR="00CF4267" w:rsidRDefault="00CF4267" w:rsidP="00EB2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8DB50" w14:textId="77777777" w:rsidR="00EB24E2" w:rsidRDefault="00EB24E2" w:rsidP="006C3FE1">
    <w:pPr>
      <w:pStyle w:val="Footer"/>
      <w:spacing w:after="240"/>
    </w:pPr>
    <w:r>
      <w:tab/>
    </w:r>
    <w:r w:rsidR="009F56A2">
      <w:fldChar w:fldCharType="begin"/>
    </w:r>
    <w:r w:rsidR="009F56A2">
      <w:instrText xml:space="preserve"> PAGE   \* MERGEFORMAT </w:instrText>
    </w:r>
    <w:r w:rsidR="009F56A2">
      <w:fldChar w:fldCharType="separate"/>
    </w:r>
    <w:r w:rsidR="002778B1">
      <w:rPr>
        <w:noProof/>
      </w:rPr>
      <w:t>3</w:t>
    </w:r>
    <w:r w:rsidR="009F56A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53893" w14:textId="77777777" w:rsidR="00CF4267" w:rsidRDefault="00CF4267" w:rsidP="00EB24E2">
      <w:r>
        <w:separator/>
      </w:r>
    </w:p>
  </w:footnote>
  <w:footnote w:type="continuationSeparator" w:id="0">
    <w:p w14:paraId="2955CBF8" w14:textId="77777777" w:rsidR="00CF4267" w:rsidRDefault="00CF4267" w:rsidP="00EB2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119B1AD9"/>
    <w:multiLevelType w:val="hybridMultilevel"/>
    <w:tmpl w:val="5E8ED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EE02B5"/>
    <w:multiLevelType w:val="hybridMultilevel"/>
    <w:tmpl w:val="3392CC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EE23252"/>
    <w:multiLevelType w:val="hybridMultilevel"/>
    <w:tmpl w:val="75DAC74E"/>
    <w:lvl w:ilvl="0" w:tplc="71A6739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FD6BB2"/>
    <w:multiLevelType w:val="hybridMultilevel"/>
    <w:tmpl w:val="C2A27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1E76C2B"/>
    <w:multiLevelType w:val="hybridMultilevel"/>
    <w:tmpl w:val="F2C61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766C7E"/>
    <w:multiLevelType w:val="hybridMultilevel"/>
    <w:tmpl w:val="BA1EADCC"/>
    <w:lvl w:ilvl="0" w:tplc="3AD08E46">
      <w:start w:val="1"/>
      <w:numFmt w:val="lowerLetter"/>
      <w:lvlText w:val="%1)"/>
      <w:lvlJc w:val="left"/>
      <w:pPr>
        <w:ind w:left="567"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7" w15:restartNumberingAfterBreak="0">
    <w:nsid w:val="47FB3A6E"/>
    <w:multiLevelType w:val="hybridMultilevel"/>
    <w:tmpl w:val="A2288432"/>
    <w:lvl w:ilvl="0" w:tplc="DDAA737A">
      <w:start w:val="1"/>
      <w:numFmt w:val="decimal"/>
      <w:pStyle w:val="IGALLReferences"/>
      <w:lvlText w:val="[%1]"/>
      <w:lvlJc w:val="left"/>
      <w:pPr>
        <w:tabs>
          <w:tab w:val="num" w:pos="360"/>
        </w:tabs>
        <w:ind w:left="360" w:hanging="360"/>
      </w:pPr>
      <w:rPr>
        <w:rFonts w:ascii="Arial" w:hAnsi="Arial" w:hint="default"/>
      </w:rPr>
    </w:lvl>
    <w:lvl w:ilvl="1" w:tplc="04090017" w:tentative="1">
      <w:start w:val="1"/>
      <w:numFmt w:val="aiueoFullWidth"/>
      <w:lvlText w:val="(%2)"/>
      <w:lvlJc w:val="left"/>
      <w:pPr>
        <w:tabs>
          <w:tab w:val="num" w:pos="0"/>
        </w:tabs>
        <w:ind w:left="0" w:hanging="420"/>
      </w:pPr>
    </w:lvl>
    <w:lvl w:ilvl="2" w:tplc="04090011" w:tentative="1">
      <w:start w:val="1"/>
      <w:numFmt w:val="decimalEnclosedCircle"/>
      <w:lvlText w:val="%3"/>
      <w:lvlJc w:val="left"/>
      <w:pPr>
        <w:tabs>
          <w:tab w:val="num" w:pos="420"/>
        </w:tabs>
        <w:ind w:left="420" w:hanging="420"/>
      </w:pPr>
    </w:lvl>
    <w:lvl w:ilvl="3" w:tplc="0409000F" w:tentative="1">
      <w:start w:val="1"/>
      <w:numFmt w:val="decimal"/>
      <w:lvlText w:val="%4."/>
      <w:lvlJc w:val="left"/>
      <w:pPr>
        <w:tabs>
          <w:tab w:val="num" w:pos="840"/>
        </w:tabs>
        <w:ind w:left="840" w:hanging="420"/>
      </w:pPr>
    </w:lvl>
    <w:lvl w:ilvl="4" w:tplc="04090017" w:tentative="1">
      <w:start w:val="1"/>
      <w:numFmt w:val="aiueoFullWidth"/>
      <w:lvlText w:val="(%5)"/>
      <w:lvlJc w:val="left"/>
      <w:pPr>
        <w:tabs>
          <w:tab w:val="num" w:pos="1260"/>
        </w:tabs>
        <w:ind w:left="1260" w:hanging="420"/>
      </w:pPr>
    </w:lvl>
    <w:lvl w:ilvl="5" w:tplc="04090011" w:tentative="1">
      <w:start w:val="1"/>
      <w:numFmt w:val="decimalEnclosedCircle"/>
      <w:lvlText w:val="%6"/>
      <w:lvlJc w:val="lef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7" w:tentative="1">
      <w:start w:val="1"/>
      <w:numFmt w:val="aiueoFullWidth"/>
      <w:lvlText w:val="(%8)"/>
      <w:lvlJc w:val="left"/>
      <w:pPr>
        <w:tabs>
          <w:tab w:val="num" w:pos="2520"/>
        </w:tabs>
        <w:ind w:left="2520" w:hanging="420"/>
      </w:pPr>
    </w:lvl>
    <w:lvl w:ilvl="8" w:tplc="04090011" w:tentative="1">
      <w:start w:val="1"/>
      <w:numFmt w:val="decimalEnclosedCircle"/>
      <w:lvlText w:val="%9"/>
      <w:lvlJc w:val="left"/>
      <w:pPr>
        <w:tabs>
          <w:tab w:val="num" w:pos="2940"/>
        </w:tabs>
        <w:ind w:left="2940" w:hanging="420"/>
      </w:pPr>
    </w:lvl>
  </w:abstractNum>
  <w:abstractNum w:abstractNumId="8" w15:restartNumberingAfterBreak="0">
    <w:nsid w:val="4B694998"/>
    <w:multiLevelType w:val="hybridMultilevel"/>
    <w:tmpl w:val="2390B5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ADD7F9B"/>
    <w:multiLevelType w:val="hybridMultilevel"/>
    <w:tmpl w:val="6CDCD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B2B1D22"/>
    <w:multiLevelType w:val="hybridMultilevel"/>
    <w:tmpl w:val="A1888908"/>
    <w:lvl w:ilvl="0" w:tplc="715C596E">
      <w:start w:val="1"/>
      <w:numFmt w:val="bullet"/>
      <w:lvlText w:val=""/>
      <w:lvlJc w:val="left"/>
      <w:pPr>
        <w:tabs>
          <w:tab w:val="num" w:pos="720"/>
        </w:tabs>
        <w:ind w:left="720" w:hanging="360"/>
      </w:pPr>
      <w:rPr>
        <w:rFonts w:ascii="Wingdings" w:hAnsi="Wingdings" w:hint="default"/>
      </w:rPr>
    </w:lvl>
    <w:lvl w:ilvl="1" w:tplc="6CE029CE">
      <w:start w:val="1"/>
      <w:numFmt w:val="bullet"/>
      <w:lvlText w:val=""/>
      <w:lvlJc w:val="left"/>
      <w:pPr>
        <w:tabs>
          <w:tab w:val="num" w:pos="1440"/>
        </w:tabs>
        <w:ind w:left="1440" w:hanging="360"/>
      </w:pPr>
      <w:rPr>
        <w:rFonts w:ascii="Wingdings" w:hAnsi="Wingdings" w:hint="default"/>
      </w:rPr>
    </w:lvl>
    <w:lvl w:ilvl="2" w:tplc="2668C094" w:tentative="1">
      <w:start w:val="1"/>
      <w:numFmt w:val="bullet"/>
      <w:lvlText w:val=""/>
      <w:lvlJc w:val="left"/>
      <w:pPr>
        <w:tabs>
          <w:tab w:val="num" w:pos="2160"/>
        </w:tabs>
        <w:ind w:left="2160" w:hanging="360"/>
      </w:pPr>
      <w:rPr>
        <w:rFonts w:ascii="Wingdings" w:hAnsi="Wingdings" w:hint="default"/>
      </w:rPr>
    </w:lvl>
    <w:lvl w:ilvl="3" w:tplc="7A522D0C" w:tentative="1">
      <w:start w:val="1"/>
      <w:numFmt w:val="bullet"/>
      <w:lvlText w:val=""/>
      <w:lvlJc w:val="left"/>
      <w:pPr>
        <w:tabs>
          <w:tab w:val="num" w:pos="2880"/>
        </w:tabs>
        <w:ind w:left="2880" w:hanging="360"/>
      </w:pPr>
      <w:rPr>
        <w:rFonts w:ascii="Wingdings" w:hAnsi="Wingdings" w:hint="default"/>
      </w:rPr>
    </w:lvl>
    <w:lvl w:ilvl="4" w:tplc="6AA80A28" w:tentative="1">
      <w:start w:val="1"/>
      <w:numFmt w:val="bullet"/>
      <w:lvlText w:val=""/>
      <w:lvlJc w:val="left"/>
      <w:pPr>
        <w:tabs>
          <w:tab w:val="num" w:pos="3600"/>
        </w:tabs>
        <w:ind w:left="3600" w:hanging="360"/>
      </w:pPr>
      <w:rPr>
        <w:rFonts w:ascii="Wingdings" w:hAnsi="Wingdings" w:hint="default"/>
      </w:rPr>
    </w:lvl>
    <w:lvl w:ilvl="5" w:tplc="20FA65C0" w:tentative="1">
      <w:start w:val="1"/>
      <w:numFmt w:val="bullet"/>
      <w:lvlText w:val=""/>
      <w:lvlJc w:val="left"/>
      <w:pPr>
        <w:tabs>
          <w:tab w:val="num" w:pos="4320"/>
        </w:tabs>
        <w:ind w:left="4320" w:hanging="360"/>
      </w:pPr>
      <w:rPr>
        <w:rFonts w:ascii="Wingdings" w:hAnsi="Wingdings" w:hint="default"/>
      </w:rPr>
    </w:lvl>
    <w:lvl w:ilvl="6" w:tplc="D1E4A954" w:tentative="1">
      <w:start w:val="1"/>
      <w:numFmt w:val="bullet"/>
      <w:lvlText w:val=""/>
      <w:lvlJc w:val="left"/>
      <w:pPr>
        <w:tabs>
          <w:tab w:val="num" w:pos="5040"/>
        </w:tabs>
        <w:ind w:left="5040" w:hanging="360"/>
      </w:pPr>
      <w:rPr>
        <w:rFonts w:ascii="Wingdings" w:hAnsi="Wingdings" w:hint="default"/>
      </w:rPr>
    </w:lvl>
    <w:lvl w:ilvl="7" w:tplc="9A2C1D6A" w:tentative="1">
      <w:start w:val="1"/>
      <w:numFmt w:val="bullet"/>
      <w:lvlText w:val=""/>
      <w:lvlJc w:val="left"/>
      <w:pPr>
        <w:tabs>
          <w:tab w:val="num" w:pos="5760"/>
        </w:tabs>
        <w:ind w:left="5760" w:hanging="360"/>
      </w:pPr>
      <w:rPr>
        <w:rFonts w:ascii="Wingdings" w:hAnsi="Wingdings" w:hint="default"/>
      </w:rPr>
    </w:lvl>
    <w:lvl w:ilvl="8" w:tplc="EFB461B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08106D"/>
    <w:multiLevelType w:val="hybridMultilevel"/>
    <w:tmpl w:val="C8B2DDF6"/>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2" w15:restartNumberingAfterBreak="0">
    <w:nsid w:val="7A586365"/>
    <w:multiLevelType w:val="hybridMultilevel"/>
    <w:tmpl w:val="43CC7FF4"/>
    <w:lvl w:ilvl="0" w:tplc="5B7E6E24">
      <w:start w:val="1"/>
      <w:numFmt w:val="decimal"/>
      <w:pStyle w:val="IGALLTitle3"/>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7E70511A"/>
    <w:multiLevelType w:val="hybridMultilevel"/>
    <w:tmpl w:val="3828E944"/>
    <w:lvl w:ilvl="0" w:tplc="04070001">
      <w:start w:val="1"/>
      <w:numFmt w:val="bullet"/>
      <w:pStyle w:val="Body"/>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13"/>
  </w:num>
  <w:num w:numId="4">
    <w:abstractNumId w:val="8"/>
  </w:num>
  <w:num w:numId="5">
    <w:abstractNumId w:val="2"/>
  </w:num>
  <w:num w:numId="6">
    <w:abstractNumId w:val="4"/>
  </w:num>
  <w:num w:numId="7">
    <w:abstractNumId w:val="9"/>
  </w:num>
  <w:num w:numId="8">
    <w:abstractNumId w:val="7"/>
  </w:num>
  <w:num w:numId="9">
    <w:abstractNumId w:val="3"/>
  </w:num>
  <w:num w:numId="10">
    <w:abstractNumId w:val="12"/>
  </w:num>
  <w:num w:numId="11">
    <w:abstractNumId w:val="0"/>
  </w:num>
  <w:num w:numId="12">
    <w:abstractNumId w:val="1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AC"/>
    <w:rsid w:val="00027F5D"/>
    <w:rsid w:val="00036B52"/>
    <w:rsid w:val="00041CC6"/>
    <w:rsid w:val="00042487"/>
    <w:rsid w:val="0005276A"/>
    <w:rsid w:val="00052F39"/>
    <w:rsid w:val="00063F41"/>
    <w:rsid w:val="00066936"/>
    <w:rsid w:val="00072018"/>
    <w:rsid w:val="00083493"/>
    <w:rsid w:val="000854C3"/>
    <w:rsid w:val="000A052B"/>
    <w:rsid w:val="000A6827"/>
    <w:rsid w:val="000C1FA9"/>
    <w:rsid w:val="000C6754"/>
    <w:rsid w:val="000D4F9B"/>
    <w:rsid w:val="000F4299"/>
    <w:rsid w:val="000F71FF"/>
    <w:rsid w:val="00132E00"/>
    <w:rsid w:val="00135D78"/>
    <w:rsid w:val="00137C9B"/>
    <w:rsid w:val="00147270"/>
    <w:rsid w:val="00152CC5"/>
    <w:rsid w:val="00157780"/>
    <w:rsid w:val="00163C67"/>
    <w:rsid w:val="001649F0"/>
    <w:rsid w:val="00171E6A"/>
    <w:rsid w:val="0017466A"/>
    <w:rsid w:val="0019115F"/>
    <w:rsid w:val="001921EA"/>
    <w:rsid w:val="001C3DAC"/>
    <w:rsid w:val="001C7D86"/>
    <w:rsid w:val="001E5FF9"/>
    <w:rsid w:val="001E71CB"/>
    <w:rsid w:val="00201A75"/>
    <w:rsid w:val="00212B39"/>
    <w:rsid w:val="00215E36"/>
    <w:rsid w:val="00217379"/>
    <w:rsid w:val="0022177F"/>
    <w:rsid w:val="0022307C"/>
    <w:rsid w:val="002230C0"/>
    <w:rsid w:val="002259A6"/>
    <w:rsid w:val="00241821"/>
    <w:rsid w:val="002468F3"/>
    <w:rsid w:val="002725B1"/>
    <w:rsid w:val="00276191"/>
    <w:rsid w:val="002778B1"/>
    <w:rsid w:val="002867DC"/>
    <w:rsid w:val="002D070E"/>
    <w:rsid w:val="00303103"/>
    <w:rsid w:val="00323E64"/>
    <w:rsid w:val="0035054F"/>
    <w:rsid w:val="00363788"/>
    <w:rsid w:val="00371E16"/>
    <w:rsid w:val="00372A99"/>
    <w:rsid w:val="00380DA6"/>
    <w:rsid w:val="00381237"/>
    <w:rsid w:val="003962A9"/>
    <w:rsid w:val="003C320B"/>
    <w:rsid w:val="003C7673"/>
    <w:rsid w:val="003D0D23"/>
    <w:rsid w:val="003D5B6B"/>
    <w:rsid w:val="003F3E5C"/>
    <w:rsid w:val="003F4936"/>
    <w:rsid w:val="00405650"/>
    <w:rsid w:val="00406852"/>
    <w:rsid w:val="00427791"/>
    <w:rsid w:val="00433FF6"/>
    <w:rsid w:val="004562D3"/>
    <w:rsid w:val="00461B92"/>
    <w:rsid w:val="004755D7"/>
    <w:rsid w:val="004B76DE"/>
    <w:rsid w:val="004B7A5D"/>
    <w:rsid w:val="004C6CCB"/>
    <w:rsid w:val="004D4DF0"/>
    <w:rsid w:val="004E7C52"/>
    <w:rsid w:val="004F63AA"/>
    <w:rsid w:val="00506B2F"/>
    <w:rsid w:val="0053308E"/>
    <w:rsid w:val="00534150"/>
    <w:rsid w:val="005346F0"/>
    <w:rsid w:val="00543FBC"/>
    <w:rsid w:val="005649C0"/>
    <w:rsid w:val="00567178"/>
    <w:rsid w:val="00596A54"/>
    <w:rsid w:val="005A084A"/>
    <w:rsid w:val="005D2897"/>
    <w:rsid w:val="005D5A45"/>
    <w:rsid w:val="005E3DAC"/>
    <w:rsid w:val="005E77E6"/>
    <w:rsid w:val="005F078D"/>
    <w:rsid w:val="00603572"/>
    <w:rsid w:val="00616412"/>
    <w:rsid w:val="006375E5"/>
    <w:rsid w:val="00653CF1"/>
    <w:rsid w:val="006620C6"/>
    <w:rsid w:val="0066359C"/>
    <w:rsid w:val="0066425F"/>
    <w:rsid w:val="00685AF5"/>
    <w:rsid w:val="006B02CC"/>
    <w:rsid w:val="006C3FE1"/>
    <w:rsid w:val="006D058F"/>
    <w:rsid w:val="006D0D9E"/>
    <w:rsid w:val="006D6EDB"/>
    <w:rsid w:val="006E7498"/>
    <w:rsid w:val="006F420F"/>
    <w:rsid w:val="006F433E"/>
    <w:rsid w:val="007007E4"/>
    <w:rsid w:val="007116EB"/>
    <w:rsid w:val="00714736"/>
    <w:rsid w:val="00716117"/>
    <w:rsid w:val="00771162"/>
    <w:rsid w:val="0077534C"/>
    <w:rsid w:val="00787B0B"/>
    <w:rsid w:val="00794DF9"/>
    <w:rsid w:val="007C0B33"/>
    <w:rsid w:val="007C3D05"/>
    <w:rsid w:val="007C7D2B"/>
    <w:rsid w:val="007E2EDF"/>
    <w:rsid w:val="007F1697"/>
    <w:rsid w:val="00800440"/>
    <w:rsid w:val="008412DD"/>
    <w:rsid w:val="00842C37"/>
    <w:rsid w:val="00846B53"/>
    <w:rsid w:val="0086476F"/>
    <w:rsid w:val="00876B59"/>
    <w:rsid w:val="00881416"/>
    <w:rsid w:val="00881B27"/>
    <w:rsid w:val="008C04A6"/>
    <w:rsid w:val="008C1501"/>
    <w:rsid w:val="008F5697"/>
    <w:rsid w:val="008F7B58"/>
    <w:rsid w:val="00901D0D"/>
    <w:rsid w:val="009116B3"/>
    <w:rsid w:val="00925BEB"/>
    <w:rsid w:val="00926DF0"/>
    <w:rsid w:val="009309FC"/>
    <w:rsid w:val="00952C0B"/>
    <w:rsid w:val="009632F4"/>
    <w:rsid w:val="00963420"/>
    <w:rsid w:val="00964EF3"/>
    <w:rsid w:val="009A538F"/>
    <w:rsid w:val="009A61F0"/>
    <w:rsid w:val="009B11E8"/>
    <w:rsid w:val="009B1C58"/>
    <w:rsid w:val="009B2C40"/>
    <w:rsid w:val="009B57FE"/>
    <w:rsid w:val="009D0ECF"/>
    <w:rsid w:val="009D5715"/>
    <w:rsid w:val="009F56A2"/>
    <w:rsid w:val="009F5AA3"/>
    <w:rsid w:val="00A05E34"/>
    <w:rsid w:val="00A15A28"/>
    <w:rsid w:val="00A27DB1"/>
    <w:rsid w:val="00A30C95"/>
    <w:rsid w:val="00A32037"/>
    <w:rsid w:val="00A45930"/>
    <w:rsid w:val="00A61241"/>
    <w:rsid w:val="00A61D0F"/>
    <w:rsid w:val="00A73E83"/>
    <w:rsid w:val="00A873D2"/>
    <w:rsid w:val="00A90BDE"/>
    <w:rsid w:val="00AC075D"/>
    <w:rsid w:val="00AD6DDE"/>
    <w:rsid w:val="00AE3D74"/>
    <w:rsid w:val="00AE5157"/>
    <w:rsid w:val="00B058AD"/>
    <w:rsid w:val="00B82C94"/>
    <w:rsid w:val="00B8794D"/>
    <w:rsid w:val="00BC7F10"/>
    <w:rsid w:val="00BE4425"/>
    <w:rsid w:val="00BE4835"/>
    <w:rsid w:val="00C110E8"/>
    <w:rsid w:val="00C133C7"/>
    <w:rsid w:val="00C214AE"/>
    <w:rsid w:val="00C2496E"/>
    <w:rsid w:val="00C34CD2"/>
    <w:rsid w:val="00C668CC"/>
    <w:rsid w:val="00C8366A"/>
    <w:rsid w:val="00C8609F"/>
    <w:rsid w:val="00CA3958"/>
    <w:rsid w:val="00CA55EA"/>
    <w:rsid w:val="00CB3410"/>
    <w:rsid w:val="00CB4DCA"/>
    <w:rsid w:val="00CC202B"/>
    <w:rsid w:val="00CC5017"/>
    <w:rsid w:val="00CC581D"/>
    <w:rsid w:val="00CD4133"/>
    <w:rsid w:val="00CD45B6"/>
    <w:rsid w:val="00CD616A"/>
    <w:rsid w:val="00CD7EE3"/>
    <w:rsid w:val="00CF4267"/>
    <w:rsid w:val="00D06868"/>
    <w:rsid w:val="00D33B76"/>
    <w:rsid w:val="00D423B2"/>
    <w:rsid w:val="00D538B5"/>
    <w:rsid w:val="00D622A7"/>
    <w:rsid w:val="00D643B7"/>
    <w:rsid w:val="00D64F05"/>
    <w:rsid w:val="00DA2C45"/>
    <w:rsid w:val="00DB5F4C"/>
    <w:rsid w:val="00DB7BF6"/>
    <w:rsid w:val="00DC6B4A"/>
    <w:rsid w:val="00DD2BC9"/>
    <w:rsid w:val="00DD5566"/>
    <w:rsid w:val="00E0528F"/>
    <w:rsid w:val="00E11933"/>
    <w:rsid w:val="00E241FC"/>
    <w:rsid w:val="00E27D01"/>
    <w:rsid w:val="00E30172"/>
    <w:rsid w:val="00E5465C"/>
    <w:rsid w:val="00E57068"/>
    <w:rsid w:val="00E74991"/>
    <w:rsid w:val="00E75789"/>
    <w:rsid w:val="00E8374A"/>
    <w:rsid w:val="00EA6804"/>
    <w:rsid w:val="00EB24E2"/>
    <w:rsid w:val="00EB3793"/>
    <w:rsid w:val="00EB64AA"/>
    <w:rsid w:val="00EC0717"/>
    <w:rsid w:val="00ED1515"/>
    <w:rsid w:val="00F05A44"/>
    <w:rsid w:val="00F218AB"/>
    <w:rsid w:val="00F27904"/>
    <w:rsid w:val="00F31D36"/>
    <w:rsid w:val="00F5717A"/>
    <w:rsid w:val="00F8120E"/>
    <w:rsid w:val="00F96CE3"/>
    <w:rsid w:val="00FA2252"/>
    <w:rsid w:val="00FB244F"/>
    <w:rsid w:val="00FD0156"/>
    <w:rsid w:val="00FE296F"/>
    <w:rsid w:val="00FF3147"/>
    <w:rsid w:val="00FF4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4B08"/>
  <w15:chartTrackingRefBased/>
  <w15:docId w15:val="{AF0B4D4C-F5B3-49A4-B0CC-51077610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3D2"/>
    <w:pPr>
      <w:widowControl w:val="0"/>
      <w:suppressAutoHyphens/>
      <w:spacing w:before="120" w:after="120"/>
      <w:jc w:val="both"/>
    </w:pPr>
    <w:rPr>
      <w:rFonts w:ascii="Times New Roman" w:eastAsia="Arial Unicode MS" w:hAnsi="Times New Roman"/>
      <w:kern w:val="1"/>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E3DAC"/>
  </w:style>
  <w:style w:type="character" w:customStyle="1" w:styleId="BodyTextChar">
    <w:name w:val="Body Text Char"/>
    <w:link w:val="BodyText"/>
    <w:rsid w:val="005E3DAC"/>
    <w:rPr>
      <w:rFonts w:ascii="Times New Roman" w:eastAsia="Arial Unicode MS" w:hAnsi="Times New Roman" w:cs="Times New Roman"/>
      <w:kern w:val="1"/>
      <w:sz w:val="24"/>
      <w:szCs w:val="24"/>
      <w:lang w:val="en-US" w:eastAsia="ar-SA"/>
    </w:rPr>
  </w:style>
  <w:style w:type="character" w:styleId="IntenseReference">
    <w:name w:val="Intense Reference"/>
    <w:uiPriority w:val="32"/>
    <w:qFormat/>
    <w:rsid w:val="005E3DAC"/>
    <w:rPr>
      <w:b/>
      <w:bCs/>
      <w:smallCaps/>
      <w:color w:val="C0504D"/>
      <w:spacing w:val="5"/>
      <w:u w:val="single"/>
    </w:rPr>
  </w:style>
  <w:style w:type="paragraph" w:styleId="ListParagraph">
    <w:name w:val="List Paragraph"/>
    <w:basedOn w:val="Normal"/>
    <w:uiPriority w:val="99"/>
    <w:qFormat/>
    <w:rsid w:val="005E3DAC"/>
    <w:pPr>
      <w:ind w:left="720"/>
      <w:contextualSpacing/>
    </w:pPr>
  </w:style>
  <w:style w:type="paragraph" w:customStyle="1" w:styleId="References">
    <w:name w:val="References"/>
    <w:basedOn w:val="Normal"/>
    <w:link w:val="ReferencesCar"/>
    <w:rsid w:val="005E3DAC"/>
    <w:pPr>
      <w:widowControl/>
      <w:suppressAutoHyphens w:val="0"/>
      <w:ind w:left="346" w:hanging="346"/>
    </w:pPr>
    <w:rPr>
      <w:rFonts w:ascii="Arial" w:eastAsia="MS Mincho" w:hAnsi="Arial"/>
      <w:kern w:val="0"/>
      <w:sz w:val="20"/>
      <w:szCs w:val="20"/>
    </w:rPr>
  </w:style>
  <w:style w:type="paragraph" w:customStyle="1" w:styleId="IGALLTitle1">
    <w:name w:val="IGALL Title 1"/>
    <w:basedOn w:val="Normal"/>
    <w:link w:val="IGALLTitle1Car"/>
    <w:qFormat/>
    <w:rsid w:val="00A873D2"/>
    <w:rPr>
      <w:b/>
      <w:bCs/>
      <w:lang w:val="en-GB"/>
    </w:rPr>
  </w:style>
  <w:style w:type="paragraph" w:customStyle="1" w:styleId="IGALLTitle2">
    <w:name w:val="IGALL Title 2"/>
    <w:basedOn w:val="Normal"/>
    <w:link w:val="IGALLTitle2Car"/>
    <w:qFormat/>
    <w:rsid w:val="005E3DAC"/>
    <w:rPr>
      <w:b/>
      <w:bCs/>
      <w:lang w:val="en-GB"/>
    </w:rPr>
  </w:style>
  <w:style w:type="character" w:customStyle="1" w:styleId="IGALLTitle1Car">
    <w:name w:val="IGALL Title 1 Car"/>
    <w:link w:val="IGALLTitle1"/>
    <w:rsid w:val="00A873D2"/>
    <w:rPr>
      <w:rFonts w:ascii="Times New Roman" w:eastAsia="Arial Unicode MS" w:hAnsi="Times New Roman"/>
      <w:b/>
      <w:bCs/>
      <w:kern w:val="1"/>
      <w:sz w:val="24"/>
      <w:szCs w:val="24"/>
      <w:lang w:val="en-GB" w:eastAsia="ar-SA"/>
    </w:rPr>
  </w:style>
  <w:style w:type="paragraph" w:customStyle="1" w:styleId="IGALLTitle3">
    <w:name w:val="IGALL Title 3"/>
    <w:basedOn w:val="Normal"/>
    <w:link w:val="IGALLTitle3Car"/>
    <w:qFormat/>
    <w:rsid w:val="00A873D2"/>
    <w:pPr>
      <w:numPr>
        <w:numId w:val="10"/>
      </w:numPr>
    </w:pPr>
    <w:rPr>
      <w:b/>
      <w:bCs/>
      <w:lang w:val="en-GB"/>
    </w:rPr>
  </w:style>
  <w:style w:type="character" w:customStyle="1" w:styleId="IGALLTitle2Car">
    <w:name w:val="IGALL Title 2 Car"/>
    <w:link w:val="IGALLTitle2"/>
    <w:rsid w:val="005E3DAC"/>
    <w:rPr>
      <w:rFonts w:ascii="Times New Roman" w:eastAsia="Arial Unicode MS" w:hAnsi="Times New Roman" w:cs="Times New Roman"/>
      <w:b/>
      <w:bCs/>
      <w:kern w:val="1"/>
      <w:sz w:val="24"/>
      <w:szCs w:val="24"/>
      <w:lang w:val="en-GB" w:eastAsia="ar-SA"/>
    </w:rPr>
  </w:style>
  <w:style w:type="paragraph" w:customStyle="1" w:styleId="IGALLReferencesTitle">
    <w:name w:val="IGALL References Title"/>
    <w:basedOn w:val="Normal"/>
    <w:link w:val="IGALLReferencesTitleCar"/>
    <w:qFormat/>
    <w:rsid w:val="00AE3D74"/>
    <w:rPr>
      <w:b/>
      <w:bCs/>
      <w:lang w:val="en-GB"/>
    </w:rPr>
  </w:style>
  <w:style w:type="character" w:customStyle="1" w:styleId="IGALLTitle3Car">
    <w:name w:val="IGALL Title 3 Car"/>
    <w:link w:val="IGALLTitle3"/>
    <w:rsid w:val="00A873D2"/>
    <w:rPr>
      <w:rFonts w:ascii="Times New Roman" w:eastAsia="Arial Unicode MS" w:hAnsi="Times New Roman"/>
      <w:b/>
      <w:bCs/>
      <w:kern w:val="1"/>
      <w:sz w:val="24"/>
      <w:szCs w:val="24"/>
      <w:lang w:val="en-GB" w:eastAsia="ar-SA"/>
    </w:rPr>
  </w:style>
  <w:style w:type="paragraph" w:customStyle="1" w:styleId="IGALLReferences">
    <w:name w:val="IGALL References"/>
    <w:basedOn w:val="References"/>
    <w:link w:val="IGALLReferencesCar"/>
    <w:qFormat/>
    <w:rsid w:val="00AE3D74"/>
    <w:pPr>
      <w:numPr>
        <w:numId w:val="8"/>
      </w:numPr>
    </w:pPr>
    <w:rPr>
      <w:sz w:val="24"/>
    </w:rPr>
  </w:style>
  <w:style w:type="character" w:customStyle="1" w:styleId="IGALLReferencesTitleCar">
    <w:name w:val="IGALL References Title Car"/>
    <w:link w:val="IGALLReferencesTitle"/>
    <w:rsid w:val="00AE3D74"/>
    <w:rPr>
      <w:rFonts w:ascii="Times New Roman" w:eastAsia="Arial Unicode MS" w:hAnsi="Times New Roman"/>
      <w:b/>
      <w:bCs/>
      <w:kern w:val="1"/>
      <w:sz w:val="24"/>
      <w:szCs w:val="24"/>
      <w:lang w:val="en-GB" w:eastAsia="ar-SA"/>
    </w:rPr>
  </w:style>
  <w:style w:type="character" w:customStyle="1" w:styleId="ReferencesCar">
    <w:name w:val="References Car"/>
    <w:link w:val="References"/>
    <w:rsid w:val="00EB3793"/>
    <w:rPr>
      <w:rFonts w:ascii="Arial" w:eastAsia="MS Mincho" w:hAnsi="Arial" w:cs="Arial"/>
      <w:szCs w:val="20"/>
      <w:lang w:val="en-US"/>
    </w:rPr>
  </w:style>
  <w:style w:type="character" w:customStyle="1" w:styleId="IGALLReferencesCar">
    <w:name w:val="IGALL References Car"/>
    <w:link w:val="IGALLReferences"/>
    <w:rsid w:val="00AE3D74"/>
    <w:rPr>
      <w:rFonts w:ascii="Arial" w:eastAsia="MS Mincho" w:hAnsi="Arial"/>
      <w:sz w:val="24"/>
    </w:rPr>
  </w:style>
  <w:style w:type="paragraph" w:customStyle="1" w:styleId="Body">
    <w:name w:val="Body"/>
    <w:basedOn w:val="Normal"/>
    <w:link w:val="BodyChar"/>
    <w:rsid w:val="00952C0B"/>
    <w:pPr>
      <w:widowControl/>
      <w:numPr>
        <w:numId w:val="3"/>
      </w:numPr>
      <w:suppressAutoHyphens w:val="0"/>
      <w:ind w:left="0" w:firstLine="0"/>
    </w:pPr>
    <w:rPr>
      <w:rFonts w:ascii="Arial" w:eastAsia="MS Mincho" w:hAnsi="Arial"/>
      <w:kern w:val="0"/>
      <w:sz w:val="20"/>
      <w:szCs w:val="20"/>
    </w:rPr>
  </w:style>
  <w:style w:type="character" w:customStyle="1" w:styleId="BodyChar">
    <w:name w:val="Body Char"/>
    <w:link w:val="Body"/>
    <w:locked/>
    <w:rsid w:val="00952C0B"/>
    <w:rPr>
      <w:rFonts w:ascii="Arial" w:eastAsia="MS Mincho" w:hAnsi="Arial" w:cs="Times New Roman"/>
      <w:szCs w:val="20"/>
      <w:lang w:val="en-US"/>
    </w:rPr>
  </w:style>
  <w:style w:type="paragraph" w:styleId="BalloonText">
    <w:name w:val="Balloon Text"/>
    <w:basedOn w:val="Normal"/>
    <w:link w:val="BalloonTextChar"/>
    <w:uiPriority w:val="99"/>
    <w:semiHidden/>
    <w:unhideWhenUsed/>
    <w:rsid w:val="009D0ECF"/>
    <w:rPr>
      <w:rFonts w:ascii="Tahoma" w:hAnsi="Tahoma"/>
      <w:sz w:val="16"/>
      <w:szCs w:val="16"/>
    </w:rPr>
  </w:style>
  <w:style w:type="character" w:customStyle="1" w:styleId="BalloonTextChar">
    <w:name w:val="Balloon Text Char"/>
    <w:link w:val="BalloonText"/>
    <w:uiPriority w:val="99"/>
    <w:semiHidden/>
    <w:rsid w:val="009D0ECF"/>
    <w:rPr>
      <w:rFonts w:ascii="Tahoma" w:eastAsia="Arial Unicode MS" w:hAnsi="Tahoma" w:cs="Tahoma"/>
      <w:kern w:val="1"/>
      <w:sz w:val="16"/>
      <w:szCs w:val="16"/>
      <w:lang w:val="en-US" w:eastAsia="ar-SA"/>
    </w:rPr>
  </w:style>
  <w:style w:type="paragraph" w:styleId="Header">
    <w:name w:val="header"/>
    <w:basedOn w:val="Normal"/>
    <w:link w:val="HeaderChar"/>
    <w:uiPriority w:val="99"/>
    <w:unhideWhenUsed/>
    <w:rsid w:val="00EB24E2"/>
    <w:pPr>
      <w:tabs>
        <w:tab w:val="center" w:pos="4252"/>
        <w:tab w:val="right" w:pos="8504"/>
      </w:tabs>
    </w:pPr>
    <w:rPr>
      <w:rFonts w:ascii="Arial" w:hAnsi="Arial"/>
      <w:sz w:val="20"/>
    </w:rPr>
  </w:style>
  <w:style w:type="character" w:customStyle="1" w:styleId="HeaderChar">
    <w:name w:val="Header Char"/>
    <w:link w:val="Header"/>
    <w:uiPriority w:val="99"/>
    <w:rsid w:val="00EB24E2"/>
    <w:rPr>
      <w:rFonts w:ascii="Arial" w:eastAsia="Arial Unicode MS" w:hAnsi="Arial" w:cs="Times New Roman"/>
      <w:kern w:val="1"/>
      <w:szCs w:val="24"/>
      <w:lang w:val="en-US" w:eastAsia="ar-SA"/>
    </w:rPr>
  </w:style>
  <w:style w:type="paragraph" w:styleId="Footer">
    <w:name w:val="footer"/>
    <w:basedOn w:val="Normal"/>
    <w:link w:val="FooterChar"/>
    <w:uiPriority w:val="99"/>
    <w:unhideWhenUsed/>
    <w:rsid w:val="00EB24E2"/>
    <w:pPr>
      <w:tabs>
        <w:tab w:val="center" w:pos="4252"/>
        <w:tab w:val="right" w:pos="8504"/>
      </w:tabs>
    </w:pPr>
    <w:rPr>
      <w:rFonts w:ascii="Arial" w:hAnsi="Arial"/>
      <w:sz w:val="20"/>
    </w:rPr>
  </w:style>
  <w:style w:type="character" w:customStyle="1" w:styleId="FooterChar">
    <w:name w:val="Footer Char"/>
    <w:link w:val="Footer"/>
    <w:uiPriority w:val="99"/>
    <w:rsid w:val="00EB24E2"/>
    <w:rPr>
      <w:rFonts w:ascii="Arial" w:eastAsia="Arial Unicode MS" w:hAnsi="Arial" w:cs="Times New Roman"/>
      <w:kern w:val="1"/>
      <w:szCs w:val="24"/>
      <w:lang w:val="en-US" w:eastAsia="ar-SA"/>
    </w:rPr>
  </w:style>
  <w:style w:type="character" w:styleId="CommentReference">
    <w:name w:val="annotation reference"/>
    <w:uiPriority w:val="99"/>
    <w:semiHidden/>
    <w:unhideWhenUsed/>
    <w:rsid w:val="00534150"/>
    <w:rPr>
      <w:sz w:val="16"/>
      <w:szCs w:val="16"/>
    </w:rPr>
  </w:style>
  <w:style w:type="paragraph" w:styleId="CommentText">
    <w:name w:val="annotation text"/>
    <w:basedOn w:val="Normal"/>
    <w:link w:val="CommentTextChar"/>
    <w:uiPriority w:val="99"/>
    <w:semiHidden/>
    <w:unhideWhenUsed/>
    <w:rsid w:val="00534150"/>
    <w:rPr>
      <w:rFonts w:ascii="Arial" w:hAnsi="Arial"/>
      <w:sz w:val="20"/>
      <w:szCs w:val="20"/>
    </w:rPr>
  </w:style>
  <w:style w:type="character" w:customStyle="1" w:styleId="CommentTextChar">
    <w:name w:val="Comment Text Char"/>
    <w:link w:val="CommentText"/>
    <w:uiPriority w:val="99"/>
    <w:semiHidden/>
    <w:rsid w:val="00534150"/>
    <w:rPr>
      <w:rFonts w:ascii="Arial" w:eastAsia="Arial Unicode MS" w:hAnsi="Arial"/>
      <w:kern w:val="1"/>
      <w:lang w:eastAsia="ar-SA"/>
    </w:rPr>
  </w:style>
  <w:style w:type="paragraph" w:styleId="CommentSubject">
    <w:name w:val="annotation subject"/>
    <w:basedOn w:val="CommentText"/>
    <w:next w:val="CommentText"/>
    <w:link w:val="CommentSubjectChar"/>
    <w:uiPriority w:val="99"/>
    <w:semiHidden/>
    <w:unhideWhenUsed/>
    <w:rsid w:val="00534150"/>
    <w:rPr>
      <w:b/>
      <w:bCs/>
    </w:rPr>
  </w:style>
  <w:style w:type="character" w:customStyle="1" w:styleId="CommentSubjectChar">
    <w:name w:val="Comment Subject Char"/>
    <w:link w:val="CommentSubject"/>
    <w:uiPriority w:val="99"/>
    <w:semiHidden/>
    <w:rsid w:val="00534150"/>
    <w:rPr>
      <w:rFonts w:ascii="Arial" w:eastAsia="Arial Unicode MS" w:hAnsi="Arial"/>
      <w:b/>
      <w:bCs/>
      <w:kern w:val="1"/>
      <w:lang w:eastAsia="ar-SA"/>
    </w:rPr>
  </w:style>
  <w:style w:type="paragraph" w:styleId="Revision">
    <w:name w:val="Revision"/>
    <w:hidden/>
    <w:uiPriority w:val="99"/>
    <w:semiHidden/>
    <w:rsid w:val="00CA55EA"/>
    <w:rPr>
      <w:rFonts w:ascii="Times New Roman" w:eastAsia="Arial Unicode MS" w:hAnsi="Times New Roman"/>
      <w:kern w:val="1"/>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577341">
      <w:bodyDiv w:val="1"/>
      <w:marLeft w:val="0"/>
      <w:marRight w:val="0"/>
      <w:marTop w:val="0"/>
      <w:marBottom w:val="0"/>
      <w:divBdr>
        <w:top w:val="none" w:sz="0" w:space="0" w:color="auto"/>
        <w:left w:val="none" w:sz="0" w:space="0" w:color="auto"/>
        <w:bottom w:val="none" w:sz="0" w:space="0" w:color="auto"/>
        <w:right w:val="none" w:sz="0" w:space="0" w:color="auto"/>
      </w:divBdr>
      <w:divsChild>
        <w:div w:id="509107214">
          <w:marLeft w:val="562"/>
          <w:marRight w:val="0"/>
          <w:marTop w:val="40"/>
          <w:marBottom w:val="40"/>
          <w:divBdr>
            <w:top w:val="none" w:sz="0" w:space="0" w:color="auto"/>
            <w:left w:val="none" w:sz="0" w:space="0" w:color="auto"/>
            <w:bottom w:val="none" w:sz="0" w:space="0" w:color="auto"/>
            <w:right w:val="none" w:sz="0" w:space="0" w:color="auto"/>
          </w:divBdr>
        </w:div>
      </w:divsChild>
    </w:div>
    <w:div w:id="652687224">
      <w:bodyDiv w:val="1"/>
      <w:marLeft w:val="0"/>
      <w:marRight w:val="0"/>
      <w:marTop w:val="0"/>
      <w:marBottom w:val="0"/>
      <w:divBdr>
        <w:top w:val="none" w:sz="0" w:space="0" w:color="auto"/>
        <w:left w:val="none" w:sz="0" w:space="0" w:color="auto"/>
        <w:bottom w:val="none" w:sz="0" w:space="0" w:color="auto"/>
        <w:right w:val="none" w:sz="0" w:space="0" w:color="auto"/>
      </w:divBdr>
    </w:div>
    <w:div w:id="1236666442">
      <w:bodyDiv w:val="1"/>
      <w:marLeft w:val="0"/>
      <w:marRight w:val="0"/>
      <w:marTop w:val="0"/>
      <w:marBottom w:val="0"/>
      <w:divBdr>
        <w:top w:val="none" w:sz="0" w:space="0" w:color="auto"/>
        <w:left w:val="none" w:sz="0" w:space="0" w:color="auto"/>
        <w:bottom w:val="none" w:sz="0" w:space="0" w:color="auto"/>
        <w:right w:val="none" w:sz="0" w:space="0" w:color="auto"/>
      </w:divBdr>
    </w:div>
    <w:div w:id="201649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17F39-65AA-49CA-B895-29705BFF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D76BF65-DF8D-4BB8-B2C1-0B00B9D25C0E}">
  <ds:schemaRefs>
    <ds:schemaRef ds:uri="http://schemas.microsoft.com/office/2006/metadata/customXsn"/>
  </ds:schemaRefs>
</ds:datastoreItem>
</file>

<file path=customXml/itemProps3.xml><?xml version="1.0" encoding="utf-8"?>
<ds:datastoreItem xmlns:ds="http://schemas.openxmlformats.org/officeDocument/2006/customXml" ds:itemID="{C377B781-2990-4139-9467-88A6EDC7FEFD}">
  <ds:schemaRefs>
    <ds:schemaRef ds:uri="http://schemas.microsoft.com/sharepoint/v3/contenttype/forms"/>
  </ds:schemaRefs>
</ds:datastoreItem>
</file>

<file path=customXml/itemProps4.xml><?xml version="1.0" encoding="utf-8"?>
<ds:datastoreItem xmlns:ds="http://schemas.openxmlformats.org/officeDocument/2006/customXml" ds:itemID="{8237A48F-77FA-4A1F-B592-8776EB71A39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63F7D38-379B-4532-857B-9DC5DE2F8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1207</Words>
  <Characters>6881</Characters>
  <Application>Microsoft Office Word</Application>
  <DocSecurity>0</DocSecurity>
  <Lines>57</Lines>
  <Paragraphs>16</Paragraphs>
  <ScaleCrop>false</ScaleCrop>
  <HeadingPairs>
    <vt:vector size="12" baseType="variant">
      <vt:variant>
        <vt:lpstr>Titre</vt:lpstr>
      </vt:variant>
      <vt:variant>
        <vt:i4>1</vt:i4>
      </vt:variant>
      <vt:variant>
        <vt:lpstr>Rubrik</vt:lpstr>
      </vt:variant>
      <vt:variant>
        <vt:i4>1</vt:i4>
      </vt:variant>
      <vt:variant>
        <vt:lpstr>Title</vt:lpstr>
      </vt:variant>
      <vt:variant>
        <vt:i4>1</vt:i4>
      </vt:variant>
      <vt:variant>
        <vt:lpstr>Titel</vt:lpstr>
      </vt:variant>
      <vt:variant>
        <vt:i4>1</vt:i4>
      </vt:variant>
      <vt:variant>
        <vt:lpstr>Título</vt:lpstr>
      </vt:variant>
      <vt:variant>
        <vt:i4>1</vt:i4>
      </vt:variant>
      <vt:variant>
        <vt:lpstr>Název</vt:lpstr>
      </vt:variant>
      <vt:variant>
        <vt:i4>1</vt:i4>
      </vt:variant>
    </vt:vector>
  </HeadingPairs>
  <TitlesOfParts>
    <vt:vector size="6" baseType="lpstr">
      <vt:lpstr/>
      <vt:lpstr/>
      <vt:lpstr/>
      <vt:lpstr/>
      <vt:lpstr/>
      <vt:lpstr/>
    </vt:vector>
  </TitlesOfParts>
  <Company>IBERDROLA S.A.</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dc:creator>
  <cp:keywords/>
  <cp:lastModifiedBy>MARCHENA, Martin</cp:lastModifiedBy>
  <cp:revision>4</cp:revision>
  <dcterms:created xsi:type="dcterms:W3CDTF">2020-12-09T11:55:00Z</dcterms:created>
  <dcterms:modified xsi:type="dcterms:W3CDTF">2020-12-23T11:00:00Z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