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5F497" w14:textId="58EEDC6F" w:rsidR="005E3DAC" w:rsidRPr="0066682B" w:rsidRDefault="00D638F5" w:rsidP="003B1F7F">
      <w:pPr>
        <w:pStyle w:val="IGALLTitle1"/>
        <w:ind w:left="1134" w:hanging="1134"/>
      </w:pPr>
      <w:r w:rsidRPr="0066682B">
        <w:t>AMP</w:t>
      </w:r>
      <w:r w:rsidR="0066682B">
        <w:t xml:space="preserve"> </w:t>
      </w:r>
      <w:r w:rsidRPr="0066682B">
        <w:t>206</w:t>
      </w:r>
      <w:r w:rsidR="005E3DAC" w:rsidRPr="0066682B">
        <w:t xml:space="preserve"> </w:t>
      </w:r>
      <w:r w:rsidR="0066682B">
        <w:tab/>
      </w:r>
      <w:r w:rsidR="00EA6E7C" w:rsidRPr="0066682B">
        <w:t>ELECTRICAL C</w:t>
      </w:r>
      <w:r w:rsidR="0066682B">
        <w:t xml:space="preserve">ABLE CONNECTIONS NOT SUBJECT TO </w:t>
      </w:r>
      <w:r w:rsidR="00EA6E7C" w:rsidRPr="0066682B">
        <w:t>ENVIRONMENTAL QUALIFICATION REQUIREMENTS</w:t>
      </w:r>
      <w:r w:rsidR="005E3DAC" w:rsidRPr="0066682B">
        <w:t xml:space="preserve"> </w:t>
      </w:r>
      <w:r w:rsidR="000F384B">
        <w:t>(VERSION 20</w:t>
      </w:r>
      <w:r w:rsidR="003B1F7F">
        <w:t>20</w:t>
      </w:r>
      <w:r w:rsidR="000F384B">
        <w:t>)</w:t>
      </w:r>
    </w:p>
    <w:p w14:paraId="32A277FF" w14:textId="77777777" w:rsidR="005E3DAC" w:rsidRPr="0066682B" w:rsidRDefault="005E3DAC" w:rsidP="003B1F7F">
      <w:pPr>
        <w:pStyle w:val="IGALLTitle2"/>
      </w:pPr>
      <w:r w:rsidRPr="0066682B">
        <w:t>Programme Description</w:t>
      </w:r>
    </w:p>
    <w:p w14:paraId="1DE23141" w14:textId="77777777" w:rsidR="0034622E" w:rsidRPr="0066682B" w:rsidRDefault="0034622E" w:rsidP="003B1F7F">
      <w:r w:rsidRPr="0066682B">
        <w:t xml:space="preserve">The purpose of the </w:t>
      </w:r>
      <w:r w:rsidR="009A3E88" w:rsidRPr="0066682B">
        <w:t>ageing</w:t>
      </w:r>
      <w:r w:rsidRPr="0066682B">
        <w:t xml:space="preserve"> management program</w:t>
      </w:r>
      <w:r w:rsidR="009A3E88" w:rsidRPr="0066682B">
        <w:t>me</w:t>
      </w:r>
      <w:r w:rsidRPr="0066682B">
        <w:t xml:space="preserve"> (AMP) described herein is to provide reasonable assurance that the intended functions of the metallic parts of electrical cable connections that are not subject to environmental qualification requirements and susceptible to age-related degradation are </w:t>
      </w:r>
      <w:r w:rsidR="0071428A" w:rsidRPr="0066682B">
        <w:t>adequately age managed</w:t>
      </w:r>
      <w:r w:rsidRPr="0066682B">
        <w:t xml:space="preserve"> through</w:t>
      </w:r>
      <w:r w:rsidR="0020442F" w:rsidRPr="0066682B">
        <w:rPr>
          <w:kern w:val="24"/>
        </w:rPr>
        <w:t xml:space="preserve"> the </w:t>
      </w:r>
      <w:r w:rsidR="001C37C8" w:rsidRPr="0066682B">
        <w:rPr>
          <w:kern w:val="24"/>
        </w:rPr>
        <w:t>period of long term operation</w:t>
      </w:r>
      <w:r w:rsidR="00341D2A" w:rsidRPr="0066682B">
        <w:rPr>
          <w:kern w:val="24"/>
        </w:rPr>
        <w:t>.</w:t>
      </w:r>
      <w:r w:rsidR="00FA4881" w:rsidRPr="0066682B">
        <w:rPr>
          <w:kern w:val="24"/>
        </w:rPr>
        <w:t xml:space="preserve"> </w:t>
      </w:r>
      <w:r w:rsidR="004C0CBB" w:rsidRPr="00C06E63">
        <w:t>Ageing degradation results in increased resistance of the connection</w:t>
      </w:r>
      <w:r w:rsidR="004C0CBB" w:rsidRPr="0066682B">
        <w:t xml:space="preserve">. Stressors include thermal cycling, ohmic heating, electrical transients, </w:t>
      </w:r>
      <w:r w:rsidR="00644E50" w:rsidRPr="0066682B">
        <w:t>wear</w:t>
      </w:r>
      <w:r w:rsidR="00266723" w:rsidRPr="0066682B">
        <w:t xml:space="preserve"> (including vibration)</w:t>
      </w:r>
      <w:r w:rsidR="00644E50" w:rsidRPr="0066682B">
        <w:t xml:space="preserve">, </w:t>
      </w:r>
      <w:r w:rsidR="00341D2A" w:rsidRPr="0066682B">
        <w:t>surface</w:t>
      </w:r>
      <w:r w:rsidR="00CE6302">
        <w:t xml:space="preserve"> or </w:t>
      </w:r>
      <w:r w:rsidR="00E7323C">
        <w:t>chemical</w:t>
      </w:r>
      <w:r w:rsidR="00341D2A" w:rsidRPr="0066682B">
        <w:t xml:space="preserve"> contamination</w:t>
      </w:r>
      <w:r w:rsidR="004C0CBB" w:rsidRPr="0066682B">
        <w:t>, corrosion or oxidation</w:t>
      </w:r>
      <w:r w:rsidR="007928ED" w:rsidRPr="0066682B">
        <w:t xml:space="preserve"> </w:t>
      </w:r>
      <w:r w:rsidR="007928ED" w:rsidRPr="0066682B">
        <w:fldChar w:fldCharType="begin"/>
      </w:r>
      <w:r w:rsidR="007928ED" w:rsidRPr="0066682B">
        <w:rPr>
          <w:highlight w:val="yellow"/>
        </w:rPr>
        <w:instrText xml:space="preserve"> REF _Ref353550325 \r \h </w:instrText>
      </w:r>
      <w:r w:rsidR="002034CF" w:rsidRPr="0066682B">
        <w:rPr>
          <w:highlight w:val="yellow"/>
        </w:rPr>
        <w:instrText xml:space="preserve"> \* MERGEFORMAT </w:instrText>
      </w:r>
      <w:r w:rsidR="007928ED" w:rsidRPr="0066682B">
        <w:fldChar w:fldCharType="separate"/>
      </w:r>
      <w:r w:rsidR="00B53474" w:rsidRPr="00B53474">
        <w:t>[1</w:t>
      </w:r>
      <w:r w:rsidR="00E5033D">
        <w:t>-3</w:t>
      </w:r>
      <w:r w:rsidR="00B53474" w:rsidRPr="00B53474">
        <w:t>]</w:t>
      </w:r>
      <w:r w:rsidR="007928ED" w:rsidRPr="0066682B">
        <w:fldChar w:fldCharType="end"/>
      </w:r>
      <w:r w:rsidR="00BB2246" w:rsidRPr="0066682B">
        <w:t>.</w:t>
      </w:r>
    </w:p>
    <w:p w14:paraId="09884643" w14:textId="77777777" w:rsidR="0034622E" w:rsidRPr="0066682B" w:rsidRDefault="0034622E" w:rsidP="003B1F7F">
      <w:r w:rsidRPr="0066682B">
        <w:t xml:space="preserve">Cable connections are used to connect cable conductors to other cable conductors or electrical devices. Connections associated with cables within the </w:t>
      </w:r>
      <w:r w:rsidR="004B31E2" w:rsidRPr="0066682B">
        <w:t>scope according</w:t>
      </w:r>
      <w:r w:rsidR="004033D7" w:rsidRPr="0066682B">
        <w:t xml:space="preserve"> to national </w:t>
      </w:r>
      <w:r w:rsidR="00E7196B" w:rsidRPr="0066682B">
        <w:t xml:space="preserve">regulatory requirements </w:t>
      </w:r>
      <w:r w:rsidRPr="0066682B">
        <w:t xml:space="preserve">are part of this AMP. The most common types of connections used in nuclear power plants are splices (butt or bolted), crimp-type ring lugs, </w:t>
      </w:r>
      <w:r w:rsidR="00352601">
        <w:t xml:space="preserve">compression/crimped </w:t>
      </w:r>
      <w:r w:rsidRPr="0066682B">
        <w:t>connectors</w:t>
      </w:r>
      <w:r w:rsidR="00352601">
        <w:t>,</w:t>
      </w:r>
      <w:r w:rsidRPr="0066682B">
        <w:t xml:space="preserve"> terminal blocks</w:t>
      </w:r>
      <w:r w:rsidR="00825EC8">
        <w:t>, stress cones</w:t>
      </w:r>
      <w:r w:rsidR="00352601">
        <w:t xml:space="preserve"> and coaxial/triaxial connections</w:t>
      </w:r>
      <w:r w:rsidRPr="0066682B">
        <w:t xml:space="preserve">. Most connections involve insulating material and metallic parts. This AMP focuses on the metallic parts of the electrical cable connections. This AMP provides </w:t>
      </w:r>
      <w:r w:rsidR="004615ED">
        <w:t xml:space="preserve">testing </w:t>
      </w:r>
      <w:r w:rsidRPr="0066682B">
        <w:t xml:space="preserve">on a sampling basis, to ensure that either </w:t>
      </w:r>
      <w:r w:rsidR="009A3E88" w:rsidRPr="0066682B">
        <w:t>ageing</w:t>
      </w:r>
      <w:r w:rsidRPr="0066682B">
        <w:t xml:space="preserve"> of metallic cable connections is not occurring and/or that the existing preventive maintenance </w:t>
      </w:r>
      <w:r w:rsidR="00990455" w:rsidRPr="0066682B">
        <w:t xml:space="preserve">programme </w:t>
      </w:r>
      <w:r w:rsidRPr="0066682B">
        <w:t xml:space="preserve">is effective such that a periodic inspection </w:t>
      </w:r>
      <w:r w:rsidR="00990455" w:rsidRPr="0066682B">
        <w:t xml:space="preserve">programme </w:t>
      </w:r>
      <w:r w:rsidRPr="0066682B">
        <w:t xml:space="preserve">is not required. </w:t>
      </w:r>
    </w:p>
    <w:p w14:paraId="4BFC1BEE" w14:textId="77777777" w:rsidR="0034622E" w:rsidRPr="0066682B" w:rsidRDefault="00E7196B" w:rsidP="003B1F7F">
      <w:r w:rsidRPr="0066682B">
        <w:t>A</w:t>
      </w:r>
      <w:r w:rsidR="00F95290" w:rsidRPr="0066682B">
        <w:t>MP</w:t>
      </w:r>
      <w:r w:rsidR="0066682B">
        <w:t xml:space="preserve"> </w:t>
      </w:r>
      <w:r w:rsidR="00F95290" w:rsidRPr="0066682B">
        <w:t>201</w:t>
      </w:r>
      <w:r w:rsidR="0034622E" w:rsidRPr="0066682B">
        <w:t xml:space="preserve"> manages the </w:t>
      </w:r>
      <w:r w:rsidR="009A3E88" w:rsidRPr="0066682B">
        <w:t>ageing</w:t>
      </w:r>
      <w:r w:rsidR="0034622E" w:rsidRPr="0066682B">
        <w:t xml:space="preserve"> of insulating material but not the metallic parts of the electrical connections</w:t>
      </w:r>
      <w:r w:rsidR="006824DE" w:rsidRPr="0066682B">
        <w:t xml:space="preserve"> </w:t>
      </w:r>
      <w:r w:rsidR="007928ED" w:rsidRPr="0066682B">
        <w:fldChar w:fldCharType="begin"/>
      </w:r>
      <w:r w:rsidR="007928ED" w:rsidRPr="0066682B">
        <w:instrText xml:space="preserve"> REF _Ref453579688 \r \h </w:instrText>
      </w:r>
      <w:r w:rsidR="002034CF" w:rsidRPr="0066682B">
        <w:instrText xml:space="preserve"> \* MERGEFORMAT </w:instrText>
      </w:r>
      <w:r w:rsidR="007928ED" w:rsidRPr="0066682B">
        <w:fldChar w:fldCharType="separate"/>
      </w:r>
      <w:r w:rsidR="00B53474">
        <w:t>[4]</w:t>
      </w:r>
      <w:r w:rsidR="007928ED" w:rsidRPr="0066682B">
        <w:fldChar w:fldCharType="end"/>
      </w:r>
      <w:r w:rsidR="00BB2246" w:rsidRPr="0066682B">
        <w:t>.</w:t>
      </w:r>
    </w:p>
    <w:p w14:paraId="21C85E04" w14:textId="77777777" w:rsidR="0034622E" w:rsidRPr="0066682B" w:rsidRDefault="0034622E" w:rsidP="003B1F7F">
      <w:r w:rsidRPr="0066682B">
        <w:t>Electrical cable connections exposed to appreciable ohmic or ambient heating during operation may experience increased resistance of connection caused by repeated cycling of connected loads or of the ambient temperature environment. Different materials used in various cable system components can produce situations where stresses between these components change with repeated thermal cycling. For example, under loaded conditions, ohmic heating may raise the temperature of a compression terminal and cable conductor well above the ambient temperature, thereby causing thermal expansion of both components. Thermal expansion coefficients of different materials may alter mechanical stresses between the components and may adversely impact the termination. When the current is reduced, the affected components cool and contract. Repeated cycling in this fashion can cause loosening of the termination and may lead to increased resistance of connection or eventual separation of compression-type terminations. Threaded connectors may loosen if subjected to significant thermally-induced stress and cycling</w:t>
      </w:r>
      <w:r w:rsidR="00BB2246" w:rsidRPr="0066682B">
        <w:t xml:space="preserve"> </w:t>
      </w:r>
      <w:r w:rsidR="00834E5C" w:rsidRPr="0066682B">
        <w:fldChar w:fldCharType="begin"/>
      </w:r>
      <w:r w:rsidR="00834E5C" w:rsidRPr="0066682B">
        <w:instrText xml:space="preserve"> REF _Ref453579769 \r \h </w:instrText>
      </w:r>
      <w:r w:rsidR="0071428A" w:rsidRPr="0066682B">
        <w:instrText xml:space="preserve"> \* MERGEFORMAT </w:instrText>
      </w:r>
      <w:r w:rsidR="00834E5C" w:rsidRPr="0066682B">
        <w:fldChar w:fldCharType="separate"/>
      </w:r>
      <w:r w:rsidR="00B53474">
        <w:t>[5]</w:t>
      </w:r>
      <w:r w:rsidR="00834E5C" w:rsidRPr="0066682B">
        <w:fldChar w:fldCharType="end"/>
      </w:r>
      <w:r w:rsidR="00BB2246" w:rsidRPr="0066682B">
        <w:t>.</w:t>
      </w:r>
    </w:p>
    <w:p w14:paraId="1ECB9027" w14:textId="77777777" w:rsidR="008C3FE1" w:rsidRDefault="008C3A4C" w:rsidP="003B1F7F">
      <w:r>
        <w:t>A representative sample of c</w:t>
      </w:r>
      <w:r w:rsidR="0034622E" w:rsidRPr="0066682B">
        <w:t xml:space="preserve">able connections within the </w:t>
      </w:r>
      <w:r w:rsidR="00191817" w:rsidRPr="0066682B">
        <w:t>scope according</w:t>
      </w:r>
      <w:r w:rsidR="004033D7" w:rsidRPr="0066682B">
        <w:t xml:space="preserve"> to national </w:t>
      </w:r>
      <w:r w:rsidR="00191817" w:rsidRPr="0066682B">
        <w:t xml:space="preserve">regulatory requirements </w:t>
      </w:r>
      <w:r w:rsidR="00644E50" w:rsidRPr="0066682B">
        <w:t>are</w:t>
      </w:r>
      <w:r w:rsidR="0034622E" w:rsidRPr="0066682B">
        <w:t xml:space="preserve"> tested to provide an indication of the integrity of the cable connections. The specific type of test to be performed is a proven test for detecting increased resistance of connection, such as thermography, contact resistance testing, or another appropriate test. </w:t>
      </w:r>
      <w:r>
        <w:t xml:space="preserve">The tests </w:t>
      </w:r>
      <w:r w:rsidR="002B4E2B">
        <w:t>need</w:t>
      </w:r>
      <w:r>
        <w:t xml:space="preserve"> to be completed prior to the period of extended operation. Depending on the findings of the one-time test, subsequent testing may have to be performed.</w:t>
      </w:r>
    </w:p>
    <w:p w14:paraId="0265F3B3" w14:textId="77777777" w:rsidR="002034CF" w:rsidRPr="0066682B" w:rsidRDefault="0034622E" w:rsidP="003B1F7F">
      <w:r w:rsidRPr="0066682B">
        <w:t xml:space="preserve">As an alternative to thermography or resistance measurement of cable connections, for the accessible cable connections that are covered with insulation materials such as tape, the applicant may perform </w:t>
      </w:r>
      <w:r w:rsidR="008C3FE1">
        <w:t xml:space="preserve">periodical </w:t>
      </w:r>
      <w:r w:rsidRPr="0066682B">
        <w:t>visual inspection</w:t>
      </w:r>
      <w:r w:rsidR="008C3FE1">
        <w:t>s</w:t>
      </w:r>
      <w:r w:rsidRPr="0066682B">
        <w:t xml:space="preserve"> of </w:t>
      </w:r>
      <w:r w:rsidR="00191817" w:rsidRPr="0066682B">
        <w:t xml:space="preserve">the </w:t>
      </w:r>
      <w:r w:rsidRPr="0066682B">
        <w:t xml:space="preserve">insulation material to detect </w:t>
      </w:r>
      <w:r w:rsidR="009A3E88" w:rsidRPr="0066682B">
        <w:t>ageing</w:t>
      </w:r>
      <w:r w:rsidRPr="0066682B">
        <w:t xml:space="preserve"> effects for covered cable connections. </w:t>
      </w:r>
      <w:r w:rsidR="008C3A4C">
        <w:t xml:space="preserve">The basis for </w:t>
      </w:r>
      <w:r w:rsidR="002B4E2B">
        <w:t>testing</w:t>
      </w:r>
      <w:r w:rsidR="008C3A4C">
        <w:t xml:space="preserve"> is to be documented.</w:t>
      </w:r>
    </w:p>
    <w:p w14:paraId="1C42D11A" w14:textId="77777777" w:rsidR="0034622E" w:rsidRPr="0066682B" w:rsidRDefault="0034622E" w:rsidP="003B1F7F">
      <w:r w:rsidRPr="0066682B">
        <w:t xml:space="preserve">This AMP, as described, is a sampling </w:t>
      </w:r>
      <w:r w:rsidRPr="0066682B">
        <w:rPr>
          <w:lang w:eastAsia="ja-JP"/>
        </w:rPr>
        <w:t>program</w:t>
      </w:r>
      <w:r w:rsidR="003315F5" w:rsidRPr="0066682B">
        <w:rPr>
          <w:lang w:eastAsia="ja-JP"/>
        </w:rPr>
        <w:t>me</w:t>
      </w:r>
      <w:r w:rsidRPr="0066682B">
        <w:t xml:space="preserve">. The following factors are considered for sampling: voltage level (medium and low voltage), circuit loading (high loading), connection type and location (high temperature, </w:t>
      </w:r>
      <w:r w:rsidR="00644E50" w:rsidRPr="0066682B">
        <w:rPr>
          <w:lang w:eastAsia="ja-JP"/>
        </w:rPr>
        <w:t>moisture, wear</w:t>
      </w:r>
      <w:r w:rsidRPr="0066682B">
        <w:t>, etc.). The technical bas</w:t>
      </w:r>
      <w:r w:rsidR="00EC01CE">
        <w:t>e</w:t>
      </w:r>
      <w:r w:rsidRPr="0066682B">
        <w:t xml:space="preserve">s for the sample </w:t>
      </w:r>
      <w:r w:rsidRPr="0066682B">
        <w:lastRenderedPageBreak/>
        <w:t xml:space="preserve">selections </w:t>
      </w:r>
      <w:r w:rsidR="00644E50" w:rsidRPr="0066682B">
        <w:rPr>
          <w:lang w:eastAsia="ja-JP"/>
        </w:rPr>
        <w:t>are</w:t>
      </w:r>
      <w:r w:rsidRPr="0066682B">
        <w:t xml:space="preserve"> documented. If an unacceptable condition or situation is identified in the selected sample, a determination is made as to whether the same condition or situation is applicable to other connections not tested. The corrective action </w:t>
      </w:r>
      <w:r w:rsidR="00990455" w:rsidRPr="0066682B">
        <w:t xml:space="preserve">programme </w:t>
      </w:r>
      <w:r w:rsidRPr="0066682B">
        <w:t>is used to evaluate the condition and determine appropriate corrective action.</w:t>
      </w:r>
    </w:p>
    <w:p w14:paraId="4A5C9954" w14:textId="77777777" w:rsidR="005E3DAC" w:rsidRPr="0066682B" w:rsidRDefault="00FA4881" w:rsidP="003B1F7F">
      <w:r w:rsidRPr="0066682B">
        <w:rPr>
          <w:lang w:eastAsia="ja-JP"/>
        </w:rPr>
        <w:t>Reference</w:t>
      </w:r>
      <w:r w:rsidR="0034622E" w:rsidRPr="0066682B">
        <w:t xml:space="preserve"> </w:t>
      </w:r>
      <w:r w:rsidR="002E7817" w:rsidRPr="0066682B">
        <w:rPr>
          <w:lang w:eastAsia="ja-JP"/>
        </w:rPr>
        <w:fldChar w:fldCharType="begin"/>
      </w:r>
      <w:r w:rsidR="002E7817" w:rsidRPr="0066682B">
        <w:rPr>
          <w:lang w:eastAsia="ja-JP"/>
        </w:rPr>
        <w:instrText xml:space="preserve"> REF _Ref353550406 \r \h </w:instrText>
      </w:r>
      <w:r w:rsidR="002034CF" w:rsidRPr="0066682B">
        <w:rPr>
          <w:lang w:eastAsia="ja-JP"/>
        </w:rPr>
        <w:instrText xml:space="preserve"> \* MERGEFORMAT </w:instrText>
      </w:r>
      <w:r w:rsidR="002E7817" w:rsidRPr="0066682B">
        <w:rPr>
          <w:lang w:eastAsia="ja-JP"/>
        </w:rPr>
      </w:r>
      <w:r w:rsidR="002E7817" w:rsidRPr="0066682B">
        <w:rPr>
          <w:lang w:eastAsia="ja-JP"/>
        </w:rPr>
        <w:fldChar w:fldCharType="separate"/>
      </w:r>
      <w:r w:rsidR="00B53474">
        <w:rPr>
          <w:lang w:eastAsia="ja-JP"/>
        </w:rPr>
        <w:t>[</w:t>
      </w:r>
      <w:r w:rsidR="00E5033D">
        <w:rPr>
          <w:lang w:eastAsia="ja-JP"/>
        </w:rPr>
        <w:t>6</w:t>
      </w:r>
      <w:r w:rsidR="00B53474">
        <w:rPr>
          <w:lang w:eastAsia="ja-JP"/>
        </w:rPr>
        <w:t>]</w:t>
      </w:r>
      <w:r w:rsidR="002E7817" w:rsidRPr="0066682B">
        <w:rPr>
          <w:lang w:eastAsia="ja-JP"/>
        </w:rPr>
        <w:fldChar w:fldCharType="end"/>
      </w:r>
      <w:r w:rsidR="006824DE" w:rsidRPr="0066682B">
        <w:t xml:space="preserve"> </w:t>
      </w:r>
      <w:r w:rsidR="0034622E" w:rsidRPr="0066682B">
        <w:t xml:space="preserve">indicated that loose terminations were identified by several plants. The major concern is failures of a deteriorated cable system (cables, connections including fuse holders, and penetrations) that could prevent it from performing its intended function. This AMP is not applicable to cable connections in </w:t>
      </w:r>
      <w:r w:rsidR="004F773C">
        <w:t>adverse localized</w:t>
      </w:r>
      <w:r w:rsidR="004F773C" w:rsidRPr="0066682B">
        <w:t xml:space="preserve"> </w:t>
      </w:r>
      <w:r w:rsidR="00691E61" w:rsidRPr="0066682B">
        <w:t xml:space="preserve">environments </w:t>
      </w:r>
      <w:r w:rsidR="00301BB1">
        <w:t xml:space="preserve">since they are </w:t>
      </w:r>
      <w:r w:rsidR="00691E61" w:rsidRPr="0066682B">
        <w:t>addressed</w:t>
      </w:r>
      <w:r w:rsidR="00A772A8" w:rsidRPr="0066682B">
        <w:t xml:space="preserve"> by</w:t>
      </w:r>
      <w:r w:rsidR="00331CA1">
        <w:t xml:space="preserve"> </w:t>
      </w:r>
      <w:r w:rsidR="00331CA1" w:rsidRPr="0066682B">
        <w:t>environmental qualification</w:t>
      </w:r>
      <w:r w:rsidR="00331CA1">
        <w:t xml:space="preserve"> in</w:t>
      </w:r>
      <w:r w:rsidR="00A772A8" w:rsidRPr="0066682B">
        <w:t xml:space="preserve"> </w:t>
      </w:r>
      <w:r w:rsidR="00301BB1">
        <w:t xml:space="preserve">AMP 207 </w:t>
      </w:r>
      <w:r w:rsidR="00331CA1">
        <w:t>or AMP 209</w:t>
      </w:r>
      <w:r w:rsidR="00A772A8" w:rsidRPr="0066682B">
        <w:t>.</w:t>
      </w:r>
      <w:r w:rsidR="00EA1E04" w:rsidRPr="0066682B">
        <w:t xml:space="preserve"> </w:t>
      </w:r>
      <w:r w:rsidR="0034622E" w:rsidRPr="0066682B">
        <w:t xml:space="preserve">Even though cable connections may not be exposed to </w:t>
      </w:r>
      <w:r w:rsidR="004F773C">
        <w:t>adverse localized</w:t>
      </w:r>
      <w:r w:rsidR="004F773C" w:rsidRPr="0066682B">
        <w:t xml:space="preserve"> </w:t>
      </w:r>
      <w:r w:rsidR="0034622E" w:rsidRPr="0066682B">
        <w:t xml:space="preserve">environments, increased resistance of connection is a concern due to the </w:t>
      </w:r>
      <w:r w:rsidR="009A3E88" w:rsidRPr="0066682B">
        <w:t>ageing</w:t>
      </w:r>
      <w:r w:rsidR="0034622E" w:rsidRPr="0066682B">
        <w:t xml:space="preserve"> mechanisms discussed above.</w:t>
      </w:r>
    </w:p>
    <w:p w14:paraId="5D7315EA" w14:textId="77777777" w:rsidR="006423C9" w:rsidRPr="0066682B" w:rsidRDefault="006423C9" w:rsidP="003B1F7F">
      <w:pPr>
        <w:rPr>
          <w:kern w:val="24"/>
        </w:rPr>
      </w:pPr>
      <w:r w:rsidRPr="0066682B">
        <w:rPr>
          <w:kern w:val="24"/>
        </w:rPr>
        <w:t xml:space="preserve">Since the cables and connections are not subject to environmental qualification requirements, an AMP is required to manage the </w:t>
      </w:r>
      <w:r w:rsidR="008362B8" w:rsidRPr="0066682B">
        <w:rPr>
          <w:kern w:val="24"/>
        </w:rPr>
        <w:t>ageing</w:t>
      </w:r>
      <w:r w:rsidRPr="0066682B">
        <w:rPr>
          <w:kern w:val="24"/>
        </w:rPr>
        <w:t xml:space="preserve"> effects. This AMP provides reasonable assurance the metallic portion for cable connections wil</w:t>
      </w:r>
      <w:r w:rsidR="00644E50" w:rsidRPr="0066682B">
        <w:rPr>
          <w:kern w:val="24"/>
        </w:rPr>
        <w:t>l perform its intended function</w:t>
      </w:r>
      <w:r w:rsidRPr="0066682B">
        <w:rPr>
          <w:kern w:val="24"/>
        </w:rPr>
        <w:t>.</w:t>
      </w:r>
    </w:p>
    <w:p w14:paraId="231C8927" w14:textId="77777777" w:rsidR="00C64F68" w:rsidRPr="0066682B" w:rsidRDefault="00C64F68" w:rsidP="003B1F7F">
      <w:pPr>
        <w:rPr>
          <w:kern w:val="24"/>
          <w:lang w:val="en-GB"/>
        </w:rPr>
      </w:pPr>
      <w:r w:rsidRPr="0066682B">
        <w:t xml:space="preserve">The metallic parts of electrical connections covered by this AMP are not subject to environmental qualification requirements, therefore this AMP is required to manage the ageing effects. This AMP provides reasonable assurance that the </w:t>
      </w:r>
      <w:r w:rsidR="00B55759">
        <w:t xml:space="preserve">metallic portion of </w:t>
      </w:r>
      <w:r w:rsidRPr="0066682B">
        <w:t>cables connections will perform its intended function.</w:t>
      </w:r>
    </w:p>
    <w:p w14:paraId="18C65A2A" w14:textId="77777777" w:rsidR="006423C9" w:rsidRPr="0066682B" w:rsidRDefault="006423C9" w:rsidP="003B1F7F">
      <w:pPr>
        <w:rPr>
          <w:b/>
          <w:lang w:val="en-GB"/>
        </w:rPr>
      </w:pPr>
    </w:p>
    <w:p w14:paraId="0C7DAB31" w14:textId="77777777" w:rsidR="005E3DAC" w:rsidRPr="0066682B" w:rsidRDefault="005E3DAC" w:rsidP="003B1F7F">
      <w:pPr>
        <w:pStyle w:val="IGALLTitle2"/>
      </w:pPr>
      <w:r w:rsidRPr="0066682B">
        <w:t>Evaluation and Technical Basis</w:t>
      </w:r>
    </w:p>
    <w:p w14:paraId="4C1D378A" w14:textId="77777777" w:rsidR="005E3DAC" w:rsidRPr="0066682B" w:rsidRDefault="005E3DAC" w:rsidP="003B1F7F">
      <w:pPr>
        <w:pStyle w:val="IGALLTitle3"/>
        <w:rPr>
          <w:i/>
        </w:rPr>
      </w:pPr>
      <w:r w:rsidRPr="0066682B">
        <w:rPr>
          <w:i/>
        </w:rPr>
        <w:t>Scope of the ageing management programme</w:t>
      </w:r>
      <w:r w:rsidR="009A3E88" w:rsidRPr="0066682B">
        <w:rPr>
          <w:i/>
        </w:rPr>
        <w:t xml:space="preserve"> based on understanding ageing:</w:t>
      </w:r>
    </w:p>
    <w:p w14:paraId="17E88094" w14:textId="77777777" w:rsidR="005E3DAC" w:rsidRPr="0066682B" w:rsidRDefault="0034622E" w:rsidP="003B1F7F">
      <w:r w:rsidRPr="0066682B">
        <w:t xml:space="preserve">Cable connections associated with cables within the scope </w:t>
      </w:r>
      <w:r w:rsidR="004033D7" w:rsidRPr="0066682B">
        <w:t xml:space="preserve">according to national </w:t>
      </w:r>
      <w:r w:rsidR="00191817" w:rsidRPr="0066682B">
        <w:t xml:space="preserve">regulatory requirements </w:t>
      </w:r>
      <w:r w:rsidRPr="0066682B">
        <w:t xml:space="preserve">that are external connections terminating at active or passive </w:t>
      </w:r>
      <w:r w:rsidR="00D13527" w:rsidRPr="0066682B">
        <w:t>devices</w:t>
      </w:r>
      <w:r w:rsidRPr="0066682B">
        <w:t xml:space="preserve"> are in the scope of this AMP. </w:t>
      </w:r>
      <w:r w:rsidR="00077ABE" w:rsidRPr="0066682B">
        <w:t xml:space="preserve">Wiring connections internal to an active assembly are considered part of the active assembly and, therefore, are not within the scope of this AMP. </w:t>
      </w:r>
      <w:r w:rsidRPr="0066682B">
        <w:t xml:space="preserve">This AMP does not include high-voltage (&gt;35 kilovolts) switchyard connections. The cable connections covered under </w:t>
      </w:r>
      <w:r w:rsidR="00A772A8" w:rsidRPr="0066682B">
        <w:t>an</w:t>
      </w:r>
      <w:r w:rsidR="00FA4881" w:rsidRPr="0066682B">
        <w:t xml:space="preserve"> environmental q</w:t>
      </w:r>
      <w:r w:rsidRPr="0066682B">
        <w:t xml:space="preserve">ualification </w:t>
      </w:r>
      <w:r w:rsidR="00990455" w:rsidRPr="0066682B">
        <w:t xml:space="preserve">programme </w:t>
      </w:r>
      <w:r w:rsidRPr="0066682B">
        <w:t>are not included in the scope of this program</w:t>
      </w:r>
      <w:r w:rsidR="003315F5" w:rsidRPr="0066682B">
        <w:t>me</w:t>
      </w:r>
      <w:r w:rsidR="000768B6" w:rsidRPr="0066682B">
        <w:t>.</w:t>
      </w:r>
    </w:p>
    <w:p w14:paraId="4D996044" w14:textId="77777777" w:rsidR="00D13527" w:rsidRPr="0066682B" w:rsidRDefault="00D13527" w:rsidP="003B1F7F">
      <w:pPr>
        <w:rPr>
          <w:lang w:val="en-GB"/>
        </w:rPr>
      </w:pPr>
    </w:p>
    <w:p w14:paraId="100EFAE1" w14:textId="77777777" w:rsidR="005E3DAC" w:rsidRPr="0066682B" w:rsidRDefault="005E3DAC" w:rsidP="003B1F7F">
      <w:pPr>
        <w:pStyle w:val="IGALLTitle3"/>
        <w:rPr>
          <w:i/>
        </w:rPr>
      </w:pPr>
      <w:r w:rsidRPr="0066682B">
        <w:rPr>
          <w:i/>
        </w:rPr>
        <w:t>Preventive actions to minimize and control ageing degradation</w:t>
      </w:r>
      <w:r w:rsidR="009A3E88" w:rsidRPr="0066682B">
        <w:rPr>
          <w:i/>
        </w:rPr>
        <w:t>:</w:t>
      </w:r>
    </w:p>
    <w:p w14:paraId="29BB4BFA" w14:textId="77777777" w:rsidR="005E3DAC" w:rsidRPr="0066682B" w:rsidRDefault="0034622E" w:rsidP="003B1F7F">
      <w:pPr>
        <w:rPr>
          <w:color w:val="000000"/>
        </w:rPr>
      </w:pPr>
      <w:r w:rsidRPr="0066682B">
        <w:rPr>
          <w:color w:val="000000"/>
        </w:rPr>
        <w:t>This is a condition monitoring program</w:t>
      </w:r>
      <w:r w:rsidR="003315F5" w:rsidRPr="0066682B">
        <w:rPr>
          <w:color w:val="000000"/>
        </w:rPr>
        <w:t>me</w:t>
      </w:r>
      <w:r w:rsidRPr="0066682B">
        <w:rPr>
          <w:color w:val="000000"/>
        </w:rPr>
        <w:t xml:space="preserve">, and no actions are taken as part of this </w:t>
      </w:r>
      <w:r w:rsidR="00990455" w:rsidRPr="0066682B">
        <w:rPr>
          <w:color w:val="000000"/>
        </w:rPr>
        <w:t xml:space="preserve">programme </w:t>
      </w:r>
      <w:r w:rsidRPr="0066682B">
        <w:rPr>
          <w:color w:val="000000"/>
        </w:rPr>
        <w:t xml:space="preserve">to prevent or mitigate </w:t>
      </w:r>
      <w:r w:rsidR="009A3E88" w:rsidRPr="0066682B">
        <w:rPr>
          <w:color w:val="000000"/>
        </w:rPr>
        <w:t>ageing</w:t>
      </w:r>
      <w:r w:rsidRPr="0066682B">
        <w:rPr>
          <w:color w:val="000000"/>
        </w:rPr>
        <w:t xml:space="preserve"> degradation.</w:t>
      </w:r>
    </w:p>
    <w:p w14:paraId="115E7F2E" w14:textId="77777777" w:rsidR="00D13527" w:rsidRPr="00E85820" w:rsidRDefault="00D13527" w:rsidP="003B1F7F"/>
    <w:p w14:paraId="7141B484" w14:textId="77777777" w:rsidR="005E3DAC" w:rsidRPr="0066682B" w:rsidRDefault="005E3DAC" w:rsidP="003B1F7F">
      <w:pPr>
        <w:pStyle w:val="IGALLTitle3"/>
        <w:rPr>
          <w:i/>
        </w:rPr>
      </w:pPr>
      <w:r w:rsidRPr="0066682B">
        <w:rPr>
          <w:i/>
        </w:rPr>
        <w:t>Detection of ageing effects</w:t>
      </w:r>
      <w:r w:rsidR="009A3E88" w:rsidRPr="0066682B">
        <w:rPr>
          <w:i/>
        </w:rPr>
        <w:t>:</w:t>
      </w:r>
    </w:p>
    <w:p w14:paraId="00B71DA0" w14:textId="77777777" w:rsidR="009C5D32" w:rsidRDefault="000768B6" w:rsidP="003B1F7F">
      <w:r w:rsidRPr="009C5D32">
        <w:t xml:space="preserve">This AMP focuses on the metallic parts of the connection. </w:t>
      </w:r>
      <w:r w:rsidR="009C5D32">
        <w:t>To verify that no ageing effects that require periodic testing occur, r</w:t>
      </w:r>
      <w:r w:rsidR="003D2442" w:rsidRPr="009C5D32">
        <w:t>epresentative samples of electrical connections within the scope according to national regulatory requirements are tested</w:t>
      </w:r>
      <w:r w:rsidR="009C5D32" w:rsidRPr="009C5D32">
        <w:t>.</w:t>
      </w:r>
      <w:r w:rsidR="003D2442" w:rsidRPr="009C5D32">
        <w:t xml:space="preserve"> </w:t>
      </w:r>
      <w:r w:rsidR="009C5D32" w:rsidRPr="009C5D32">
        <w:t>The following factors are considered for each sample: voltage level (medium and low voltage), circuit loading (high load), connection type, and location (high temperature, h</w:t>
      </w:r>
      <w:r w:rsidR="000F384B">
        <w:t>igh humidity, vibration, etc.)</w:t>
      </w:r>
      <w:r w:rsidR="009C5D32">
        <w:t xml:space="preserve"> A</w:t>
      </w:r>
      <w:r w:rsidR="009C5D32" w:rsidRPr="009C5D32">
        <w:t xml:space="preserve"> technical justification of the methodology and sample size used for selecting components for the test</w:t>
      </w:r>
      <w:r w:rsidR="00825848">
        <w:t>ing</w:t>
      </w:r>
      <w:r w:rsidR="009C5D32" w:rsidRPr="009C5D32">
        <w:t xml:space="preserve"> </w:t>
      </w:r>
      <w:r w:rsidR="009C5D32" w:rsidRPr="009C5D32">
        <w:rPr>
          <w:lang w:eastAsia="ja-JP"/>
        </w:rPr>
        <w:t>is</w:t>
      </w:r>
      <w:r w:rsidR="009C5D32" w:rsidRPr="009C5D32">
        <w:t xml:space="preserve"> included as part of the AMP’s site documentation.</w:t>
      </w:r>
      <w:r w:rsidR="009C5D32" w:rsidRPr="0066682B">
        <w:t xml:space="preserve"> </w:t>
      </w:r>
    </w:p>
    <w:p w14:paraId="0BF8255F" w14:textId="77777777" w:rsidR="000768B6" w:rsidRPr="0066682B" w:rsidRDefault="0034622E" w:rsidP="003B1F7F">
      <w:r w:rsidRPr="0066682B">
        <w:t xml:space="preserve">Testing may include thermography, contact resistance testing, or other </w:t>
      </w:r>
      <w:r w:rsidR="00EA1E04" w:rsidRPr="0066682B">
        <w:t xml:space="preserve">proven test </w:t>
      </w:r>
      <w:r w:rsidRPr="0066682B">
        <w:t>methods without removing the connection insulation, such as heat shrink tape, sleeving, insulating boots, etc. The test</w:t>
      </w:r>
      <w:r w:rsidR="00825848">
        <w:t>ing</w:t>
      </w:r>
      <w:r w:rsidRPr="0066682B">
        <w:t xml:space="preserve"> provides additional confirmation to support industry operating experience that shows that electrical connections have not experienced a high degree of failures, and that existing </w:t>
      </w:r>
      <w:r w:rsidRPr="0066682B">
        <w:lastRenderedPageBreak/>
        <w:t xml:space="preserve">installation and maintenance practices are effective. </w:t>
      </w:r>
      <w:r w:rsidR="00126296">
        <w:t xml:space="preserve">The tests </w:t>
      </w:r>
      <w:r w:rsidR="008B6E4F">
        <w:t>need</w:t>
      </w:r>
      <w:r w:rsidR="00126296">
        <w:t xml:space="preserve"> to be completed prior to the period of extended operation. </w:t>
      </w:r>
      <w:r w:rsidR="00EB1BC9">
        <w:t xml:space="preserve">The findings of the test are evaluated to determine whether periodic testing of the cable connections is </w:t>
      </w:r>
      <w:r w:rsidR="00126296">
        <w:t>necessary</w:t>
      </w:r>
      <w:r w:rsidR="00EB1BC9">
        <w:t xml:space="preserve">. </w:t>
      </w:r>
      <w:r w:rsidR="00126296">
        <w:t>The technical basis for a possible decision to omit periodic testing is to be documented (e.g.</w:t>
      </w:r>
      <w:r w:rsidR="000F384B">
        <w:t>,</w:t>
      </w:r>
      <w:r w:rsidR="00126296">
        <w:t xml:space="preserve"> a discussion of identified degradation</w:t>
      </w:r>
      <w:r w:rsidR="00A046C0">
        <w:t>s</w:t>
      </w:r>
      <w:r w:rsidR="00126296">
        <w:t xml:space="preserve"> and whether they were ageing-related).</w:t>
      </w:r>
    </w:p>
    <w:p w14:paraId="49BE615D" w14:textId="77777777" w:rsidR="00D13527" w:rsidRPr="0066682B" w:rsidRDefault="0034622E" w:rsidP="003B1F7F">
      <w:r w:rsidRPr="0066682B">
        <w:t xml:space="preserve">As an alternative to thermography or measuring connection resistance of the cable connection sample, for accessible cable connections that are covered with heat shrink tape, </w:t>
      </w:r>
      <w:r w:rsidRPr="0066682B">
        <w:rPr>
          <w:lang w:eastAsia="ja-JP"/>
        </w:rPr>
        <w:t>sleev</w:t>
      </w:r>
      <w:r w:rsidR="00087F23" w:rsidRPr="0066682B">
        <w:rPr>
          <w:lang w:eastAsia="ja-JP"/>
        </w:rPr>
        <w:t>es</w:t>
      </w:r>
      <w:r w:rsidRPr="0066682B">
        <w:t>, insulating boots, etc., the applicant may use</w:t>
      </w:r>
      <w:r w:rsidRPr="0066682B">
        <w:rPr>
          <w:lang w:eastAsia="ja-JP"/>
        </w:rPr>
        <w:t xml:space="preserve"> </w:t>
      </w:r>
      <w:r w:rsidR="003913E7" w:rsidRPr="0066682B">
        <w:rPr>
          <w:lang w:eastAsia="ja-JP"/>
        </w:rPr>
        <w:t>a periodic</w:t>
      </w:r>
      <w:r w:rsidR="003913E7" w:rsidRPr="0066682B">
        <w:t xml:space="preserve"> </w:t>
      </w:r>
      <w:r w:rsidRPr="0066682B">
        <w:t>visual inspection of insulation materials to detect surface anomalies, such as embrittlement, cracking, chipping, melting, discoloration, swelling or surface contamination. The basis for performing only a periodic visual inspection to monitor age-related degradation of cable connections is documented</w:t>
      </w:r>
      <w:r w:rsidR="00D13527" w:rsidRPr="0066682B">
        <w:t>.</w:t>
      </w:r>
      <w:r w:rsidR="00A26FCC" w:rsidRPr="0066682B">
        <w:rPr>
          <w:rFonts w:eastAsia="Times New Roman"/>
        </w:rPr>
        <w:t xml:space="preserve"> </w:t>
      </w:r>
    </w:p>
    <w:p w14:paraId="27AA0670" w14:textId="77777777" w:rsidR="00BB2246" w:rsidRPr="008B6E4F" w:rsidRDefault="00BB2246" w:rsidP="003B1F7F"/>
    <w:p w14:paraId="40C5CA28" w14:textId="77777777" w:rsidR="005E3DAC" w:rsidRPr="0066682B" w:rsidRDefault="005E3DAC" w:rsidP="003B1F7F">
      <w:pPr>
        <w:pStyle w:val="IGALLTitle3"/>
        <w:rPr>
          <w:i/>
        </w:rPr>
      </w:pPr>
      <w:r w:rsidRPr="0066682B">
        <w:rPr>
          <w:i/>
        </w:rPr>
        <w:t>Monitoring and trending of ageing effects</w:t>
      </w:r>
      <w:r w:rsidR="009A3E88" w:rsidRPr="0066682B">
        <w:rPr>
          <w:i/>
        </w:rPr>
        <w:t>:</w:t>
      </w:r>
    </w:p>
    <w:p w14:paraId="7EE947B4" w14:textId="77777777" w:rsidR="005E3DAC" w:rsidRPr="0066682B" w:rsidRDefault="0034622E" w:rsidP="003B1F7F">
      <w:pPr>
        <w:rPr>
          <w:color w:val="000000"/>
        </w:rPr>
      </w:pPr>
      <w:r w:rsidRPr="0066682B">
        <w:rPr>
          <w:color w:val="000000"/>
        </w:rPr>
        <w:t xml:space="preserve">Trending actions are not included as part of this AMP because it is a one-time test or, alternatively, a periodic visual inspection </w:t>
      </w:r>
      <w:r w:rsidR="00990455" w:rsidRPr="0066682B">
        <w:rPr>
          <w:color w:val="000000"/>
        </w:rPr>
        <w:t xml:space="preserve">programme </w:t>
      </w:r>
      <w:r w:rsidRPr="0066682B">
        <w:rPr>
          <w:color w:val="000000"/>
        </w:rPr>
        <w:t xml:space="preserve">where the ability to trend inspection results is limited. However, results that are </w:t>
      </w:r>
      <w:proofErr w:type="spellStart"/>
      <w:r w:rsidRPr="0066682B">
        <w:rPr>
          <w:color w:val="000000"/>
        </w:rPr>
        <w:t>trendable</w:t>
      </w:r>
      <w:proofErr w:type="spellEnd"/>
      <w:r w:rsidRPr="0066682B">
        <w:rPr>
          <w:color w:val="000000"/>
        </w:rPr>
        <w:t xml:space="preserve"> provide additional information on the rate of degradation</w:t>
      </w:r>
      <w:r w:rsidR="00D13527" w:rsidRPr="0066682B">
        <w:rPr>
          <w:color w:val="000000"/>
        </w:rPr>
        <w:t>.</w:t>
      </w:r>
    </w:p>
    <w:p w14:paraId="5670C92A" w14:textId="77777777" w:rsidR="00D13527" w:rsidRPr="0066682B" w:rsidRDefault="00D13527" w:rsidP="003B1F7F">
      <w:pPr>
        <w:rPr>
          <w:lang w:val="en-GB"/>
        </w:rPr>
      </w:pPr>
    </w:p>
    <w:p w14:paraId="3FE22501" w14:textId="77777777" w:rsidR="005E3DAC" w:rsidRPr="0066682B" w:rsidRDefault="005E3DAC" w:rsidP="003B1F7F">
      <w:pPr>
        <w:pStyle w:val="IGALLTitle3"/>
        <w:rPr>
          <w:i/>
        </w:rPr>
      </w:pPr>
      <w:r w:rsidRPr="0066682B">
        <w:rPr>
          <w:i/>
        </w:rPr>
        <w:t>Mitigating ageing effects</w:t>
      </w:r>
      <w:r w:rsidR="009A3E88" w:rsidRPr="0066682B">
        <w:rPr>
          <w:i/>
        </w:rPr>
        <w:t>:</w:t>
      </w:r>
    </w:p>
    <w:p w14:paraId="61B25B8C" w14:textId="77777777" w:rsidR="0034622E" w:rsidRPr="0066682B" w:rsidRDefault="00492548" w:rsidP="003B1F7F">
      <w:r w:rsidRPr="0066682B">
        <w:t xml:space="preserve">This </w:t>
      </w:r>
      <w:r w:rsidR="00990455" w:rsidRPr="0066682B">
        <w:t xml:space="preserve">programme </w:t>
      </w:r>
      <w:r w:rsidRPr="0066682B">
        <w:t>is a condition monitoring program</w:t>
      </w:r>
      <w:r w:rsidR="003315F5" w:rsidRPr="0066682B">
        <w:t>me</w:t>
      </w:r>
      <w:r w:rsidRPr="0066682B">
        <w:t>.</w:t>
      </w:r>
      <w:r w:rsidR="00413FDC" w:rsidRPr="0066682B">
        <w:t xml:space="preserve"> T</w:t>
      </w:r>
      <w:r w:rsidRPr="0066682B">
        <w:t xml:space="preserve">his </w:t>
      </w:r>
      <w:r w:rsidR="00990455" w:rsidRPr="0066682B">
        <w:t xml:space="preserve">programme </w:t>
      </w:r>
      <w:r w:rsidRPr="0066682B">
        <w:t xml:space="preserve">has no specific operations, maintenance, repair or replacement mitigation aspects. </w:t>
      </w:r>
    </w:p>
    <w:p w14:paraId="126EEEF1" w14:textId="77777777" w:rsidR="00D13527" w:rsidRPr="0066682B" w:rsidRDefault="00D13527" w:rsidP="003B1F7F"/>
    <w:p w14:paraId="44D1484D" w14:textId="77777777" w:rsidR="005E3DAC" w:rsidRPr="0066682B" w:rsidRDefault="005E3DAC" w:rsidP="003B1F7F">
      <w:pPr>
        <w:pStyle w:val="IGALLTitle3"/>
        <w:rPr>
          <w:i/>
        </w:rPr>
      </w:pPr>
      <w:r w:rsidRPr="0066682B">
        <w:rPr>
          <w:i/>
        </w:rPr>
        <w:t>Acceptance criteria</w:t>
      </w:r>
      <w:r w:rsidR="009A3E88" w:rsidRPr="0066682B">
        <w:rPr>
          <w:i/>
        </w:rPr>
        <w:t>:</w:t>
      </w:r>
    </w:p>
    <w:p w14:paraId="2BCF8705" w14:textId="77777777" w:rsidR="001F72B0" w:rsidRPr="0066682B" w:rsidRDefault="001F72B0" w:rsidP="003B1F7F">
      <w:pPr>
        <w:pStyle w:val="IGALLTitle3"/>
        <w:numPr>
          <w:ilvl w:val="0"/>
          <w:numId w:val="0"/>
        </w:numPr>
      </w:pPr>
      <w:r w:rsidRPr="0066682B">
        <w:rPr>
          <w:b w:val="0"/>
          <w:bCs w:val="0"/>
          <w:lang w:val="en-US"/>
        </w:rPr>
        <w:t>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require repair or replacement activities, or further evaluation to demonstrate that the component will continue to perform its intended function.</w:t>
      </w:r>
    </w:p>
    <w:p w14:paraId="537B8483" w14:textId="77777777" w:rsidR="00D42FB0" w:rsidRPr="0066682B" w:rsidRDefault="00A26FCC" w:rsidP="003B1F7F">
      <w:pPr>
        <w:rPr>
          <w:color w:val="000000"/>
        </w:rPr>
      </w:pPr>
      <w:r w:rsidRPr="0066682B">
        <w:rPr>
          <w:color w:val="000000"/>
          <w:u w:val="single"/>
        </w:rPr>
        <w:t>Acceptance</w:t>
      </w:r>
      <w:r w:rsidR="00D42FB0" w:rsidRPr="0066682B">
        <w:rPr>
          <w:color w:val="000000"/>
          <w:u w:val="single"/>
        </w:rPr>
        <w:t xml:space="preserve"> Criteria</w:t>
      </w:r>
      <w:r w:rsidR="001F72B0" w:rsidRPr="0066682B">
        <w:rPr>
          <w:color w:val="000000"/>
          <w:u w:val="single"/>
        </w:rPr>
        <w:t xml:space="preserve"> for Testing</w:t>
      </w:r>
      <w:r w:rsidR="00D42FB0" w:rsidRPr="0066682B">
        <w:rPr>
          <w:color w:val="000000"/>
        </w:rPr>
        <w:t xml:space="preserve">: </w:t>
      </w:r>
      <w:r w:rsidR="00644E50" w:rsidRPr="0066682B">
        <w:rPr>
          <w:color w:val="000000"/>
        </w:rPr>
        <w:t>Cable connections do</w:t>
      </w:r>
      <w:r w:rsidR="0034622E" w:rsidRPr="0066682B">
        <w:rPr>
          <w:color w:val="000000"/>
        </w:rPr>
        <w:t xml:space="preserve"> not indicate abnormal temperature for the application</w:t>
      </w:r>
      <w:r w:rsidR="001F72B0" w:rsidRPr="0066682B">
        <w:rPr>
          <w:color w:val="000000"/>
        </w:rPr>
        <w:t>, when</w:t>
      </w:r>
      <w:r w:rsidR="0034622E" w:rsidRPr="0066682B">
        <w:rPr>
          <w:color w:val="000000"/>
        </w:rPr>
        <w:t xml:space="preserve"> thermography</w:t>
      </w:r>
      <w:r w:rsidR="001C37C8" w:rsidRPr="0066682B">
        <w:rPr>
          <w:color w:val="000000"/>
        </w:rPr>
        <w:t xml:space="preserve"> is used</w:t>
      </w:r>
      <w:r w:rsidR="001F72B0" w:rsidRPr="0066682B">
        <w:rPr>
          <w:color w:val="000000"/>
        </w:rPr>
        <w:t>. A low</w:t>
      </w:r>
      <w:r w:rsidR="0034622E" w:rsidRPr="0066682B">
        <w:rPr>
          <w:color w:val="000000"/>
        </w:rPr>
        <w:t xml:space="preserve"> resistance value appropriate for the application </w:t>
      </w:r>
      <w:r w:rsidR="00661283">
        <w:rPr>
          <w:color w:val="000000"/>
        </w:rPr>
        <w:t>is</w:t>
      </w:r>
      <w:r w:rsidR="002C6F87">
        <w:rPr>
          <w:color w:val="000000"/>
        </w:rPr>
        <w:t xml:space="preserve"> determined </w:t>
      </w:r>
      <w:r w:rsidR="0034622E" w:rsidRPr="0066682B">
        <w:rPr>
          <w:color w:val="000000"/>
        </w:rPr>
        <w:t xml:space="preserve">when </w:t>
      </w:r>
      <w:r w:rsidR="00661283">
        <w:rPr>
          <w:color w:val="000000"/>
        </w:rPr>
        <w:t xml:space="preserve">contact </w:t>
      </w:r>
      <w:r w:rsidR="0034622E" w:rsidRPr="0066682B">
        <w:rPr>
          <w:color w:val="000000"/>
        </w:rPr>
        <w:t>resistance measurement</w:t>
      </w:r>
      <w:r w:rsidR="00661283">
        <w:rPr>
          <w:color w:val="000000"/>
        </w:rPr>
        <w:t>s</w:t>
      </w:r>
      <w:r w:rsidR="0034622E" w:rsidRPr="0066682B">
        <w:rPr>
          <w:color w:val="000000"/>
        </w:rPr>
        <w:t xml:space="preserve"> </w:t>
      </w:r>
      <w:r w:rsidR="00661283">
        <w:rPr>
          <w:color w:val="000000"/>
        </w:rPr>
        <w:t>are</w:t>
      </w:r>
      <w:r w:rsidR="0034622E" w:rsidRPr="0066682B">
        <w:rPr>
          <w:color w:val="000000"/>
        </w:rPr>
        <w:t xml:space="preserve"> used.</w:t>
      </w:r>
    </w:p>
    <w:p w14:paraId="44976A2F" w14:textId="77777777" w:rsidR="005E3DAC" w:rsidRPr="0066682B" w:rsidRDefault="00BB2246" w:rsidP="003B1F7F">
      <w:pPr>
        <w:rPr>
          <w:color w:val="000000"/>
        </w:rPr>
      </w:pPr>
      <w:r w:rsidRPr="0066682B">
        <w:rPr>
          <w:color w:val="000000"/>
          <w:u w:val="single"/>
        </w:rPr>
        <w:t>Acceptance</w:t>
      </w:r>
      <w:r w:rsidR="00D42FB0" w:rsidRPr="0066682B">
        <w:rPr>
          <w:color w:val="000000"/>
          <w:u w:val="single"/>
        </w:rPr>
        <w:t xml:space="preserve"> Criteria</w:t>
      </w:r>
      <w:r w:rsidR="001F72B0" w:rsidRPr="0066682B">
        <w:rPr>
          <w:color w:val="000000"/>
          <w:u w:val="single"/>
        </w:rPr>
        <w:t xml:space="preserve"> for Visual Inspection</w:t>
      </w:r>
      <w:r w:rsidR="00D42FB0" w:rsidRPr="0066682B">
        <w:rPr>
          <w:color w:val="000000"/>
        </w:rPr>
        <w:t>:</w:t>
      </w:r>
      <w:r w:rsidR="00FA4881" w:rsidRPr="0066682B">
        <w:rPr>
          <w:color w:val="000000"/>
        </w:rPr>
        <w:t xml:space="preserve"> </w:t>
      </w:r>
      <w:r w:rsidR="001C37C8" w:rsidRPr="0066682B">
        <w:rPr>
          <w:color w:val="000000"/>
        </w:rPr>
        <w:t>When the v</w:t>
      </w:r>
      <w:r w:rsidR="0034622E" w:rsidRPr="0066682B">
        <w:rPr>
          <w:color w:val="000000"/>
        </w:rPr>
        <w:t>isual inspection alternative for covered cable connections is used, the absence of embrittlement, cracking, chipping, melting, discoloration, swelling or surface contamination indicates that the covered cable connection components are not loose.</w:t>
      </w:r>
    </w:p>
    <w:p w14:paraId="7FD169AF" w14:textId="77777777" w:rsidR="00D13527" w:rsidRPr="00E71EC9" w:rsidRDefault="00D13527" w:rsidP="003B1F7F"/>
    <w:p w14:paraId="1FD04BE6" w14:textId="77777777" w:rsidR="005E3DAC" w:rsidRPr="0066682B" w:rsidRDefault="005E3DAC" w:rsidP="003B1F7F">
      <w:pPr>
        <w:pStyle w:val="IGALLTitle3"/>
        <w:rPr>
          <w:i/>
        </w:rPr>
      </w:pPr>
      <w:r w:rsidRPr="0066682B">
        <w:rPr>
          <w:i/>
        </w:rPr>
        <w:t>Corrective actions</w:t>
      </w:r>
      <w:r w:rsidR="009A3E88" w:rsidRPr="0066682B">
        <w:rPr>
          <w:i/>
        </w:rPr>
        <w:t>:</w:t>
      </w:r>
    </w:p>
    <w:p w14:paraId="14FC6AA2" w14:textId="77777777" w:rsidR="00D13527" w:rsidRPr="008B6E4F" w:rsidRDefault="00492548" w:rsidP="003B1F7F">
      <w:r w:rsidRPr="0066682B">
        <w:rPr>
          <w:color w:val="000000"/>
        </w:rPr>
        <w:t xml:space="preserve">An engineering evaluation is </w:t>
      </w:r>
      <w:r w:rsidR="00C4668B" w:rsidRPr="0066682B">
        <w:rPr>
          <w:color w:val="000000"/>
        </w:rPr>
        <w:t>performed,</w:t>
      </w:r>
      <w:r w:rsidRPr="0066682B">
        <w:rPr>
          <w:color w:val="000000"/>
        </w:rPr>
        <w:t xml:space="preserve"> and corrective action taken i</w:t>
      </w:r>
      <w:r w:rsidR="0034622E" w:rsidRPr="0066682B">
        <w:rPr>
          <w:color w:val="000000"/>
        </w:rPr>
        <w:t>f acceptance criteria are not met</w:t>
      </w:r>
      <w:r w:rsidR="0061766C" w:rsidRPr="0066682B">
        <w:rPr>
          <w:color w:val="000000"/>
        </w:rPr>
        <w:t>.</w:t>
      </w:r>
      <w:r w:rsidR="0034622E" w:rsidRPr="0066682B">
        <w:rPr>
          <w:color w:val="000000"/>
        </w:rPr>
        <w:t xml:space="preserve"> </w:t>
      </w:r>
      <w:r w:rsidR="0061766C" w:rsidRPr="0066682B">
        <w:rPr>
          <w:color w:val="000000"/>
        </w:rPr>
        <w:t>T</w:t>
      </w:r>
      <w:r w:rsidR="0034622E" w:rsidRPr="0066682B">
        <w:rPr>
          <w:color w:val="000000"/>
        </w:rPr>
        <w:t xml:space="preserve">he </w:t>
      </w:r>
      <w:r w:rsidR="001C37C8" w:rsidRPr="0066682B">
        <w:rPr>
          <w:color w:val="000000"/>
        </w:rPr>
        <w:t>member state quality assurance programme</w:t>
      </w:r>
      <w:r w:rsidR="00990455" w:rsidRPr="0066682B">
        <w:rPr>
          <w:color w:val="000000"/>
        </w:rPr>
        <w:t xml:space="preserve"> </w:t>
      </w:r>
      <w:r w:rsidR="0034622E" w:rsidRPr="0066682B">
        <w:rPr>
          <w:color w:val="000000"/>
        </w:rPr>
        <w:t xml:space="preserve">is used to perform an evaluation that considers the extent of the condition, the indications of </w:t>
      </w:r>
      <w:r w:rsidR="009A3E88" w:rsidRPr="0066682B">
        <w:rPr>
          <w:color w:val="000000"/>
        </w:rPr>
        <w:t>ageing</w:t>
      </w:r>
      <w:r w:rsidR="0034622E" w:rsidRPr="0066682B">
        <w:rPr>
          <w:color w:val="000000"/>
        </w:rPr>
        <w:t xml:space="preserve"> effect, and changes to the one-time testing </w:t>
      </w:r>
      <w:r w:rsidR="00990455" w:rsidRPr="0066682B">
        <w:rPr>
          <w:color w:val="000000"/>
        </w:rPr>
        <w:t xml:space="preserve">programme </w:t>
      </w:r>
      <w:r w:rsidR="0034622E" w:rsidRPr="0066682B">
        <w:rPr>
          <w:color w:val="000000"/>
        </w:rPr>
        <w:t>or alternative inspection progra</w:t>
      </w:r>
      <w:r w:rsidR="00422935" w:rsidRPr="0066682B">
        <w:rPr>
          <w:color w:val="000000"/>
        </w:rPr>
        <w:t>m</w:t>
      </w:r>
      <w:r w:rsidR="0034622E" w:rsidRPr="0066682B">
        <w:rPr>
          <w:color w:val="000000"/>
        </w:rPr>
        <w:t>m</w:t>
      </w:r>
      <w:r w:rsidR="00422935" w:rsidRPr="0066682B">
        <w:rPr>
          <w:color w:val="000000"/>
        </w:rPr>
        <w:t>e</w:t>
      </w:r>
      <w:r w:rsidR="0034622E" w:rsidRPr="0066682B">
        <w:rPr>
          <w:color w:val="000000"/>
        </w:rPr>
        <w:t xml:space="preserve">. </w:t>
      </w:r>
    </w:p>
    <w:p w14:paraId="3293858B" w14:textId="77777777" w:rsidR="005E3DAC" w:rsidRPr="0066682B" w:rsidRDefault="001165F7" w:rsidP="003B1F7F">
      <w:pPr>
        <w:pStyle w:val="IGALLTitle3"/>
        <w:ind w:left="720" w:hanging="720"/>
        <w:rPr>
          <w:i/>
        </w:rPr>
      </w:pPr>
      <w:r w:rsidRPr="0066682B">
        <w:rPr>
          <w:i/>
        </w:rPr>
        <w:t>Operating experience feedback and feedback of research and development results:</w:t>
      </w:r>
      <w:r w:rsidR="0034622E" w:rsidRPr="0066682B">
        <w:rPr>
          <w:i/>
        </w:rPr>
        <w:tab/>
      </w:r>
    </w:p>
    <w:p w14:paraId="60770447" w14:textId="77777777" w:rsidR="004D3FC2" w:rsidRPr="0066682B" w:rsidRDefault="00770004" w:rsidP="003B1F7F">
      <w:pPr>
        <w:pStyle w:val="IGALLTitle3"/>
        <w:numPr>
          <w:ilvl w:val="0"/>
          <w:numId w:val="0"/>
        </w:numPr>
        <w:rPr>
          <w:rFonts w:eastAsia="Calibri"/>
          <w:b w:val="0"/>
          <w:bCs w:val="0"/>
          <w:kern w:val="0"/>
          <w:lang w:val="en-US" w:eastAsia="en-US"/>
        </w:rPr>
      </w:pPr>
      <w:r w:rsidRPr="0066682B">
        <w:rPr>
          <w:rFonts w:eastAsia="Calibri"/>
          <w:b w:val="0"/>
          <w:bCs w:val="0"/>
          <w:kern w:val="0"/>
          <w:lang w:val="en-US" w:eastAsia="en-US"/>
        </w:rPr>
        <w:t xml:space="preserve">This AMP addresses the industry-wide generic experience. Relevant plant-specific operating </w:t>
      </w:r>
      <w:r w:rsidRPr="0066682B">
        <w:rPr>
          <w:rFonts w:eastAsia="Calibri"/>
          <w:b w:val="0"/>
          <w:bCs w:val="0"/>
          <w:kern w:val="0"/>
          <w:lang w:val="en-US" w:eastAsia="en-US"/>
        </w:rPr>
        <w:lastRenderedPageBreak/>
        <w:t>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ageing management.</w:t>
      </w:r>
      <w:r w:rsidR="00FA4881" w:rsidRPr="0066682B">
        <w:rPr>
          <w:rFonts w:eastAsia="Calibri"/>
          <w:b w:val="0"/>
          <w:bCs w:val="0"/>
          <w:kern w:val="0"/>
          <w:lang w:val="en-US" w:eastAsia="en-US"/>
        </w:rPr>
        <w:t xml:space="preserve"> </w:t>
      </w:r>
    </w:p>
    <w:p w14:paraId="50EC0F61" w14:textId="77777777" w:rsidR="005418F2" w:rsidRPr="0066682B" w:rsidRDefault="004D3FC2" w:rsidP="003B1F7F">
      <w:pPr>
        <w:pStyle w:val="IGALLTitle3"/>
        <w:numPr>
          <w:ilvl w:val="0"/>
          <w:numId w:val="0"/>
        </w:numPr>
        <w:rPr>
          <w:b w:val="0"/>
        </w:rPr>
      </w:pPr>
      <w:r w:rsidRPr="0066682B">
        <w:rPr>
          <w:b w:val="0"/>
          <w:kern w:val="0"/>
          <w:lang w:val="en-US"/>
        </w:rPr>
        <w:t xml:space="preserve">Electrical cable connections exposed to thermal cycling, ohmic heating, electrical transients, </w:t>
      </w:r>
      <w:r w:rsidR="00644E50" w:rsidRPr="0066682B">
        <w:rPr>
          <w:rFonts w:eastAsia="Calibri"/>
          <w:b w:val="0"/>
          <w:bCs w:val="0"/>
          <w:kern w:val="0"/>
          <w:lang w:val="en-US" w:eastAsia="en-US"/>
        </w:rPr>
        <w:t>wear</w:t>
      </w:r>
      <w:r w:rsidR="00266723" w:rsidRPr="0066682B">
        <w:rPr>
          <w:rFonts w:eastAsia="Calibri"/>
          <w:b w:val="0"/>
          <w:bCs w:val="0"/>
          <w:kern w:val="0"/>
          <w:lang w:val="en-US" w:eastAsia="en-US"/>
        </w:rPr>
        <w:t xml:space="preserve"> </w:t>
      </w:r>
      <w:r w:rsidR="00266723" w:rsidRPr="0066682B">
        <w:rPr>
          <w:b w:val="0"/>
        </w:rPr>
        <w:t>(including vibration)</w:t>
      </w:r>
      <w:r w:rsidR="00644E50" w:rsidRPr="0066682B">
        <w:rPr>
          <w:rFonts w:eastAsia="Calibri"/>
          <w:b w:val="0"/>
          <w:bCs w:val="0"/>
          <w:kern w:val="0"/>
          <w:lang w:val="en-US" w:eastAsia="en-US"/>
        </w:rPr>
        <w:t xml:space="preserve">, </w:t>
      </w:r>
      <w:r w:rsidRPr="0066682B">
        <w:rPr>
          <w:rFonts w:eastAsia="Calibri"/>
          <w:b w:val="0"/>
          <w:bCs w:val="0"/>
          <w:kern w:val="0"/>
          <w:lang w:val="en-US" w:eastAsia="en-US"/>
        </w:rPr>
        <w:t>surface</w:t>
      </w:r>
      <w:r w:rsidRPr="0066682B">
        <w:rPr>
          <w:b w:val="0"/>
          <w:kern w:val="0"/>
          <w:lang w:val="en-US"/>
        </w:rPr>
        <w:t xml:space="preserve"> contamination, corrosion, </w:t>
      </w:r>
      <w:r w:rsidR="00836168" w:rsidRPr="0066682B">
        <w:rPr>
          <w:b w:val="0"/>
          <w:kern w:val="0"/>
          <w:lang w:val="en-US"/>
        </w:rPr>
        <w:t>d</w:t>
      </w:r>
      <w:r w:rsidRPr="0066682B">
        <w:rPr>
          <w:b w:val="0"/>
          <w:kern w:val="0"/>
          <w:lang w:val="en-US"/>
        </w:rPr>
        <w:t xml:space="preserve">uring operation may experience increased resistance of connection. There have been limited numbers of age-related failures of </w:t>
      </w:r>
      <w:r w:rsidR="00E01973" w:rsidRPr="0066682B">
        <w:rPr>
          <w:rFonts w:eastAsia="Calibri"/>
          <w:b w:val="0"/>
          <w:bCs w:val="0"/>
          <w:kern w:val="0"/>
          <w:lang w:val="en-US" w:eastAsia="en-US"/>
        </w:rPr>
        <w:t>electrical</w:t>
      </w:r>
      <w:r w:rsidRPr="0066682B">
        <w:rPr>
          <w:b w:val="0"/>
          <w:kern w:val="0"/>
          <w:lang w:val="en-US"/>
        </w:rPr>
        <w:t xml:space="preserve"> connections reported</w:t>
      </w:r>
      <w:r w:rsidR="00D96E8C" w:rsidRPr="0066682B">
        <w:rPr>
          <w:rFonts w:eastAsia="Calibri"/>
          <w:b w:val="0"/>
          <w:bCs w:val="0"/>
          <w:kern w:val="0"/>
          <w:lang w:val="en-US" w:eastAsia="en-US"/>
        </w:rPr>
        <w:t xml:space="preserve"> [7</w:t>
      </w:r>
      <w:r w:rsidR="003078FC" w:rsidRPr="0066682B">
        <w:rPr>
          <w:rFonts w:eastAsia="Calibri"/>
          <w:b w:val="0"/>
          <w:bCs w:val="0"/>
          <w:kern w:val="0"/>
          <w:lang w:val="en-US" w:eastAsia="en-US"/>
        </w:rPr>
        <w:t>]</w:t>
      </w:r>
      <w:r w:rsidRPr="0066682B">
        <w:rPr>
          <w:rFonts w:eastAsia="Calibri"/>
          <w:b w:val="0"/>
          <w:bCs w:val="0"/>
          <w:kern w:val="0"/>
          <w:lang w:val="en-US" w:eastAsia="en-US"/>
        </w:rPr>
        <w:t>.</w:t>
      </w:r>
      <w:r w:rsidRPr="0066682B">
        <w:rPr>
          <w:b w:val="0"/>
          <w:kern w:val="0"/>
          <w:lang w:val="en-US"/>
        </w:rPr>
        <w:t xml:space="preserve"> </w:t>
      </w:r>
      <w:r w:rsidR="00422935" w:rsidRPr="0066682B">
        <w:rPr>
          <w:b w:val="0"/>
          <w:kern w:val="0"/>
          <w:lang w:val="en-US"/>
        </w:rPr>
        <w:t>An applicant’s operating experience</w:t>
      </w:r>
      <w:r w:rsidRPr="0066682B">
        <w:rPr>
          <w:b w:val="0"/>
          <w:kern w:val="0"/>
          <w:lang w:val="en-US"/>
        </w:rPr>
        <w:t xml:space="preserve"> with </w:t>
      </w:r>
      <w:r w:rsidRPr="0066682B">
        <w:rPr>
          <w:rFonts w:eastAsia="Calibri"/>
          <w:b w:val="0"/>
          <w:bCs w:val="0"/>
          <w:kern w:val="0"/>
          <w:lang w:val="en-US" w:eastAsia="en-US"/>
        </w:rPr>
        <w:t>connection reliability and</w:t>
      </w:r>
      <w:r w:rsidRPr="0066682B">
        <w:rPr>
          <w:b w:val="0"/>
          <w:kern w:val="0"/>
          <w:lang w:val="en-US"/>
        </w:rPr>
        <w:t xml:space="preserve"> ag</w:t>
      </w:r>
      <w:r w:rsidR="00422935" w:rsidRPr="0066682B">
        <w:rPr>
          <w:b w:val="0"/>
          <w:kern w:val="0"/>
          <w:lang w:val="en-US"/>
        </w:rPr>
        <w:t>e</w:t>
      </w:r>
      <w:r w:rsidRPr="0066682B">
        <w:rPr>
          <w:b w:val="0"/>
          <w:kern w:val="0"/>
          <w:lang w:val="en-US"/>
        </w:rPr>
        <w:t xml:space="preserve">ing effects </w:t>
      </w:r>
      <w:r w:rsidRPr="0066682B">
        <w:rPr>
          <w:rFonts w:eastAsia="Calibri"/>
          <w:b w:val="0"/>
          <w:bCs w:val="0"/>
          <w:kern w:val="0"/>
          <w:lang w:val="en-US" w:eastAsia="en-US"/>
        </w:rPr>
        <w:t>demonstrates</w:t>
      </w:r>
      <w:r w:rsidRPr="0066682B">
        <w:rPr>
          <w:b w:val="0"/>
          <w:kern w:val="0"/>
          <w:lang w:val="en-US"/>
        </w:rPr>
        <w:t xml:space="preserve"> the </w:t>
      </w:r>
      <w:r w:rsidRPr="0066682B">
        <w:rPr>
          <w:rFonts w:eastAsia="Calibri"/>
          <w:b w:val="0"/>
          <w:bCs w:val="0"/>
          <w:kern w:val="0"/>
          <w:lang w:val="en-US" w:eastAsia="en-US"/>
        </w:rPr>
        <w:t xml:space="preserve">AMP effectiveness of including the </w:t>
      </w:r>
      <w:proofErr w:type="spellStart"/>
      <w:r w:rsidRPr="0066682B">
        <w:rPr>
          <w:rFonts w:eastAsia="Calibri"/>
          <w:b w:val="0"/>
          <w:bCs w:val="0"/>
          <w:kern w:val="0"/>
          <w:lang w:val="en-US" w:eastAsia="en-US"/>
        </w:rPr>
        <w:t>program</w:t>
      </w:r>
      <w:r w:rsidR="00422935" w:rsidRPr="0066682B">
        <w:rPr>
          <w:rFonts w:eastAsia="Calibri"/>
          <w:b w:val="0"/>
          <w:bCs w:val="0"/>
          <w:kern w:val="0"/>
          <w:lang w:val="en-US" w:eastAsia="en-US"/>
        </w:rPr>
        <w:t>me</w:t>
      </w:r>
      <w:r w:rsidRPr="0066682B">
        <w:rPr>
          <w:rFonts w:eastAsia="Calibri"/>
          <w:b w:val="0"/>
          <w:bCs w:val="0"/>
          <w:kern w:val="0"/>
          <w:lang w:val="en-US" w:eastAsia="en-US"/>
        </w:rPr>
        <w:t>’s</w:t>
      </w:r>
      <w:proofErr w:type="spellEnd"/>
      <w:r w:rsidRPr="0066682B">
        <w:rPr>
          <w:rFonts w:eastAsia="Calibri"/>
          <w:b w:val="0"/>
          <w:bCs w:val="0"/>
          <w:kern w:val="0"/>
          <w:lang w:val="en-US" w:eastAsia="en-US"/>
        </w:rPr>
        <w:t xml:space="preserve"> capability to detect</w:t>
      </w:r>
      <w:r w:rsidRPr="0066682B">
        <w:rPr>
          <w:b w:val="0"/>
          <w:kern w:val="0"/>
          <w:lang w:val="en-US"/>
        </w:rPr>
        <w:t xml:space="preserve"> the presence or noting the absence of ag</w:t>
      </w:r>
      <w:r w:rsidR="00422935" w:rsidRPr="0066682B">
        <w:rPr>
          <w:b w:val="0"/>
          <w:kern w:val="0"/>
          <w:lang w:val="en-US"/>
        </w:rPr>
        <w:t>e</w:t>
      </w:r>
      <w:r w:rsidRPr="0066682B">
        <w:rPr>
          <w:b w:val="0"/>
          <w:kern w:val="0"/>
          <w:lang w:val="en-US"/>
        </w:rPr>
        <w:t xml:space="preserve">ing effects for </w:t>
      </w:r>
      <w:r w:rsidR="00836168" w:rsidRPr="0066682B">
        <w:rPr>
          <w:b w:val="0"/>
          <w:kern w:val="0"/>
          <w:lang w:val="en-US"/>
        </w:rPr>
        <w:t>electrical connections</w:t>
      </w:r>
      <w:r w:rsidRPr="0066682B">
        <w:rPr>
          <w:rFonts w:eastAsia="Calibri"/>
          <w:b w:val="0"/>
          <w:bCs w:val="0"/>
          <w:kern w:val="0"/>
          <w:lang w:val="en-US" w:eastAsia="en-US"/>
        </w:rPr>
        <w:t>.</w:t>
      </w:r>
    </w:p>
    <w:p w14:paraId="0B16D22F" w14:textId="77777777" w:rsidR="00BF10E8" w:rsidRPr="0066682B" w:rsidRDefault="00BF10E8" w:rsidP="003B1F7F">
      <w:r w:rsidRPr="0066682B">
        <w:t>At the time when this AMP was produced, no relevant R&amp;D was identified.</w:t>
      </w:r>
    </w:p>
    <w:p w14:paraId="058A15AB" w14:textId="77777777" w:rsidR="00D13527" w:rsidRPr="0066682B" w:rsidRDefault="00D13527" w:rsidP="003B1F7F"/>
    <w:p w14:paraId="1D6DE444" w14:textId="77777777" w:rsidR="005E3DAC" w:rsidRPr="0066682B" w:rsidRDefault="005E3DAC" w:rsidP="003B1F7F">
      <w:pPr>
        <w:pStyle w:val="IGALLTitle3"/>
        <w:rPr>
          <w:i/>
        </w:rPr>
      </w:pPr>
      <w:r w:rsidRPr="0066682B">
        <w:rPr>
          <w:i/>
        </w:rPr>
        <w:t>Quality management</w:t>
      </w:r>
      <w:r w:rsidR="009A3E88" w:rsidRPr="0066682B">
        <w:rPr>
          <w:i/>
        </w:rPr>
        <w:t>:</w:t>
      </w:r>
      <w:r w:rsidRPr="0066682B">
        <w:rPr>
          <w:i/>
        </w:rPr>
        <w:t xml:space="preserve"> </w:t>
      </w:r>
    </w:p>
    <w:p w14:paraId="1BDABF73" w14:textId="77777777" w:rsidR="00F67526" w:rsidRPr="0066682B" w:rsidRDefault="00F67526" w:rsidP="003B1F7F">
      <w:r w:rsidRPr="0066682B">
        <w:t>Site quality assurance procedures, review and approval processes, and administrative controls are implemented in accordance with the different national regulatory requirements</w:t>
      </w:r>
      <w:r w:rsidR="00D96E8C" w:rsidRPr="0066682B">
        <w:rPr>
          <w:lang w:eastAsia="ja-JP"/>
        </w:rPr>
        <w:t>, e.g.,</w:t>
      </w:r>
      <w:r w:rsidR="009205D0" w:rsidRPr="0066682B">
        <w:rPr>
          <w:lang w:eastAsia="ja-JP"/>
        </w:rPr>
        <w:t xml:space="preserve"> </w:t>
      </w:r>
      <w:r w:rsidR="00834E5C" w:rsidRPr="0066682B">
        <w:rPr>
          <w:lang w:eastAsia="ja-JP"/>
        </w:rPr>
        <w:fldChar w:fldCharType="begin"/>
      </w:r>
      <w:r w:rsidR="00834E5C" w:rsidRPr="0066682B">
        <w:rPr>
          <w:lang w:eastAsia="ja-JP"/>
        </w:rPr>
        <w:instrText xml:space="preserve"> REF _Ref453580227 \r \h </w:instrText>
      </w:r>
      <w:r w:rsidR="00AE69EE" w:rsidRPr="0066682B">
        <w:rPr>
          <w:lang w:eastAsia="ja-JP"/>
        </w:rPr>
        <w:instrText xml:space="preserve"> \* MERGEFORMAT </w:instrText>
      </w:r>
      <w:r w:rsidR="00834E5C" w:rsidRPr="0066682B">
        <w:rPr>
          <w:lang w:eastAsia="ja-JP"/>
        </w:rPr>
      </w:r>
      <w:r w:rsidR="00834E5C" w:rsidRPr="0066682B">
        <w:rPr>
          <w:lang w:eastAsia="ja-JP"/>
        </w:rPr>
        <w:fldChar w:fldCharType="separate"/>
      </w:r>
      <w:r w:rsidR="00B53474">
        <w:rPr>
          <w:lang w:eastAsia="ja-JP"/>
        </w:rPr>
        <w:t>[8]</w:t>
      </w:r>
      <w:r w:rsidR="00834E5C" w:rsidRPr="0066682B">
        <w:rPr>
          <w:lang w:eastAsia="ja-JP"/>
        </w:rPr>
        <w:fldChar w:fldCharType="end"/>
      </w:r>
      <w:r w:rsidRPr="0066682B">
        <w:rPr>
          <w:lang w:eastAsia="ja-JP"/>
        </w:rPr>
        <w:t>.</w:t>
      </w:r>
    </w:p>
    <w:p w14:paraId="31EF61D7" w14:textId="77777777" w:rsidR="00D13527" w:rsidRPr="0066682B" w:rsidRDefault="00D13527" w:rsidP="003B1F7F"/>
    <w:p w14:paraId="47893E63" w14:textId="77777777" w:rsidR="005E3DAC" w:rsidRPr="0066682B" w:rsidRDefault="005E3DAC" w:rsidP="003B1F7F">
      <w:pPr>
        <w:pStyle w:val="IGALLReferencesTitle"/>
      </w:pPr>
      <w:r w:rsidRPr="0066682B">
        <w:t xml:space="preserve">References </w:t>
      </w:r>
    </w:p>
    <w:p w14:paraId="772B282A" w14:textId="77777777" w:rsidR="00A75EBF" w:rsidRPr="0066682B" w:rsidRDefault="00C10A28" w:rsidP="003B1F7F">
      <w:pPr>
        <w:pStyle w:val="IGALLReferences"/>
        <w:ind w:left="425" w:hanging="425"/>
        <w:rPr>
          <w:rFonts w:ascii="Times New Roman" w:hAnsi="Times New Roman"/>
          <w:szCs w:val="24"/>
        </w:rPr>
      </w:pPr>
      <w:bookmarkStart w:id="0" w:name="_Ref353550325"/>
      <w:r w:rsidRPr="0066682B">
        <w:rPr>
          <w:rFonts w:ascii="Times New Roman" w:hAnsi="Times New Roman"/>
          <w:szCs w:val="24"/>
        </w:rPr>
        <w:t xml:space="preserve">UNITED STATES NUCLEAR REGULATORY COMMISSION, </w:t>
      </w:r>
      <w:r w:rsidR="00DB73A4" w:rsidRPr="0066682B">
        <w:rPr>
          <w:rFonts w:ascii="Times New Roman" w:hAnsi="Times New Roman"/>
          <w:szCs w:val="24"/>
        </w:rPr>
        <w:t>Electrical Cable Connections Not Subject To Environmental Qualification Requirements,</w:t>
      </w:r>
      <w:r w:rsidRPr="0066682B">
        <w:rPr>
          <w:rFonts w:ascii="Times New Roman" w:hAnsi="Times New Roman"/>
          <w:szCs w:val="24"/>
        </w:rPr>
        <w:t xml:space="preserve"> NUREG 1801 Rev.2 Chapter XI.E6, USNRC,</w:t>
      </w:r>
      <w:r w:rsidR="00DB73A4" w:rsidRPr="0066682B">
        <w:rPr>
          <w:rFonts w:ascii="Times New Roman" w:hAnsi="Times New Roman"/>
          <w:szCs w:val="24"/>
        </w:rPr>
        <w:t xml:space="preserve"> </w:t>
      </w:r>
      <w:r w:rsidR="00D35F8C" w:rsidRPr="0066682B">
        <w:rPr>
          <w:rFonts w:ascii="Times New Roman" w:hAnsi="Times New Roman"/>
          <w:szCs w:val="24"/>
        </w:rPr>
        <w:t>2010</w:t>
      </w:r>
      <w:r w:rsidR="00BE3D6F" w:rsidRPr="0066682B">
        <w:rPr>
          <w:rFonts w:ascii="Times New Roman" w:hAnsi="Times New Roman"/>
          <w:szCs w:val="24"/>
        </w:rPr>
        <w:t>.</w:t>
      </w:r>
      <w:bookmarkStart w:id="1" w:name="_Ref353550328"/>
      <w:bookmarkEnd w:id="0"/>
    </w:p>
    <w:p w14:paraId="121D9985" w14:textId="77777777" w:rsidR="001A4802" w:rsidRPr="00DB014C" w:rsidRDefault="001A4802" w:rsidP="003B1F7F">
      <w:pPr>
        <w:pStyle w:val="IGALLReferences"/>
        <w:ind w:left="425" w:hanging="425"/>
        <w:rPr>
          <w:rStyle w:val="IntenseReference"/>
          <w:rFonts w:ascii="Times New Roman" w:hAnsi="Times New Roman"/>
          <w:b w:val="0"/>
          <w:smallCaps w:val="0"/>
          <w:color w:val="FF0000"/>
          <w:spacing w:val="0"/>
          <w:szCs w:val="24"/>
          <w:u w:val="none"/>
        </w:rPr>
      </w:pPr>
      <w:bookmarkStart w:id="2" w:name="_Ref353550584"/>
      <w:bookmarkEnd w:id="1"/>
      <w:r w:rsidRPr="00DB014C">
        <w:rPr>
          <w:rStyle w:val="IntenseReference"/>
          <w:rFonts w:ascii="Times New Roman" w:hAnsi="Times New Roman"/>
          <w:b w:val="0"/>
          <w:smallCaps w:val="0"/>
          <w:color w:val="FF0000"/>
          <w:spacing w:val="0"/>
          <w:szCs w:val="24"/>
          <w:u w:val="none"/>
        </w:rPr>
        <w:t>INTERNATIONAL ATOMIC ENERGY AGENCY,</w:t>
      </w:r>
      <w:r w:rsidRPr="00DB014C">
        <w:rPr>
          <w:rStyle w:val="IntenseReference"/>
          <w:rFonts w:ascii="Times New Roman" w:hAnsi="Times New Roman"/>
          <w:b w:val="0"/>
          <w:smallCaps w:val="0"/>
          <w:color w:val="FF0000"/>
          <w:spacing w:val="0"/>
          <w:szCs w:val="24"/>
          <w:u w:val="none"/>
          <w:lang w:val="en-US"/>
        </w:rPr>
        <w:t xml:space="preserve"> </w:t>
      </w:r>
      <w:r w:rsidRPr="00DB014C">
        <w:rPr>
          <w:rStyle w:val="IntenseReference"/>
          <w:rFonts w:ascii="Times New Roman" w:hAnsi="Times New Roman"/>
          <w:b w:val="0"/>
          <w:smallCaps w:val="0"/>
          <w:color w:val="FF0000"/>
          <w:spacing w:val="0"/>
          <w:szCs w:val="24"/>
          <w:u w:val="none"/>
        </w:rPr>
        <w:t>Ageing Management and Development of a Programme for Long Term Operation of Nuclear Power Plants</w:t>
      </w:r>
      <w:r w:rsidRPr="00DB014C">
        <w:rPr>
          <w:rStyle w:val="IntenseReference"/>
          <w:rFonts w:ascii="Times New Roman" w:hAnsi="Times New Roman"/>
          <w:b w:val="0"/>
          <w:smallCaps w:val="0"/>
          <w:color w:val="FF0000"/>
          <w:spacing w:val="0"/>
          <w:szCs w:val="24"/>
          <w:u w:val="none"/>
          <w:lang w:val="en-US"/>
        </w:rPr>
        <w:t>, IAEA Safety Standards Series No. SSG-48, IAEA, Vienna</w:t>
      </w:r>
    </w:p>
    <w:p w14:paraId="149733B9" w14:textId="262D792A" w:rsidR="00A75EBF" w:rsidRPr="00DB014C" w:rsidRDefault="009205D0" w:rsidP="003B1F7F">
      <w:pPr>
        <w:pStyle w:val="IGALLReferences"/>
        <w:ind w:left="425" w:hanging="425"/>
        <w:rPr>
          <w:rStyle w:val="IntenseReference"/>
          <w:rFonts w:ascii="Times New Roman" w:hAnsi="Times New Roman"/>
          <w:b w:val="0"/>
          <w:smallCaps w:val="0"/>
          <w:color w:val="FF0000"/>
          <w:spacing w:val="0"/>
          <w:szCs w:val="24"/>
          <w:u w:val="none"/>
        </w:rPr>
      </w:pPr>
      <w:bookmarkStart w:id="3" w:name="_Ref453579613"/>
      <w:r w:rsidRPr="00DB014C">
        <w:rPr>
          <w:rStyle w:val="IntenseReference"/>
          <w:rFonts w:ascii="Times New Roman" w:hAnsi="Times New Roman"/>
          <w:b w:val="0"/>
          <w:smallCaps w:val="0"/>
          <w:color w:val="FF0000"/>
          <w:spacing w:val="0"/>
          <w:szCs w:val="24"/>
          <w:u w:val="none"/>
        </w:rPr>
        <w:t xml:space="preserve">KERNTECHNISCHER AUSSCHUSS, </w:t>
      </w:r>
      <w:r w:rsidR="002E7817" w:rsidRPr="00DB014C">
        <w:rPr>
          <w:rStyle w:val="IntenseReference"/>
          <w:rFonts w:ascii="Times New Roman" w:hAnsi="Times New Roman"/>
          <w:b w:val="0"/>
          <w:smallCaps w:val="0"/>
          <w:color w:val="FF0000"/>
          <w:spacing w:val="0"/>
          <w:szCs w:val="24"/>
          <w:u w:val="none"/>
        </w:rPr>
        <w:t xml:space="preserve">Ageing Management in Nuclear Power Plants, KTA Standard 1403, KTA, Germany, </w:t>
      </w:r>
      <w:bookmarkEnd w:id="2"/>
      <w:r w:rsidR="001A4802" w:rsidRPr="00DB014C">
        <w:rPr>
          <w:rStyle w:val="IntenseReference"/>
          <w:rFonts w:ascii="Times New Roman" w:hAnsi="Times New Roman"/>
          <w:b w:val="0"/>
          <w:smallCaps w:val="0"/>
          <w:color w:val="FF0000"/>
          <w:spacing w:val="0"/>
          <w:szCs w:val="24"/>
          <w:u w:val="none"/>
          <w:lang w:val="de-DE"/>
        </w:rPr>
        <w:t>2017</w:t>
      </w:r>
      <w:r w:rsidR="002A6EC5" w:rsidRPr="00DB014C">
        <w:rPr>
          <w:rStyle w:val="IntenseReference"/>
          <w:rFonts w:ascii="Times New Roman" w:hAnsi="Times New Roman"/>
          <w:b w:val="0"/>
          <w:smallCaps w:val="0"/>
          <w:color w:val="FF0000"/>
          <w:spacing w:val="0"/>
          <w:szCs w:val="24"/>
          <w:u w:val="none"/>
        </w:rPr>
        <w:t>.</w:t>
      </w:r>
      <w:bookmarkStart w:id="4" w:name="_Ref353550370"/>
      <w:bookmarkEnd w:id="3"/>
    </w:p>
    <w:p w14:paraId="07A800B9" w14:textId="77777777" w:rsidR="00A75EBF" w:rsidRPr="0066682B" w:rsidRDefault="00BE3D6F" w:rsidP="003B1F7F">
      <w:pPr>
        <w:pStyle w:val="IGALLReferences"/>
        <w:ind w:left="425" w:hanging="425"/>
        <w:rPr>
          <w:rFonts w:ascii="Times New Roman" w:hAnsi="Times New Roman"/>
          <w:szCs w:val="24"/>
        </w:rPr>
      </w:pPr>
      <w:bookmarkStart w:id="5" w:name="_Ref453579688"/>
      <w:r w:rsidRPr="0066682B">
        <w:rPr>
          <w:rFonts w:ascii="Times New Roman" w:hAnsi="Times New Roman"/>
          <w:szCs w:val="24"/>
        </w:rPr>
        <w:t xml:space="preserve">ELECTRIC POWER RESEARCH INSTITUTE, Guideline for the Management of Adverse Localized Equipment Environments, EPRI </w:t>
      </w:r>
      <w:r w:rsidR="00E71EC9">
        <w:rPr>
          <w:rFonts w:ascii="Times New Roman" w:hAnsi="Times New Roman"/>
          <w:szCs w:val="24"/>
          <w:lang w:val="en-US"/>
        </w:rPr>
        <w:t>TR-</w:t>
      </w:r>
      <w:r w:rsidRPr="0066682B">
        <w:rPr>
          <w:rFonts w:ascii="Times New Roman" w:hAnsi="Times New Roman"/>
          <w:szCs w:val="24"/>
        </w:rPr>
        <w:t>109619, EPRI, Palo Alto, CA, 1999.</w:t>
      </w:r>
      <w:bookmarkStart w:id="6" w:name="_Ref353550389"/>
      <w:bookmarkEnd w:id="4"/>
      <w:bookmarkEnd w:id="5"/>
    </w:p>
    <w:p w14:paraId="53307BBE" w14:textId="00B2721E" w:rsidR="00A75EBF" w:rsidRPr="00DB014C" w:rsidRDefault="00C10A28" w:rsidP="003B1F7F">
      <w:pPr>
        <w:pStyle w:val="IGALLReferences"/>
        <w:ind w:left="425" w:hanging="425"/>
        <w:rPr>
          <w:rFonts w:ascii="Times New Roman" w:hAnsi="Times New Roman"/>
          <w:color w:val="FF0000"/>
          <w:szCs w:val="24"/>
        </w:rPr>
      </w:pPr>
      <w:bookmarkStart w:id="7" w:name="_Ref453579769"/>
      <w:r w:rsidRPr="00DB014C">
        <w:rPr>
          <w:rFonts w:ascii="Times New Roman" w:hAnsi="Times New Roman"/>
          <w:color w:val="FF0000"/>
          <w:szCs w:val="24"/>
        </w:rPr>
        <w:t xml:space="preserve">ELECTRIC POWER RESEARCH </w:t>
      </w:r>
      <w:r w:rsidR="00BE3D6F" w:rsidRPr="00DB014C">
        <w:rPr>
          <w:rFonts w:ascii="Times New Roman" w:hAnsi="Times New Roman"/>
          <w:color w:val="FF0000"/>
          <w:szCs w:val="24"/>
        </w:rPr>
        <w:t xml:space="preserve">INSTITUTE, </w:t>
      </w:r>
      <w:r w:rsidR="00962560" w:rsidRPr="00DB014C">
        <w:rPr>
          <w:rFonts w:ascii="Times New Roman" w:hAnsi="Times New Roman"/>
          <w:color w:val="FF0000"/>
          <w:szCs w:val="24"/>
        </w:rPr>
        <w:t xml:space="preserve">Nuclear Maintenance Applications </w:t>
      </w:r>
      <w:proofErr w:type="spellStart"/>
      <w:r w:rsidR="00962560" w:rsidRPr="00DB014C">
        <w:rPr>
          <w:rFonts w:ascii="Times New Roman" w:hAnsi="Times New Roman"/>
          <w:color w:val="FF0000"/>
          <w:szCs w:val="24"/>
        </w:rPr>
        <w:t>Center</w:t>
      </w:r>
      <w:proofErr w:type="spellEnd"/>
      <w:r w:rsidR="00962560" w:rsidRPr="00DB014C">
        <w:rPr>
          <w:rFonts w:ascii="Times New Roman" w:hAnsi="Times New Roman"/>
          <w:color w:val="FF0000"/>
          <w:szCs w:val="24"/>
        </w:rPr>
        <w:t>: Bolted Joint Fundamentals. EPRI</w:t>
      </w:r>
      <w:r w:rsidR="00962560" w:rsidRPr="00DB014C">
        <w:rPr>
          <w:rFonts w:ascii="Times New Roman" w:hAnsi="Times New Roman"/>
          <w:color w:val="FF0000"/>
          <w:szCs w:val="24"/>
          <w:lang w:val="en-GB"/>
        </w:rPr>
        <w:t xml:space="preserve"> </w:t>
      </w:r>
      <w:r w:rsidR="00962560" w:rsidRPr="00DB014C">
        <w:rPr>
          <w:rFonts w:ascii="Times New Roman" w:hAnsi="Times New Roman"/>
          <w:color w:val="FF0000"/>
          <w:szCs w:val="24"/>
        </w:rPr>
        <w:t>1015336, Palo Alto, CA: 2007.</w:t>
      </w:r>
      <w:r w:rsidR="00962560" w:rsidRPr="00DB014C" w:rsidDel="00962560">
        <w:rPr>
          <w:rFonts w:ascii="Times New Roman" w:hAnsi="Times New Roman"/>
          <w:color w:val="FF0000"/>
          <w:szCs w:val="24"/>
        </w:rPr>
        <w:t xml:space="preserve"> </w:t>
      </w:r>
      <w:bookmarkStart w:id="8" w:name="_Ref353550406"/>
      <w:bookmarkEnd w:id="6"/>
      <w:bookmarkEnd w:id="7"/>
    </w:p>
    <w:p w14:paraId="06080D41" w14:textId="77777777" w:rsidR="00A75EBF" w:rsidRPr="0066682B" w:rsidRDefault="00BE3D6F" w:rsidP="003B1F7F">
      <w:pPr>
        <w:pStyle w:val="IGALLReferences"/>
        <w:ind w:left="425" w:hanging="425"/>
        <w:rPr>
          <w:rFonts w:ascii="Times New Roman" w:hAnsi="Times New Roman"/>
          <w:szCs w:val="24"/>
          <w:lang w:val="en-GB"/>
        </w:rPr>
      </w:pPr>
      <w:bookmarkStart w:id="9" w:name="_Ref453579838"/>
      <w:r w:rsidRPr="0066682B">
        <w:rPr>
          <w:rFonts w:ascii="Times New Roman" w:hAnsi="Times New Roman"/>
          <w:szCs w:val="24"/>
        </w:rPr>
        <w:t xml:space="preserve">SANDIA NATIONAL LABORATORIES, Ageing Management Guideline for Commercial </w:t>
      </w:r>
      <w:r w:rsidRPr="0066682B">
        <w:rPr>
          <w:rFonts w:ascii="Times New Roman" w:hAnsi="Times New Roman"/>
          <w:szCs w:val="24"/>
          <w:lang w:val="en-GB"/>
        </w:rPr>
        <w:t>Nuclear Power Plants – Electrical Cable and Terminations, SAND96-0344, prepared by Sandia National Laboratories for the U.S. Department of Energy, 1996.</w:t>
      </w:r>
      <w:bookmarkEnd w:id="8"/>
      <w:bookmarkEnd w:id="9"/>
    </w:p>
    <w:p w14:paraId="7DF1394C" w14:textId="77777777" w:rsidR="003078FC" w:rsidRPr="0066682B" w:rsidRDefault="00212761" w:rsidP="003B1F7F">
      <w:pPr>
        <w:pStyle w:val="IGALLReferences"/>
        <w:ind w:left="425" w:hanging="425"/>
        <w:rPr>
          <w:rFonts w:ascii="Times New Roman" w:hAnsi="Times New Roman"/>
          <w:szCs w:val="24"/>
          <w:lang w:val="en-GB"/>
        </w:rPr>
      </w:pPr>
      <w:bookmarkStart w:id="10" w:name="_Ref353550439"/>
      <w:r w:rsidRPr="0066682B">
        <w:rPr>
          <w:rFonts w:ascii="Times New Roman" w:hAnsi="Times New Roman"/>
          <w:szCs w:val="24"/>
          <w:lang w:val="en-GB"/>
        </w:rPr>
        <w:t xml:space="preserve">UNITED STATES NUCLEAR REGULATORY COMMISSION, </w:t>
      </w:r>
      <w:r w:rsidR="008A2ADC" w:rsidRPr="0066682B">
        <w:rPr>
          <w:rFonts w:ascii="Times New Roman" w:hAnsi="Times New Roman"/>
          <w:szCs w:val="24"/>
          <w:lang w:val="en-GB"/>
        </w:rPr>
        <w:t>Inadequate Electrical Connections, NRC Information Notice</w:t>
      </w:r>
      <w:r w:rsidR="00FA4881" w:rsidRPr="0066682B">
        <w:rPr>
          <w:rFonts w:ascii="Times New Roman" w:hAnsi="Times New Roman"/>
          <w:szCs w:val="24"/>
          <w:lang w:val="en-GB"/>
        </w:rPr>
        <w:t xml:space="preserve"> </w:t>
      </w:r>
      <w:r w:rsidR="008A2ADC" w:rsidRPr="0066682B">
        <w:rPr>
          <w:rFonts w:ascii="Times New Roman" w:hAnsi="Times New Roman"/>
          <w:szCs w:val="24"/>
          <w:lang w:val="en-GB"/>
        </w:rPr>
        <w:t>2010-25,</w:t>
      </w:r>
      <w:r w:rsidRPr="0066682B">
        <w:rPr>
          <w:rFonts w:ascii="Times New Roman" w:hAnsi="Times New Roman"/>
          <w:szCs w:val="24"/>
          <w:lang w:val="en-GB"/>
        </w:rPr>
        <w:t xml:space="preserve"> USNRC, </w:t>
      </w:r>
      <w:r w:rsidR="008A2ADC" w:rsidRPr="0066682B">
        <w:rPr>
          <w:rFonts w:ascii="Times New Roman" w:hAnsi="Times New Roman"/>
          <w:szCs w:val="24"/>
          <w:lang w:val="en-GB"/>
        </w:rPr>
        <w:t>November 17, 2010</w:t>
      </w:r>
      <w:r w:rsidRPr="0066682B">
        <w:rPr>
          <w:rFonts w:ascii="Times New Roman" w:hAnsi="Times New Roman"/>
          <w:szCs w:val="24"/>
          <w:lang w:val="en-GB"/>
        </w:rPr>
        <w:t>.</w:t>
      </w:r>
      <w:bookmarkEnd w:id="10"/>
    </w:p>
    <w:p w14:paraId="2A300BC7" w14:textId="58D0AB22" w:rsidR="00D96E8C" w:rsidRPr="00DB014C" w:rsidRDefault="00D96E8C" w:rsidP="003B1F7F">
      <w:pPr>
        <w:pStyle w:val="IGALLReferences"/>
        <w:ind w:left="425" w:hanging="425"/>
        <w:rPr>
          <w:rFonts w:ascii="Times New Roman" w:hAnsi="Times New Roman"/>
          <w:color w:val="FF0000"/>
          <w:szCs w:val="24"/>
          <w:lang w:val="en-GB"/>
        </w:rPr>
      </w:pPr>
      <w:bookmarkStart w:id="11" w:name="_Ref353550459"/>
      <w:bookmarkStart w:id="12" w:name="_Ref453580227"/>
      <w:r w:rsidRPr="00DB014C">
        <w:rPr>
          <w:rFonts w:ascii="Times New Roman" w:hAnsi="Times New Roman"/>
          <w:color w:val="FF0000"/>
          <w:szCs w:val="24"/>
          <w:lang w:val="en-GB"/>
        </w:rPr>
        <w:t>UNITED STATES NUCLEAR REGULATORY COMMISSION, 10 CFR Part 50, Appendix B, Quality Assurance Criteria for Nuclear Power Plants</w:t>
      </w:r>
      <w:r w:rsidR="00485779" w:rsidRPr="00DB014C">
        <w:rPr>
          <w:rFonts w:ascii="Times New Roman" w:hAnsi="Times New Roman"/>
          <w:color w:val="FF0000"/>
          <w:szCs w:val="24"/>
          <w:lang w:val="en-GB"/>
        </w:rPr>
        <w:t xml:space="preserve"> and Fuel Reprocessing Plants</w:t>
      </w:r>
      <w:r w:rsidRPr="00DB014C">
        <w:rPr>
          <w:rFonts w:ascii="Times New Roman" w:hAnsi="Times New Roman"/>
          <w:color w:val="FF0000"/>
          <w:szCs w:val="24"/>
          <w:lang w:val="en-GB"/>
        </w:rPr>
        <w:t xml:space="preserve">, Office of the Federal Register, National Archives and Records Administration, USNRC, </w:t>
      </w:r>
      <w:r w:rsidR="00485779" w:rsidRPr="00DB014C">
        <w:rPr>
          <w:rFonts w:ascii="Times New Roman" w:hAnsi="Times New Roman"/>
          <w:color w:val="FF0000"/>
          <w:szCs w:val="24"/>
          <w:lang w:val="en-GB"/>
        </w:rPr>
        <w:t>2019</w:t>
      </w:r>
      <w:r w:rsidRPr="00DB014C">
        <w:rPr>
          <w:rFonts w:ascii="Times New Roman" w:hAnsi="Times New Roman"/>
          <w:color w:val="FF0000"/>
          <w:szCs w:val="24"/>
          <w:lang w:val="en-GB"/>
        </w:rPr>
        <w:t>.</w:t>
      </w:r>
      <w:bookmarkEnd w:id="11"/>
      <w:bookmarkEnd w:id="12"/>
      <w:r w:rsidRPr="00DB014C">
        <w:rPr>
          <w:rFonts w:ascii="Times New Roman" w:hAnsi="Times New Roman"/>
          <w:color w:val="FF0000"/>
          <w:szCs w:val="24"/>
          <w:lang w:val="en-GB"/>
        </w:rPr>
        <w:t xml:space="preserve"> </w:t>
      </w:r>
    </w:p>
    <w:p w14:paraId="00D7E8B5" w14:textId="4C1A2745" w:rsidR="000742C7" w:rsidRPr="00DB014C" w:rsidRDefault="000742C7" w:rsidP="003B1F7F">
      <w:pPr>
        <w:pStyle w:val="IGALLReferences"/>
        <w:ind w:left="425" w:hanging="425"/>
        <w:rPr>
          <w:rFonts w:ascii="Times New Roman" w:hAnsi="Times New Roman"/>
          <w:color w:val="FF0000"/>
          <w:szCs w:val="24"/>
          <w:lang w:val="en-GB"/>
        </w:rPr>
      </w:pPr>
      <w:r w:rsidRPr="00DB014C">
        <w:rPr>
          <w:rFonts w:ascii="Times New Roman" w:hAnsi="Times New Roman"/>
          <w:color w:val="FF0000"/>
          <w:szCs w:val="24"/>
        </w:rPr>
        <w:t>ELECTRIC POWER RESEARCH INSTITUTE</w:t>
      </w:r>
      <w:r w:rsidRPr="00DB014C">
        <w:rPr>
          <w:rFonts w:ascii="Times New Roman" w:hAnsi="Times New Roman"/>
          <w:color w:val="FF0000"/>
          <w:szCs w:val="24"/>
          <w:lang w:val="en-GB"/>
        </w:rPr>
        <w:t xml:space="preserve">, Nuclear Maintenance Applications </w:t>
      </w:r>
      <w:proofErr w:type="spellStart"/>
      <w:r w:rsidRPr="00DB014C">
        <w:rPr>
          <w:rFonts w:ascii="Times New Roman" w:hAnsi="Times New Roman"/>
          <w:color w:val="FF0000"/>
          <w:szCs w:val="24"/>
          <w:lang w:val="en-GB"/>
        </w:rPr>
        <w:t>Center</w:t>
      </w:r>
      <w:proofErr w:type="spellEnd"/>
      <w:r w:rsidRPr="00DB014C">
        <w:rPr>
          <w:rFonts w:ascii="Times New Roman" w:hAnsi="Times New Roman"/>
          <w:color w:val="FF0000"/>
          <w:szCs w:val="24"/>
          <w:lang w:val="en-GB"/>
        </w:rPr>
        <w:t>:</w:t>
      </w:r>
      <w:bookmarkStart w:id="13" w:name="_GoBack"/>
      <w:bookmarkEnd w:id="13"/>
      <w:r w:rsidRPr="00DB014C">
        <w:rPr>
          <w:rFonts w:ascii="Times New Roman" w:hAnsi="Times New Roman"/>
          <w:color w:val="FF0000"/>
          <w:szCs w:val="24"/>
          <w:lang w:val="en-GB"/>
        </w:rPr>
        <w:t xml:space="preserve"> Switchgear and Bus Maintenance Guide. EPRI, Palo Alto, CA: 2006. 1013457.</w:t>
      </w:r>
    </w:p>
    <w:p w14:paraId="10408BD1" w14:textId="77777777" w:rsidR="003078FC" w:rsidRPr="00E71EC9" w:rsidRDefault="003078FC" w:rsidP="003B1F7F">
      <w:pPr>
        <w:pStyle w:val="IGALLReferences"/>
        <w:numPr>
          <w:ilvl w:val="0"/>
          <w:numId w:val="0"/>
        </w:numPr>
        <w:rPr>
          <w:rFonts w:ascii="Times New Roman" w:hAnsi="Times New Roman"/>
          <w:sz w:val="22"/>
          <w:lang w:val="en-US"/>
        </w:rPr>
      </w:pPr>
    </w:p>
    <w:sectPr w:rsidR="003078FC" w:rsidRPr="00E71EC9" w:rsidSect="0066682B">
      <w:footerReference w:type="default" r:id="rId13"/>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E59AA" w14:textId="77777777" w:rsidR="00D520EE" w:rsidRDefault="00D520EE" w:rsidP="005672CA">
      <w:r>
        <w:separator/>
      </w:r>
    </w:p>
  </w:endnote>
  <w:endnote w:type="continuationSeparator" w:id="0">
    <w:p w14:paraId="4CBD15F1" w14:textId="77777777" w:rsidR="00D520EE" w:rsidRDefault="00D520EE" w:rsidP="005672CA">
      <w:r>
        <w:continuationSeparator/>
      </w:r>
    </w:p>
  </w:endnote>
  <w:endnote w:type="continuationNotice" w:id="1">
    <w:p w14:paraId="432FF564" w14:textId="77777777" w:rsidR="00D520EE" w:rsidRDefault="00D520E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utura Std Book">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7CDC" w14:textId="77777777" w:rsidR="005672CA" w:rsidRDefault="005672CA">
    <w:pPr>
      <w:pStyle w:val="Footer"/>
    </w:pPr>
    <w:r>
      <w:tab/>
    </w:r>
    <w:r w:rsidR="00555668">
      <w:fldChar w:fldCharType="begin"/>
    </w:r>
    <w:r w:rsidR="00555668">
      <w:instrText xml:space="preserve"> PAGE   \* MERGEFORMAT </w:instrText>
    </w:r>
    <w:r w:rsidR="00555668">
      <w:fldChar w:fldCharType="separate"/>
    </w:r>
    <w:r w:rsidR="00E71EC9">
      <w:rPr>
        <w:noProof/>
      </w:rPr>
      <w:t>6</w:t>
    </w:r>
    <w:r w:rsidR="00555668">
      <w:rPr>
        <w:noProof/>
      </w:rPr>
      <w:fldChar w:fldCharType="end"/>
    </w:r>
  </w:p>
  <w:p w14:paraId="3FE9AFE8" w14:textId="77777777" w:rsidR="005672CA" w:rsidRDefault="0056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A9ABF" w14:textId="77777777" w:rsidR="00D520EE" w:rsidRDefault="00D520EE" w:rsidP="005672CA">
      <w:r>
        <w:separator/>
      </w:r>
    </w:p>
  </w:footnote>
  <w:footnote w:type="continuationSeparator" w:id="0">
    <w:p w14:paraId="4F901C5E" w14:textId="77777777" w:rsidR="00D520EE" w:rsidRDefault="00D520EE" w:rsidP="005672CA">
      <w:r>
        <w:continuationSeparator/>
      </w:r>
    </w:p>
  </w:footnote>
  <w:footnote w:type="continuationNotice" w:id="1">
    <w:p w14:paraId="33F42E55" w14:textId="77777777" w:rsidR="00D520EE" w:rsidRDefault="00D520E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327BF"/>
    <w:multiLevelType w:val="hybridMultilevel"/>
    <w:tmpl w:val="22CC4038"/>
    <w:lvl w:ilvl="0" w:tplc="8C38B7C8">
      <w:start w:val="1"/>
      <w:numFmt w:val="decimal"/>
      <w:lvlText w:val="%1."/>
      <w:lvlJc w:val="left"/>
      <w:pPr>
        <w:tabs>
          <w:tab w:val="num" w:pos="360"/>
        </w:tabs>
        <w:ind w:left="360" w:hanging="360"/>
      </w:pPr>
      <w:rPr>
        <w:rFonts w:hint="eastAsia"/>
        <w:b/>
        <w:i/>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53735F8"/>
    <w:multiLevelType w:val="hybridMultilevel"/>
    <w:tmpl w:val="CB2A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B3A6E"/>
    <w:multiLevelType w:val="hybridMultilevel"/>
    <w:tmpl w:val="3D868760"/>
    <w:lvl w:ilvl="0" w:tplc="DBEECA4C">
      <w:start w:val="1"/>
      <w:numFmt w:val="decimal"/>
      <w:pStyle w:val="IGALLReferences"/>
      <w:lvlText w:val="[%1]"/>
      <w:lvlJc w:val="left"/>
      <w:pPr>
        <w:tabs>
          <w:tab w:val="num" w:pos="6739"/>
        </w:tabs>
        <w:ind w:left="6739" w:hanging="360"/>
      </w:pPr>
      <w:rPr>
        <w:rFonts w:ascii="Times New Roman" w:hAnsi="Times New Roman" w:hint="default"/>
      </w:rPr>
    </w:lvl>
    <w:lvl w:ilvl="1" w:tplc="04090017" w:tentative="1">
      <w:start w:val="1"/>
      <w:numFmt w:val="aiueoFullWidth"/>
      <w:lvlText w:val="(%2)"/>
      <w:lvlJc w:val="left"/>
      <w:pPr>
        <w:tabs>
          <w:tab w:val="num" w:pos="0"/>
        </w:tabs>
        <w:ind w:left="0" w:hanging="420"/>
      </w:pPr>
    </w:lvl>
    <w:lvl w:ilvl="2" w:tplc="04090011" w:tentative="1">
      <w:start w:val="1"/>
      <w:numFmt w:val="decimalEnclosedCircle"/>
      <w:lvlText w:val="%3"/>
      <w:lvlJc w:val="left"/>
      <w:pPr>
        <w:tabs>
          <w:tab w:val="num" w:pos="420"/>
        </w:tabs>
        <w:ind w:left="420" w:hanging="420"/>
      </w:pPr>
    </w:lvl>
    <w:lvl w:ilvl="3" w:tplc="0409000F" w:tentative="1">
      <w:start w:val="1"/>
      <w:numFmt w:val="decimal"/>
      <w:lvlText w:val="%4."/>
      <w:lvlJc w:val="left"/>
      <w:pPr>
        <w:tabs>
          <w:tab w:val="num" w:pos="840"/>
        </w:tabs>
        <w:ind w:left="840" w:hanging="420"/>
      </w:pPr>
    </w:lvl>
    <w:lvl w:ilvl="4" w:tplc="04090017" w:tentative="1">
      <w:start w:val="1"/>
      <w:numFmt w:val="aiueoFullWidth"/>
      <w:lvlText w:val="(%5)"/>
      <w:lvlJc w:val="left"/>
      <w:pPr>
        <w:tabs>
          <w:tab w:val="num" w:pos="1260"/>
        </w:tabs>
        <w:ind w:left="1260" w:hanging="420"/>
      </w:pPr>
    </w:lvl>
    <w:lvl w:ilvl="5" w:tplc="04090011" w:tentative="1">
      <w:start w:val="1"/>
      <w:numFmt w:val="decimalEnclosedCircle"/>
      <w:lvlText w:val="%6"/>
      <w:lvlJc w:val="lef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7" w:tentative="1">
      <w:start w:val="1"/>
      <w:numFmt w:val="aiueoFullWidth"/>
      <w:lvlText w:val="(%8)"/>
      <w:lvlJc w:val="left"/>
      <w:pPr>
        <w:tabs>
          <w:tab w:val="num" w:pos="2520"/>
        </w:tabs>
        <w:ind w:left="2520" w:hanging="420"/>
      </w:pPr>
    </w:lvl>
    <w:lvl w:ilvl="8" w:tplc="04090011" w:tentative="1">
      <w:start w:val="1"/>
      <w:numFmt w:val="decimalEnclosedCircle"/>
      <w:lvlText w:val="%9"/>
      <w:lvlJc w:val="left"/>
      <w:pPr>
        <w:tabs>
          <w:tab w:val="num" w:pos="2940"/>
        </w:tabs>
        <w:ind w:left="2940" w:hanging="420"/>
      </w:pPr>
    </w:lvl>
  </w:abstractNum>
  <w:abstractNum w:abstractNumId="9"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5992683"/>
    <w:multiLevelType w:val="hybridMultilevel"/>
    <w:tmpl w:val="5C50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A38AA"/>
    <w:multiLevelType w:val="hybridMultilevel"/>
    <w:tmpl w:val="1A347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F03E7D"/>
    <w:multiLevelType w:val="hybridMultilevel"/>
    <w:tmpl w:val="34F02E2C"/>
    <w:lvl w:ilvl="0" w:tplc="7FF4359E">
      <w:start w:val="1"/>
      <w:numFmt w:val="decimal"/>
      <w:lvlText w:val="%1."/>
      <w:lvlJc w:val="left"/>
      <w:pPr>
        <w:ind w:left="795" w:hanging="4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5"/>
  </w:num>
  <w:num w:numId="4">
    <w:abstractNumId w:val="9"/>
  </w:num>
  <w:num w:numId="5">
    <w:abstractNumId w:val="3"/>
  </w:num>
  <w:num w:numId="6">
    <w:abstractNumId w:val="6"/>
  </w:num>
  <w:num w:numId="7">
    <w:abstractNumId w:val="13"/>
  </w:num>
  <w:num w:numId="8">
    <w:abstractNumId w:val="8"/>
  </w:num>
  <w:num w:numId="9">
    <w:abstractNumId w:val="5"/>
  </w:num>
  <w:num w:numId="10">
    <w:abstractNumId w:val="14"/>
  </w:num>
  <w:num w:numId="11">
    <w:abstractNumId w:val="0"/>
  </w:num>
  <w:num w:numId="12">
    <w:abstractNumId w:val="2"/>
  </w:num>
  <w:num w:numId="13">
    <w:abstractNumId w:val="10"/>
  </w:num>
  <w:num w:numId="14">
    <w:abstractNumId w:val="11"/>
  </w:num>
  <w:num w:numId="15">
    <w:abstractNumId w:val="4"/>
  </w:num>
  <w:num w:numId="16">
    <w:abstractNumId w:val="8"/>
    <w:lvlOverride w:ilvl="0">
      <w:startOverride w:val="1"/>
    </w:lvlOverride>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AC"/>
    <w:rsid w:val="00001774"/>
    <w:rsid w:val="00011BAD"/>
    <w:rsid w:val="00024D94"/>
    <w:rsid w:val="00027329"/>
    <w:rsid w:val="00033DB4"/>
    <w:rsid w:val="0004570D"/>
    <w:rsid w:val="000711AF"/>
    <w:rsid w:val="000742C7"/>
    <w:rsid w:val="000768B6"/>
    <w:rsid w:val="00077ABE"/>
    <w:rsid w:val="00081396"/>
    <w:rsid w:val="0008685B"/>
    <w:rsid w:val="00087F23"/>
    <w:rsid w:val="00093C0A"/>
    <w:rsid w:val="000C20D5"/>
    <w:rsid w:val="000C667F"/>
    <w:rsid w:val="000D2146"/>
    <w:rsid w:val="000E0ADD"/>
    <w:rsid w:val="000E0AF1"/>
    <w:rsid w:val="000E4239"/>
    <w:rsid w:val="000F384B"/>
    <w:rsid w:val="00106884"/>
    <w:rsid w:val="001165F7"/>
    <w:rsid w:val="00121B1B"/>
    <w:rsid w:val="001238AA"/>
    <w:rsid w:val="00126296"/>
    <w:rsid w:val="00126AEC"/>
    <w:rsid w:val="00130CA6"/>
    <w:rsid w:val="0013344A"/>
    <w:rsid w:val="001609DA"/>
    <w:rsid w:val="00164489"/>
    <w:rsid w:val="00171A33"/>
    <w:rsid w:val="001761E5"/>
    <w:rsid w:val="00177ECF"/>
    <w:rsid w:val="00191817"/>
    <w:rsid w:val="001A4802"/>
    <w:rsid w:val="001C149D"/>
    <w:rsid w:val="001C37C8"/>
    <w:rsid w:val="001C3F01"/>
    <w:rsid w:val="001D1642"/>
    <w:rsid w:val="001E000C"/>
    <w:rsid w:val="001F72B0"/>
    <w:rsid w:val="002034CF"/>
    <w:rsid w:val="0020442F"/>
    <w:rsid w:val="00212761"/>
    <w:rsid w:val="00213306"/>
    <w:rsid w:val="00223D75"/>
    <w:rsid w:val="002322E5"/>
    <w:rsid w:val="00253E3A"/>
    <w:rsid w:val="00266723"/>
    <w:rsid w:val="002765B9"/>
    <w:rsid w:val="002959FE"/>
    <w:rsid w:val="002974AD"/>
    <w:rsid w:val="002A2AA8"/>
    <w:rsid w:val="002A6EC5"/>
    <w:rsid w:val="002B138C"/>
    <w:rsid w:val="002B4E2B"/>
    <w:rsid w:val="002C3640"/>
    <w:rsid w:val="002C6F87"/>
    <w:rsid w:val="002E501D"/>
    <w:rsid w:val="002E7817"/>
    <w:rsid w:val="002E781B"/>
    <w:rsid w:val="00301BB1"/>
    <w:rsid w:val="003078FC"/>
    <w:rsid w:val="003233F2"/>
    <w:rsid w:val="00323BE8"/>
    <w:rsid w:val="003315F5"/>
    <w:rsid w:val="00331CA1"/>
    <w:rsid w:val="00341D2A"/>
    <w:rsid w:val="00342654"/>
    <w:rsid w:val="0034622E"/>
    <w:rsid w:val="00352601"/>
    <w:rsid w:val="003913E7"/>
    <w:rsid w:val="003B1037"/>
    <w:rsid w:val="003B1F7F"/>
    <w:rsid w:val="003B60A1"/>
    <w:rsid w:val="003C76A6"/>
    <w:rsid w:val="003D2442"/>
    <w:rsid w:val="004033D7"/>
    <w:rsid w:val="0041052F"/>
    <w:rsid w:val="00413FDC"/>
    <w:rsid w:val="00422935"/>
    <w:rsid w:val="00436699"/>
    <w:rsid w:val="00437B8E"/>
    <w:rsid w:val="0045525E"/>
    <w:rsid w:val="004615ED"/>
    <w:rsid w:val="004747DA"/>
    <w:rsid w:val="00485779"/>
    <w:rsid w:val="00490081"/>
    <w:rsid w:val="00490378"/>
    <w:rsid w:val="00492548"/>
    <w:rsid w:val="004B31E2"/>
    <w:rsid w:val="004C0CBB"/>
    <w:rsid w:val="004D3FC2"/>
    <w:rsid w:val="004D4D9A"/>
    <w:rsid w:val="004F496C"/>
    <w:rsid w:val="004F773C"/>
    <w:rsid w:val="005034FE"/>
    <w:rsid w:val="00512B6D"/>
    <w:rsid w:val="005418F2"/>
    <w:rsid w:val="0055011D"/>
    <w:rsid w:val="0055164E"/>
    <w:rsid w:val="00552024"/>
    <w:rsid w:val="00555668"/>
    <w:rsid w:val="005672CA"/>
    <w:rsid w:val="00592FCE"/>
    <w:rsid w:val="00594C55"/>
    <w:rsid w:val="005A4B56"/>
    <w:rsid w:val="005B70FB"/>
    <w:rsid w:val="005C4151"/>
    <w:rsid w:val="005D1873"/>
    <w:rsid w:val="005D1A5F"/>
    <w:rsid w:val="005D5F01"/>
    <w:rsid w:val="005E3DAC"/>
    <w:rsid w:val="005F7404"/>
    <w:rsid w:val="0060139A"/>
    <w:rsid w:val="0061766C"/>
    <w:rsid w:val="00622D62"/>
    <w:rsid w:val="006267F1"/>
    <w:rsid w:val="006423C9"/>
    <w:rsid w:val="00644E50"/>
    <w:rsid w:val="00654C29"/>
    <w:rsid w:val="00661283"/>
    <w:rsid w:val="0066359C"/>
    <w:rsid w:val="0066682B"/>
    <w:rsid w:val="006824DE"/>
    <w:rsid w:val="00684619"/>
    <w:rsid w:val="00685FBE"/>
    <w:rsid w:val="00691E61"/>
    <w:rsid w:val="006A4E45"/>
    <w:rsid w:val="006B4F23"/>
    <w:rsid w:val="006E0C9C"/>
    <w:rsid w:val="006E233E"/>
    <w:rsid w:val="006F4BAF"/>
    <w:rsid w:val="00701EE6"/>
    <w:rsid w:val="0071428A"/>
    <w:rsid w:val="00717098"/>
    <w:rsid w:val="00743E44"/>
    <w:rsid w:val="007548E7"/>
    <w:rsid w:val="00770004"/>
    <w:rsid w:val="00790C34"/>
    <w:rsid w:val="007928ED"/>
    <w:rsid w:val="0079361D"/>
    <w:rsid w:val="007A1440"/>
    <w:rsid w:val="007A2734"/>
    <w:rsid w:val="007A2E28"/>
    <w:rsid w:val="007B0895"/>
    <w:rsid w:val="007B1272"/>
    <w:rsid w:val="007B7195"/>
    <w:rsid w:val="007C258F"/>
    <w:rsid w:val="007C3E38"/>
    <w:rsid w:val="007D78B9"/>
    <w:rsid w:val="007F60A6"/>
    <w:rsid w:val="00800731"/>
    <w:rsid w:val="00817509"/>
    <w:rsid w:val="00825848"/>
    <w:rsid w:val="00825EC8"/>
    <w:rsid w:val="00834E5C"/>
    <w:rsid w:val="00835B2F"/>
    <w:rsid w:val="00836168"/>
    <w:rsid w:val="008362B8"/>
    <w:rsid w:val="0086740C"/>
    <w:rsid w:val="00876097"/>
    <w:rsid w:val="008A2ADC"/>
    <w:rsid w:val="008B1ED7"/>
    <w:rsid w:val="008B6E4F"/>
    <w:rsid w:val="008C1501"/>
    <w:rsid w:val="008C3A4C"/>
    <w:rsid w:val="008C3FE1"/>
    <w:rsid w:val="008D79DA"/>
    <w:rsid w:val="008F1BDF"/>
    <w:rsid w:val="00915ED4"/>
    <w:rsid w:val="009205D0"/>
    <w:rsid w:val="009326B3"/>
    <w:rsid w:val="00932FC8"/>
    <w:rsid w:val="00947B36"/>
    <w:rsid w:val="0095152D"/>
    <w:rsid w:val="00955589"/>
    <w:rsid w:val="00962560"/>
    <w:rsid w:val="00967B58"/>
    <w:rsid w:val="00990455"/>
    <w:rsid w:val="0099097A"/>
    <w:rsid w:val="009909A8"/>
    <w:rsid w:val="00995313"/>
    <w:rsid w:val="00995E77"/>
    <w:rsid w:val="009A3E88"/>
    <w:rsid w:val="009C1147"/>
    <w:rsid w:val="009C5D32"/>
    <w:rsid w:val="009D20A3"/>
    <w:rsid w:val="009D48ED"/>
    <w:rsid w:val="009E6ED4"/>
    <w:rsid w:val="009F08B6"/>
    <w:rsid w:val="00A046C0"/>
    <w:rsid w:val="00A141F2"/>
    <w:rsid w:val="00A17717"/>
    <w:rsid w:val="00A26FCC"/>
    <w:rsid w:val="00A32574"/>
    <w:rsid w:val="00A43102"/>
    <w:rsid w:val="00A472DA"/>
    <w:rsid w:val="00A56C31"/>
    <w:rsid w:val="00A60EEE"/>
    <w:rsid w:val="00A61D0F"/>
    <w:rsid w:val="00A648D2"/>
    <w:rsid w:val="00A67514"/>
    <w:rsid w:val="00A73624"/>
    <w:rsid w:val="00A7541A"/>
    <w:rsid w:val="00A75EBF"/>
    <w:rsid w:val="00A772A8"/>
    <w:rsid w:val="00AE29F9"/>
    <w:rsid w:val="00AE69EE"/>
    <w:rsid w:val="00B02838"/>
    <w:rsid w:val="00B028D1"/>
    <w:rsid w:val="00B140D4"/>
    <w:rsid w:val="00B234C8"/>
    <w:rsid w:val="00B328B4"/>
    <w:rsid w:val="00B53474"/>
    <w:rsid w:val="00B55759"/>
    <w:rsid w:val="00B66739"/>
    <w:rsid w:val="00B73797"/>
    <w:rsid w:val="00B73A08"/>
    <w:rsid w:val="00B81E9B"/>
    <w:rsid w:val="00B81F16"/>
    <w:rsid w:val="00B81F73"/>
    <w:rsid w:val="00B9392B"/>
    <w:rsid w:val="00BB2246"/>
    <w:rsid w:val="00BB7589"/>
    <w:rsid w:val="00BC7CC4"/>
    <w:rsid w:val="00BE1C38"/>
    <w:rsid w:val="00BE3D6F"/>
    <w:rsid w:val="00BE7EE8"/>
    <w:rsid w:val="00BF0361"/>
    <w:rsid w:val="00BF10E8"/>
    <w:rsid w:val="00C06E63"/>
    <w:rsid w:val="00C10A28"/>
    <w:rsid w:val="00C111E3"/>
    <w:rsid w:val="00C2105A"/>
    <w:rsid w:val="00C242D7"/>
    <w:rsid w:val="00C244AC"/>
    <w:rsid w:val="00C34CD2"/>
    <w:rsid w:val="00C42818"/>
    <w:rsid w:val="00C4668B"/>
    <w:rsid w:val="00C53514"/>
    <w:rsid w:val="00C64F68"/>
    <w:rsid w:val="00C6608E"/>
    <w:rsid w:val="00C747F6"/>
    <w:rsid w:val="00C76145"/>
    <w:rsid w:val="00C85B35"/>
    <w:rsid w:val="00CA309A"/>
    <w:rsid w:val="00CB268E"/>
    <w:rsid w:val="00CB5696"/>
    <w:rsid w:val="00CE6302"/>
    <w:rsid w:val="00D13527"/>
    <w:rsid w:val="00D233A9"/>
    <w:rsid w:val="00D24118"/>
    <w:rsid w:val="00D35F8C"/>
    <w:rsid w:val="00D42FB0"/>
    <w:rsid w:val="00D44581"/>
    <w:rsid w:val="00D520EE"/>
    <w:rsid w:val="00D54569"/>
    <w:rsid w:val="00D56677"/>
    <w:rsid w:val="00D5707E"/>
    <w:rsid w:val="00D638F5"/>
    <w:rsid w:val="00D87466"/>
    <w:rsid w:val="00D96E8C"/>
    <w:rsid w:val="00DB014C"/>
    <w:rsid w:val="00DB1844"/>
    <w:rsid w:val="00DB6869"/>
    <w:rsid w:val="00DB73A4"/>
    <w:rsid w:val="00DC4B5A"/>
    <w:rsid w:val="00DE28E9"/>
    <w:rsid w:val="00DE60F2"/>
    <w:rsid w:val="00DF48ED"/>
    <w:rsid w:val="00E01973"/>
    <w:rsid w:val="00E2159D"/>
    <w:rsid w:val="00E32592"/>
    <w:rsid w:val="00E34644"/>
    <w:rsid w:val="00E4125A"/>
    <w:rsid w:val="00E5033D"/>
    <w:rsid w:val="00E5211C"/>
    <w:rsid w:val="00E546D5"/>
    <w:rsid w:val="00E7196B"/>
    <w:rsid w:val="00E71EC9"/>
    <w:rsid w:val="00E7323C"/>
    <w:rsid w:val="00E81BEA"/>
    <w:rsid w:val="00E83213"/>
    <w:rsid w:val="00E85820"/>
    <w:rsid w:val="00EA1E04"/>
    <w:rsid w:val="00EA2329"/>
    <w:rsid w:val="00EA6E7C"/>
    <w:rsid w:val="00EB1BC9"/>
    <w:rsid w:val="00EB3793"/>
    <w:rsid w:val="00EB52B4"/>
    <w:rsid w:val="00EC01CE"/>
    <w:rsid w:val="00EC643A"/>
    <w:rsid w:val="00ED1300"/>
    <w:rsid w:val="00ED1A44"/>
    <w:rsid w:val="00EE0848"/>
    <w:rsid w:val="00EF44F9"/>
    <w:rsid w:val="00EF6865"/>
    <w:rsid w:val="00F01816"/>
    <w:rsid w:val="00F16DAF"/>
    <w:rsid w:val="00F301A1"/>
    <w:rsid w:val="00F37C51"/>
    <w:rsid w:val="00F4658C"/>
    <w:rsid w:val="00F47AFF"/>
    <w:rsid w:val="00F500D0"/>
    <w:rsid w:val="00F610F3"/>
    <w:rsid w:val="00F62350"/>
    <w:rsid w:val="00F67526"/>
    <w:rsid w:val="00F74B51"/>
    <w:rsid w:val="00F80677"/>
    <w:rsid w:val="00F806DF"/>
    <w:rsid w:val="00F81BAD"/>
    <w:rsid w:val="00F95290"/>
    <w:rsid w:val="00FA2E02"/>
    <w:rsid w:val="00FA2E3C"/>
    <w:rsid w:val="00FA4881"/>
    <w:rsid w:val="00FF1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D90912"/>
  <w15:chartTrackingRefBased/>
  <w15:docId w15:val="{F4E2CFD3-7D4C-47BD-856F-89DD853F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526"/>
    <w:pPr>
      <w:widowControl w:val="0"/>
      <w:suppressAutoHyphens/>
      <w:spacing w:before="120" w:after="120"/>
      <w:jc w:val="both"/>
    </w:pPr>
    <w:rPr>
      <w:rFonts w:ascii="Times New Roman" w:eastAsia="Arial Unicode MS" w:hAnsi="Times New Roman"/>
      <w:kern w:val="1"/>
      <w:sz w:val="24"/>
      <w:szCs w:val="24"/>
      <w:lang w:val="en-US" w:eastAsia="ar-SA"/>
    </w:rPr>
  </w:style>
  <w:style w:type="paragraph" w:styleId="Heading1">
    <w:name w:val="heading 1"/>
    <w:basedOn w:val="Normal"/>
    <w:link w:val="Heading1Char"/>
    <w:uiPriority w:val="9"/>
    <w:qFormat/>
    <w:rsid w:val="00D87466"/>
    <w:pPr>
      <w:widowControl/>
      <w:suppressAutoHyphens w:val="0"/>
      <w:spacing w:before="100" w:beforeAutospacing="1" w:after="100" w:afterAutospacing="1"/>
      <w:jc w:val="left"/>
      <w:outlineLvl w:val="0"/>
    </w:pPr>
    <w:rPr>
      <w:rFonts w:eastAsia="Times New Roman"/>
      <w:b/>
      <w:bCs/>
      <w:kern w:val="36"/>
      <w:sz w:val="48"/>
      <w:szCs w:val="4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lang w:eastAsia="x-none"/>
    </w:rPr>
  </w:style>
  <w:style w:type="paragraph" w:customStyle="1" w:styleId="IGALLTitle1">
    <w:name w:val="IGALL Title 1"/>
    <w:basedOn w:val="Normal"/>
    <w:link w:val="IGALLTitle1Car"/>
    <w:qFormat/>
    <w:rsid w:val="00F67526"/>
    <w:rPr>
      <w:b/>
      <w:bCs/>
      <w:lang w:val="en-GB"/>
    </w:rPr>
  </w:style>
  <w:style w:type="paragraph" w:customStyle="1" w:styleId="IGALLTitle2">
    <w:name w:val="IGALL Title 2"/>
    <w:basedOn w:val="Normal"/>
    <w:link w:val="IGALLTitle2Car"/>
    <w:qFormat/>
    <w:rsid w:val="00F67526"/>
    <w:rPr>
      <w:b/>
      <w:bCs/>
      <w:lang w:val="en-GB"/>
    </w:rPr>
  </w:style>
  <w:style w:type="character" w:customStyle="1" w:styleId="IGALLTitle1Car">
    <w:name w:val="IGALL Title 1 Car"/>
    <w:link w:val="IGALLTitle1"/>
    <w:rsid w:val="00F67526"/>
    <w:rPr>
      <w:rFonts w:ascii="Times New Roman" w:eastAsia="Arial Unicode MS" w:hAnsi="Times New Roman"/>
      <w:b/>
      <w:bCs/>
      <w:kern w:val="1"/>
      <w:sz w:val="24"/>
      <w:szCs w:val="24"/>
      <w:lang w:val="en-GB" w:eastAsia="ar-SA"/>
    </w:rPr>
  </w:style>
  <w:style w:type="paragraph" w:customStyle="1" w:styleId="IGALLTitle3">
    <w:name w:val="IGALL Title 3"/>
    <w:basedOn w:val="Normal"/>
    <w:link w:val="IGALLTitle3Car"/>
    <w:qFormat/>
    <w:rsid w:val="00F67526"/>
    <w:pPr>
      <w:numPr>
        <w:numId w:val="10"/>
      </w:numPr>
      <w:ind w:left="0" w:firstLine="0"/>
    </w:pPr>
    <w:rPr>
      <w:b/>
      <w:bCs/>
      <w:lang w:val="en-GB"/>
    </w:rPr>
  </w:style>
  <w:style w:type="character" w:customStyle="1" w:styleId="IGALLTitle2Car">
    <w:name w:val="IGALL Title 2 Car"/>
    <w:link w:val="IGALLTitle2"/>
    <w:rsid w:val="00F67526"/>
    <w:rPr>
      <w:rFonts w:ascii="Times New Roman" w:eastAsia="Arial Unicode MS" w:hAnsi="Times New Roman"/>
      <w:b/>
      <w:bCs/>
      <w:kern w:val="1"/>
      <w:sz w:val="24"/>
      <w:szCs w:val="24"/>
      <w:lang w:val="en-GB" w:eastAsia="ar-SA"/>
    </w:rPr>
  </w:style>
  <w:style w:type="paragraph" w:customStyle="1" w:styleId="IGALLReferencesTitle">
    <w:name w:val="IGALL References Title"/>
    <w:basedOn w:val="Normal"/>
    <w:link w:val="IGALLReferencesTitleCar"/>
    <w:qFormat/>
    <w:rsid w:val="00F67526"/>
    <w:rPr>
      <w:b/>
      <w:bCs/>
      <w:lang w:val="en-GB"/>
    </w:rPr>
  </w:style>
  <w:style w:type="character" w:customStyle="1" w:styleId="IGALLTitle3Car">
    <w:name w:val="IGALL Title 3 Car"/>
    <w:link w:val="IGALLTitle3"/>
    <w:rsid w:val="00F67526"/>
    <w:rPr>
      <w:rFonts w:ascii="Times New Roman" w:eastAsia="Arial Unicode MS" w:hAnsi="Times New Roman"/>
      <w:b/>
      <w:bCs/>
      <w:kern w:val="1"/>
      <w:sz w:val="24"/>
      <w:szCs w:val="24"/>
      <w:lang w:val="en-GB" w:eastAsia="ar-SA"/>
    </w:rPr>
  </w:style>
  <w:style w:type="paragraph" w:customStyle="1" w:styleId="IGALLReferences">
    <w:name w:val="IGALL References"/>
    <w:basedOn w:val="References"/>
    <w:link w:val="IGALLReferencesCar"/>
    <w:qFormat/>
    <w:rsid w:val="00F67526"/>
    <w:pPr>
      <w:numPr>
        <w:numId w:val="8"/>
      </w:numPr>
    </w:pPr>
    <w:rPr>
      <w:sz w:val="24"/>
      <w:lang w:val="x-none"/>
    </w:rPr>
  </w:style>
  <w:style w:type="character" w:customStyle="1" w:styleId="IGALLReferencesTitleCar">
    <w:name w:val="IGALL References Title Car"/>
    <w:link w:val="IGALLReferencesTitle"/>
    <w:rsid w:val="00F67526"/>
    <w:rPr>
      <w:rFonts w:ascii="Times New Roman" w:eastAsia="Arial Unicode MS" w:hAnsi="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F67526"/>
    <w:rPr>
      <w:rFonts w:ascii="Arial" w:eastAsia="MS Mincho" w:hAnsi="Arial"/>
      <w:sz w:val="24"/>
      <w:lang w:eastAsia="x-none"/>
    </w:rPr>
  </w:style>
  <w:style w:type="paragraph" w:customStyle="1" w:styleId="Body">
    <w:name w:val="Body"/>
    <w:basedOn w:val="Normal"/>
    <w:link w:val="BodyChar"/>
    <w:rsid w:val="0034622E"/>
    <w:pPr>
      <w:widowControl/>
      <w:numPr>
        <w:numId w:val="3"/>
      </w:numPr>
      <w:suppressAutoHyphens w:val="0"/>
      <w:ind w:left="0" w:firstLine="0"/>
      <w:jc w:val="left"/>
    </w:pPr>
    <w:rPr>
      <w:rFonts w:ascii="Arial" w:eastAsia="MS Mincho" w:hAnsi="Arial"/>
      <w:kern w:val="0"/>
      <w:sz w:val="20"/>
      <w:szCs w:val="20"/>
      <w:lang w:eastAsia="x-none"/>
    </w:rPr>
  </w:style>
  <w:style w:type="character" w:customStyle="1" w:styleId="BodyChar">
    <w:name w:val="Body Char"/>
    <w:link w:val="Body"/>
    <w:locked/>
    <w:rsid w:val="0034622E"/>
    <w:rPr>
      <w:rFonts w:ascii="Arial" w:eastAsia="MS Mincho" w:hAnsi="Arial" w:cs="Times New Roman"/>
      <w:szCs w:val="20"/>
      <w:lang w:val="en-US"/>
    </w:rPr>
  </w:style>
  <w:style w:type="paragraph" w:styleId="BalloonText">
    <w:name w:val="Balloon Text"/>
    <w:basedOn w:val="Normal"/>
    <w:link w:val="BalloonTextChar"/>
    <w:uiPriority w:val="99"/>
    <w:semiHidden/>
    <w:unhideWhenUsed/>
    <w:rsid w:val="000768B6"/>
    <w:rPr>
      <w:rFonts w:ascii="Tahoma" w:hAnsi="Tahoma"/>
      <w:sz w:val="16"/>
      <w:szCs w:val="16"/>
    </w:rPr>
  </w:style>
  <w:style w:type="character" w:customStyle="1" w:styleId="BalloonTextChar">
    <w:name w:val="Balloon Text Char"/>
    <w:link w:val="BalloonText"/>
    <w:uiPriority w:val="99"/>
    <w:semiHidden/>
    <w:rsid w:val="000768B6"/>
    <w:rPr>
      <w:rFonts w:ascii="Tahoma" w:eastAsia="Arial Unicode MS" w:hAnsi="Tahoma" w:cs="Tahoma"/>
      <w:kern w:val="1"/>
      <w:sz w:val="16"/>
      <w:szCs w:val="16"/>
      <w:lang w:val="en-US" w:eastAsia="ar-SA"/>
    </w:rPr>
  </w:style>
  <w:style w:type="paragraph" w:styleId="Header">
    <w:name w:val="header"/>
    <w:basedOn w:val="Normal"/>
    <w:link w:val="HeaderChar"/>
    <w:uiPriority w:val="99"/>
    <w:unhideWhenUsed/>
    <w:rsid w:val="005672CA"/>
    <w:pPr>
      <w:tabs>
        <w:tab w:val="center" w:pos="4252"/>
        <w:tab w:val="right" w:pos="8504"/>
      </w:tabs>
    </w:pPr>
    <w:rPr>
      <w:rFonts w:ascii="Arial" w:hAnsi="Arial"/>
      <w:sz w:val="20"/>
    </w:rPr>
  </w:style>
  <w:style w:type="character" w:customStyle="1" w:styleId="HeaderChar">
    <w:name w:val="Header Char"/>
    <w:link w:val="Header"/>
    <w:uiPriority w:val="99"/>
    <w:rsid w:val="005672CA"/>
    <w:rPr>
      <w:rFonts w:ascii="Arial" w:eastAsia="Arial Unicode MS" w:hAnsi="Arial" w:cs="Times New Roman"/>
      <w:kern w:val="1"/>
      <w:szCs w:val="24"/>
      <w:lang w:val="en-US" w:eastAsia="ar-SA"/>
    </w:rPr>
  </w:style>
  <w:style w:type="paragraph" w:styleId="Footer">
    <w:name w:val="footer"/>
    <w:basedOn w:val="Normal"/>
    <w:link w:val="FooterChar"/>
    <w:uiPriority w:val="99"/>
    <w:unhideWhenUsed/>
    <w:rsid w:val="005672CA"/>
    <w:pPr>
      <w:tabs>
        <w:tab w:val="center" w:pos="4252"/>
        <w:tab w:val="right" w:pos="8504"/>
      </w:tabs>
    </w:pPr>
    <w:rPr>
      <w:rFonts w:ascii="Arial" w:hAnsi="Arial"/>
      <w:sz w:val="20"/>
    </w:rPr>
  </w:style>
  <w:style w:type="character" w:customStyle="1" w:styleId="FooterChar">
    <w:name w:val="Footer Char"/>
    <w:link w:val="Footer"/>
    <w:uiPriority w:val="99"/>
    <w:rsid w:val="005672CA"/>
    <w:rPr>
      <w:rFonts w:ascii="Arial" w:eastAsia="Arial Unicode MS" w:hAnsi="Arial" w:cs="Times New Roman"/>
      <w:kern w:val="1"/>
      <w:szCs w:val="24"/>
      <w:lang w:val="en-US" w:eastAsia="ar-SA"/>
    </w:rPr>
  </w:style>
  <w:style w:type="character" w:styleId="CommentReference">
    <w:name w:val="annotation reference"/>
    <w:uiPriority w:val="99"/>
    <w:semiHidden/>
    <w:unhideWhenUsed/>
    <w:rsid w:val="00413FDC"/>
    <w:rPr>
      <w:sz w:val="16"/>
      <w:szCs w:val="16"/>
    </w:rPr>
  </w:style>
  <w:style w:type="paragraph" w:styleId="CommentText">
    <w:name w:val="annotation text"/>
    <w:basedOn w:val="Normal"/>
    <w:link w:val="CommentTextChar"/>
    <w:uiPriority w:val="99"/>
    <w:semiHidden/>
    <w:unhideWhenUsed/>
    <w:rsid w:val="00413FDC"/>
    <w:rPr>
      <w:rFonts w:ascii="Arial" w:hAnsi="Arial"/>
      <w:sz w:val="20"/>
      <w:szCs w:val="20"/>
      <w:lang w:val="x-none"/>
    </w:rPr>
  </w:style>
  <w:style w:type="character" w:customStyle="1" w:styleId="CommentTextChar">
    <w:name w:val="Comment Text Char"/>
    <w:link w:val="CommentText"/>
    <w:uiPriority w:val="99"/>
    <w:semiHidden/>
    <w:rsid w:val="00413FDC"/>
    <w:rPr>
      <w:rFonts w:ascii="Arial" w:eastAsia="Arial Unicode MS" w:hAnsi="Arial"/>
      <w:kern w:val="1"/>
      <w:lang w:eastAsia="ar-SA"/>
    </w:rPr>
  </w:style>
  <w:style w:type="paragraph" w:styleId="CommentSubject">
    <w:name w:val="annotation subject"/>
    <w:basedOn w:val="CommentText"/>
    <w:next w:val="CommentText"/>
    <w:link w:val="CommentSubjectChar"/>
    <w:uiPriority w:val="99"/>
    <w:semiHidden/>
    <w:unhideWhenUsed/>
    <w:rsid w:val="00413FDC"/>
    <w:rPr>
      <w:b/>
      <w:bCs/>
    </w:rPr>
  </w:style>
  <w:style w:type="character" w:customStyle="1" w:styleId="CommentSubjectChar">
    <w:name w:val="Comment Subject Char"/>
    <w:link w:val="CommentSubject"/>
    <w:uiPriority w:val="99"/>
    <w:semiHidden/>
    <w:rsid w:val="00413FDC"/>
    <w:rPr>
      <w:rFonts w:ascii="Arial" w:eastAsia="Arial Unicode MS" w:hAnsi="Arial"/>
      <w:b/>
      <w:bCs/>
      <w:kern w:val="1"/>
      <w:lang w:eastAsia="ar-SA"/>
    </w:rPr>
  </w:style>
  <w:style w:type="character" w:customStyle="1" w:styleId="Heading1Char">
    <w:name w:val="Heading 1 Char"/>
    <w:link w:val="Heading1"/>
    <w:uiPriority w:val="9"/>
    <w:rsid w:val="00D87466"/>
    <w:rPr>
      <w:rFonts w:ascii="Times New Roman" w:eastAsia="Times New Roman" w:hAnsi="Times New Roman"/>
      <w:b/>
      <w:bCs/>
      <w:kern w:val="36"/>
      <w:sz w:val="48"/>
      <w:szCs w:val="48"/>
    </w:rPr>
  </w:style>
  <w:style w:type="paragraph" w:styleId="Revision">
    <w:name w:val="Revision"/>
    <w:hidden/>
    <w:uiPriority w:val="99"/>
    <w:semiHidden/>
    <w:rsid w:val="0066682B"/>
    <w:rPr>
      <w:rFonts w:ascii="Times New Roman" w:eastAsia="Arial Unicode MS" w:hAnsi="Times New Roman"/>
      <w:kern w:val="1"/>
      <w:sz w:val="24"/>
      <w:szCs w:val="24"/>
      <w:lang w:val="en-US" w:eastAsia="ar-SA"/>
    </w:rPr>
  </w:style>
  <w:style w:type="paragraph" w:customStyle="1" w:styleId="Default">
    <w:name w:val="Default"/>
    <w:rsid w:val="00684619"/>
    <w:pPr>
      <w:autoSpaceDE w:val="0"/>
      <w:autoSpaceDN w:val="0"/>
      <w:adjustRightInd w:val="0"/>
    </w:pPr>
    <w:rPr>
      <w:rFonts w:ascii="Futura Std Book" w:hAnsi="Futura Std Book" w:cs="Futura Std Book"/>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4763">
      <w:bodyDiv w:val="1"/>
      <w:marLeft w:val="0"/>
      <w:marRight w:val="0"/>
      <w:marTop w:val="0"/>
      <w:marBottom w:val="0"/>
      <w:divBdr>
        <w:top w:val="none" w:sz="0" w:space="0" w:color="auto"/>
        <w:left w:val="none" w:sz="0" w:space="0" w:color="auto"/>
        <w:bottom w:val="none" w:sz="0" w:space="0" w:color="auto"/>
        <w:right w:val="none" w:sz="0" w:space="0" w:color="auto"/>
      </w:divBdr>
      <w:divsChild>
        <w:div w:id="1782936">
          <w:marLeft w:val="0"/>
          <w:marRight w:val="0"/>
          <w:marTop w:val="0"/>
          <w:marBottom w:val="0"/>
          <w:divBdr>
            <w:top w:val="none" w:sz="0" w:space="0" w:color="auto"/>
            <w:left w:val="none" w:sz="0" w:space="0" w:color="auto"/>
            <w:bottom w:val="none" w:sz="0" w:space="0" w:color="auto"/>
            <w:right w:val="none" w:sz="0" w:space="0" w:color="auto"/>
          </w:divBdr>
        </w:div>
        <w:div w:id="159515671">
          <w:marLeft w:val="0"/>
          <w:marRight w:val="0"/>
          <w:marTop w:val="0"/>
          <w:marBottom w:val="0"/>
          <w:divBdr>
            <w:top w:val="none" w:sz="0" w:space="0" w:color="auto"/>
            <w:left w:val="none" w:sz="0" w:space="0" w:color="auto"/>
            <w:bottom w:val="none" w:sz="0" w:space="0" w:color="auto"/>
            <w:right w:val="none" w:sz="0" w:space="0" w:color="auto"/>
          </w:divBdr>
        </w:div>
        <w:div w:id="855387952">
          <w:marLeft w:val="0"/>
          <w:marRight w:val="0"/>
          <w:marTop w:val="0"/>
          <w:marBottom w:val="0"/>
          <w:divBdr>
            <w:top w:val="none" w:sz="0" w:space="0" w:color="auto"/>
            <w:left w:val="none" w:sz="0" w:space="0" w:color="auto"/>
            <w:bottom w:val="none" w:sz="0" w:space="0" w:color="auto"/>
            <w:right w:val="none" w:sz="0" w:space="0" w:color="auto"/>
          </w:divBdr>
        </w:div>
        <w:div w:id="1229849921">
          <w:marLeft w:val="0"/>
          <w:marRight w:val="0"/>
          <w:marTop w:val="0"/>
          <w:marBottom w:val="0"/>
          <w:divBdr>
            <w:top w:val="none" w:sz="0" w:space="0" w:color="auto"/>
            <w:left w:val="none" w:sz="0" w:space="0" w:color="auto"/>
            <w:bottom w:val="none" w:sz="0" w:space="0" w:color="auto"/>
            <w:right w:val="none" w:sz="0" w:space="0" w:color="auto"/>
          </w:divBdr>
        </w:div>
        <w:div w:id="2119568949">
          <w:marLeft w:val="0"/>
          <w:marRight w:val="0"/>
          <w:marTop w:val="0"/>
          <w:marBottom w:val="0"/>
          <w:divBdr>
            <w:top w:val="none" w:sz="0" w:space="0" w:color="auto"/>
            <w:left w:val="none" w:sz="0" w:space="0" w:color="auto"/>
            <w:bottom w:val="none" w:sz="0" w:space="0" w:color="auto"/>
            <w:right w:val="none" w:sz="0" w:space="0" w:color="auto"/>
          </w:divBdr>
        </w:div>
      </w:divsChild>
    </w:div>
    <w:div w:id="463543445">
      <w:bodyDiv w:val="1"/>
      <w:marLeft w:val="0"/>
      <w:marRight w:val="0"/>
      <w:marTop w:val="0"/>
      <w:marBottom w:val="0"/>
      <w:divBdr>
        <w:top w:val="none" w:sz="0" w:space="0" w:color="auto"/>
        <w:left w:val="none" w:sz="0" w:space="0" w:color="auto"/>
        <w:bottom w:val="none" w:sz="0" w:space="0" w:color="auto"/>
        <w:right w:val="none" w:sz="0" w:space="0" w:color="auto"/>
      </w:divBdr>
      <w:divsChild>
        <w:div w:id="125901252">
          <w:marLeft w:val="0"/>
          <w:marRight w:val="0"/>
          <w:marTop w:val="0"/>
          <w:marBottom w:val="0"/>
          <w:divBdr>
            <w:top w:val="none" w:sz="0" w:space="0" w:color="auto"/>
            <w:left w:val="none" w:sz="0" w:space="0" w:color="auto"/>
            <w:bottom w:val="none" w:sz="0" w:space="0" w:color="auto"/>
            <w:right w:val="none" w:sz="0" w:space="0" w:color="auto"/>
          </w:divBdr>
        </w:div>
        <w:div w:id="1497381568">
          <w:marLeft w:val="0"/>
          <w:marRight w:val="0"/>
          <w:marTop w:val="0"/>
          <w:marBottom w:val="0"/>
          <w:divBdr>
            <w:top w:val="none" w:sz="0" w:space="0" w:color="auto"/>
            <w:left w:val="none" w:sz="0" w:space="0" w:color="auto"/>
            <w:bottom w:val="none" w:sz="0" w:space="0" w:color="auto"/>
            <w:right w:val="none" w:sz="0" w:space="0" w:color="auto"/>
          </w:divBdr>
        </w:div>
        <w:div w:id="1741098948">
          <w:marLeft w:val="0"/>
          <w:marRight w:val="0"/>
          <w:marTop w:val="0"/>
          <w:marBottom w:val="0"/>
          <w:divBdr>
            <w:top w:val="none" w:sz="0" w:space="0" w:color="auto"/>
            <w:left w:val="none" w:sz="0" w:space="0" w:color="auto"/>
            <w:bottom w:val="none" w:sz="0" w:space="0" w:color="auto"/>
            <w:right w:val="none" w:sz="0" w:space="0" w:color="auto"/>
          </w:divBdr>
        </w:div>
        <w:div w:id="1922834607">
          <w:marLeft w:val="0"/>
          <w:marRight w:val="0"/>
          <w:marTop w:val="0"/>
          <w:marBottom w:val="0"/>
          <w:divBdr>
            <w:top w:val="none" w:sz="0" w:space="0" w:color="auto"/>
            <w:left w:val="none" w:sz="0" w:space="0" w:color="auto"/>
            <w:bottom w:val="none" w:sz="0" w:space="0" w:color="auto"/>
            <w:right w:val="none" w:sz="0" w:space="0" w:color="auto"/>
          </w:divBdr>
        </w:div>
        <w:div w:id="1946692985">
          <w:marLeft w:val="0"/>
          <w:marRight w:val="0"/>
          <w:marTop w:val="0"/>
          <w:marBottom w:val="0"/>
          <w:divBdr>
            <w:top w:val="none" w:sz="0" w:space="0" w:color="auto"/>
            <w:left w:val="none" w:sz="0" w:space="0" w:color="auto"/>
            <w:bottom w:val="none" w:sz="0" w:space="0" w:color="auto"/>
            <w:right w:val="none" w:sz="0" w:space="0" w:color="auto"/>
          </w:divBdr>
        </w:div>
        <w:div w:id="2058822405">
          <w:marLeft w:val="0"/>
          <w:marRight w:val="0"/>
          <w:marTop w:val="0"/>
          <w:marBottom w:val="0"/>
          <w:divBdr>
            <w:top w:val="none" w:sz="0" w:space="0" w:color="auto"/>
            <w:left w:val="none" w:sz="0" w:space="0" w:color="auto"/>
            <w:bottom w:val="none" w:sz="0" w:space="0" w:color="auto"/>
            <w:right w:val="none" w:sz="0" w:space="0" w:color="auto"/>
          </w:divBdr>
        </w:div>
      </w:divsChild>
    </w:div>
    <w:div w:id="769202863">
      <w:bodyDiv w:val="1"/>
      <w:marLeft w:val="0"/>
      <w:marRight w:val="0"/>
      <w:marTop w:val="0"/>
      <w:marBottom w:val="0"/>
      <w:divBdr>
        <w:top w:val="none" w:sz="0" w:space="0" w:color="auto"/>
        <w:left w:val="none" w:sz="0" w:space="0" w:color="auto"/>
        <w:bottom w:val="none" w:sz="0" w:space="0" w:color="auto"/>
        <w:right w:val="none" w:sz="0" w:space="0" w:color="auto"/>
      </w:divBdr>
    </w:div>
    <w:div w:id="813253551">
      <w:bodyDiv w:val="1"/>
      <w:marLeft w:val="0"/>
      <w:marRight w:val="0"/>
      <w:marTop w:val="0"/>
      <w:marBottom w:val="0"/>
      <w:divBdr>
        <w:top w:val="none" w:sz="0" w:space="0" w:color="auto"/>
        <w:left w:val="none" w:sz="0" w:space="0" w:color="auto"/>
        <w:bottom w:val="none" w:sz="0" w:space="0" w:color="auto"/>
        <w:right w:val="none" w:sz="0" w:space="0" w:color="auto"/>
      </w:divBdr>
    </w:div>
    <w:div w:id="1132135213">
      <w:bodyDiv w:val="1"/>
      <w:marLeft w:val="0"/>
      <w:marRight w:val="0"/>
      <w:marTop w:val="0"/>
      <w:marBottom w:val="0"/>
      <w:divBdr>
        <w:top w:val="none" w:sz="0" w:space="0" w:color="auto"/>
        <w:left w:val="none" w:sz="0" w:space="0" w:color="auto"/>
        <w:bottom w:val="none" w:sz="0" w:space="0" w:color="auto"/>
        <w:right w:val="none" w:sz="0" w:space="0" w:color="auto"/>
      </w:divBdr>
      <w:divsChild>
        <w:div w:id="91553970">
          <w:marLeft w:val="0"/>
          <w:marRight w:val="0"/>
          <w:marTop w:val="0"/>
          <w:marBottom w:val="0"/>
          <w:divBdr>
            <w:top w:val="none" w:sz="0" w:space="0" w:color="auto"/>
            <w:left w:val="none" w:sz="0" w:space="0" w:color="auto"/>
            <w:bottom w:val="none" w:sz="0" w:space="0" w:color="auto"/>
            <w:right w:val="none" w:sz="0" w:space="0" w:color="auto"/>
          </w:divBdr>
        </w:div>
        <w:div w:id="373819587">
          <w:marLeft w:val="0"/>
          <w:marRight w:val="0"/>
          <w:marTop w:val="0"/>
          <w:marBottom w:val="0"/>
          <w:divBdr>
            <w:top w:val="none" w:sz="0" w:space="0" w:color="auto"/>
            <w:left w:val="none" w:sz="0" w:space="0" w:color="auto"/>
            <w:bottom w:val="none" w:sz="0" w:space="0" w:color="auto"/>
            <w:right w:val="none" w:sz="0" w:space="0" w:color="auto"/>
          </w:divBdr>
        </w:div>
        <w:div w:id="685061055">
          <w:marLeft w:val="0"/>
          <w:marRight w:val="0"/>
          <w:marTop w:val="0"/>
          <w:marBottom w:val="0"/>
          <w:divBdr>
            <w:top w:val="none" w:sz="0" w:space="0" w:color="auto"/>
            <w:left w:val="none" w:sz="0" w:space="0" w:color="auto"/>
            <w:bottom w:val="none" w:sz="0" w:space="0" w:color="auto"/>
            <w:right w:val="none" w:sz="0" w:space="0" w:color="auto"/>
          </w:divBdr>
        </w:div>
        <w:div w:id="698244995">
          <w:marLeft w:val="0"/>
          <w:marRight w:val="0"/>
          <w:marTop w:val="0"/>
          <w:marBottom w:val="0"/>
          <w:divBdr>
            <w:top w:val="none" w:sz="0" w:space="0" w:color="auto"/>
            <w:left w:val="none" w:sz="0" w:space="0" w:color="auto"/>
            <w:bottom w:val="none" w:sz="0" w:space="0" w:color="auto"/>
            <w:right w:val="none" w:sz="0" w:space="0" w:color="auto"/>
          </w:divBdr>
        </w:div>
        <w:div w:id="818612737">
          <w:marLeft w:val="0"/>
          <w:marRight w:val="0"/>
          <w:marTop w:val="0"/>
          <w:marBottom w:val="0"/>
          <w:divBdr>
            <w:top w:val="none" w:sz="0" w:space="0" w:color="auto"/>
            <w:left w:val="none" w:sz="0" w:space="0" w:color="auto"/>
            <w:bottom w:val="none" w:sz="0" w:space="0" w:color="auto"/>
            <w:right w:val="none" w:sz="0" w:space="0" w:color="auto"/>
          </w:divBdr>
        </w:div>
        <w:div w:id="905604490">
          <w:marLeft w:val="0"/>
          <w:marRight w:val="0"/>
          <w:marTop w:val="0"/>
          <w:marBottom w:val="0"/>
          <w:divBdr>
            <w:top w:val="none" w:sz="0" w:space="0" w:color="auto"/>
            <w:left w:val="none" w:sz="0" w:space="0" w:color="auto"/>
            <w:bottom w:val="none" w:sz="0" w:space="0" w:color="auto"/>
            <w:right w:val="none" w:sz="0" w:space="0" w:color="auto"/>
          </w:divBdr>
        </w:div>
        <w:div w:id="1000424368">
          <w:marLeft w:val="0"/>
          <w:marRight w:val="0"/>
          <w:marTop w:val="0"/>
          <w:marBottom w:val="0"/>
          <w:divBdr>
            <w:top w:val="none" w:sz="0" w:space="0" w:color="auto"/>
            <w:left w:val="none" w:sz="0" w:space="0" w:color="auto"/>
            <w:bottom w:val="none" w:sz="0" w:space="0" w:color="auto"/>
            <w:right w:val="none" w:sz="0" w:space="0" w:color="auto"/>
          </w:divBdr>
        </w:div>
        <w:div w:id="1019163150">
          <w:marLeft w:val="0"/>
          <w:marRight w:val="0"/>
          <w:marTop w:val="0"/>
          <w:marBottom w:val="0"/>
          <w:divBdr>
            <w:top w:val="none" w:sz="0" w:space="0" w:color="auto"/>
            <w:left w:val="none" w:sz="0" w:space="0" w:color="auto"/>
            <w:bottom w:val="none" w:sz="0" w:space="0" w:color="auto"/>
            <w:right w:val="none" w:sz="0" w:space="0" w:color="auto"/>
          </w:divBdr>
        </w:div>
        <w:div w:id="1049039920">
          <w:marLeft w:val="0"/>
          <w:marRight w:val="0"/>
          <w:marTop w:val="0"/>
          <w:marBottom w:val="0"/>
          <w:divBdr>
            <w:top w:val="none" w:sz="0" w:space="0" w:color="auto"/>
            <w:left w:val="none" w:sz="0" w:space="0" w:color="auto"/>
            <w:bottom w:val="none" w:sz="0" w:space="0" w:color="auto"/>
            <w:right w:val="none" w:sz="0" w:space="0" w:color="auto"/>
          </w:divBdr>
        </w:div>
        <w:div w:id="1061292978">
          <w:marLeft w:val="0"/>
          <w:marRight w:val="0"/>
          <w:marTop w:val="0"/>
          <w:marBottom w:val="0"/>
          <w:divBdr>
            <w:top w:val="none" w:sz="0" w:space="0" w:color="auto"/>
            <w:left w:val="none" w:sz="0" w:space="0" w:color="auto"/>
            <w:bottom w:val="none" w:sz="0" w:space="0" w:color="auto"/>
            <w:right w:val="none" w:sz="0" w:space="0" w:color="auto"/>
          </w:divBdr>
        </w:div>
        <w:div w:id="1068262581">
          <w:marLeft w:val="0"/>
          <w:marRight w:val="0"/>
          <w:marTop w:val="0"/>
          <w:marBottom w:val="0"/>
          <w:divBdr>
            <w:top w:val="none" w:sz="0" w:space="0" w:color="auto"/>
            <w:left w:val="none" w:sz="0" w:space="0" w:color="auto"/>
            <w:bottom w:val="none" w:sz="0" w:space="0" w:color="auto"/>
            <w:right w:val="none" w:sz="0" w:space="0" w:color="auto"/>
          </w:divBdr>
        </w:div>
        <w:div w:id="1235821789">
          <w:marLeft w:val="0"/>
          <w:marRight w:val="0"/>
          <w:marTop w:val="0"/>
          <w:marBottom w:val="0"/>
          <w:divBdr>
            <w:top w:val="none" w:sz="0" w:space="0" w:color="auto"/>
            <w:left w:val="none" w:sz="0" w:space="0" w:color="auto"/>
            <w:bottom w:val="none" w:sz="0" w:space="0" w:color="auto"/>
            <w:right w:val="none" w:sz="0" w:space="0" w:color="auto"/>
          </w:divBdr>
        </w:div>
        <w:div w:id="1282494491">
          <w:marLeft w:val="0"/>
          <w:marRight w:val="0"/>
          <w:marTop w:val="0"/>
          <w:marBottom w:val="0"/>
          <w:divBdr>
            <w:top w:val="none" w:sz="0" w:space="0" w:color="auto"/>
            <w:left w:val="none" w:sz="0" w:space="0" w:color="auto"/>
            <w:bottom w:val="none" w:sz="0" w:space="0" w:color="auto"/>
            <w:right w:val="none" w:sz="0" w:space="0" w:color="auto"/>
          </w:divBdr>
        </w:div>
        <w:div w:id="1516115667">
          <w:marLeft w:val="0"/>
          <w:marRight w:val="0"/>
          <w:marTop w:val="0"/>
          <w:marBottom w:val="0"/>
          <w:divBdr>
            <w:top w:val="none" w:sz="0" w:space="0" w:color="auto"/>
            <w:left w:val="none" w:sz="0" w:space="0" w:color="auto"/>
            <w:bottom w:val="none" w:sz="0" w:space="0" w:color="auto"/>
            <w:right w:val="none" w:sz="0" w:space="0" w:color="auto"/>
          </w:divBdr>
        </w:div>
        <w:div w:id="1571580568">
          <w:marLeft w:val="0"/>
          <w:marRight w:val="0"/>
          <w:marTop w:val="0"/>
          <w:marBottom w:val="0"/>
          <w:divBdr>
            <w:top w:val="none" w:sz="0" w:space="0" w:color="auto"/>
            <w:left w:val="none" w:sz="0" w:space="0" w:color="auto"/>
            <w:bottom w:val="none" w:sz="0" w:space="0" w:color="auto"/>
            <w:right w:val="none" w:sz="0" w:space="0" w:color="auto"/>
          </w:divBdr>
        </w:div>
        <w:div w:id="1696034842">
          <w:marLeft w:val="0"/>
          <w:marRight w:val="0"/>
          <w:marTop w:val="0"/>
          <w:marBottom w:val="0"/>
          <w:divBdr>
            <w:top w:val="none" w:sz="0" w:space="0" w:color="auto"/>
            <w:left w:val="none" w:sz="0" w:space="0" w:color="auto"/>
            <w:bottom w:val="none" w:sz="0" w:space="0" w:color="auto"/>
            <w:right w:val="none" w:sz="0" w:space="0" w:color="auto"/>
          </w:divBdr>
        </w:div>
        <w:div w:id="1716923190">
          <w:marLeft w:val="0"/>
          <w:marRight w:val="0"/>
          <w:marTop w:val="0"/>
          <w:marBottom w:val="0"/>
          <w:divBdr>
            <w:top w:val="none" w:sz="0" w:space="0" w:color="auto"/>
            <w:left w:val="none" w:sz="0" w:space="0" w:color="auto"/>
            <w:bottom w:val="none" w:sz="0" w:space="0" w:color="auto"/>
            <w:right w:val="none" w:sz="0" w:space="0" w:color="auto"/>
          </w:divBdr>
        </w:div>
        <w:div w:id="1842551071">
          <w:marLeft w:val="0"/>
          <w:marRight w:val="0"/>
          <w:marTop w:val="0"/>
          <w:marBottom w:val="0"/>
          <w:divBdr>
            <w:top w:val="none" w:sz="0" w:space="0" w:color="auto"/>
            <w:left w:val="none" w:sz="0" w:space="0" w:color="auto"/>
            <w:bottom w:val="none" w:sz="0" w:space="0" w:color="auto"/>
            <w:right w:val="none" w:sz="0" w:space="0" w:color="auto"/>
          </w:divBdr>
        </w:div>
        <w:div w:id="2046325068">
          <w:marLeft w:val="0"/>
          <w:marRight w:val="0"/>
          <w:marTop w:val="0"/>
          <w:marBottom w:val="0"/>
          <w:divBdr>
            <w:top w:val="none" w:sz="0" w:space="0" w:color="auto"/>
            <w:left w:val="none" w:sz="0" w:space="0" w:color="auto"/>
            <w:bottom w:val="none" w:sz="0" w:space="0" w:color="auto"/>
            <w:right w:val="none" w:sz="0" w:space="0" w:color="auto"/>
          </w:divBdr>
        </w:div>
      </w:divsChild>
    </w:div>
    <w:div w:id="1679044565">
      <w:bodyDiv w:val="1"/>
      <w:marLeft w:val="0"/>
      <w:marRight w:val="0"/>
      <w:marTop w:val="0"/>
      <w:marBottom w:val="0"/>
      <w:divBdr>
        <w:top w:val="none" w:sz="0" w:space="0" w:color="auto"/>
        <w:left w:val="none" w:sz="0" w:space="0" w:color="auto"/>
        <w:bottom w:val="none" w:sz="0" w:space="0" w:color="auto"/>
        <w:right w:val="none" w:sz="0" w:space="0" w:color="auto"/>
      </w:divBdr>
      <w:divsChild>
        <w:div w:id="705906335">
          <w:marLeft w:val="0"/>
          <w:marRight w:val="0"/>
          <w:marTop w:val="0"/>
          <w:marBottom w:val="0"/>
          <w:divBdr>
            <w:top w:val="none" w:sz="0" w:space="0" w:color="auto"/>
            <w:left w:val="none" w:sz="0" w:space="0" w:color="auto"/>
            <w:bottom w:val="none" w:sz="0" w:space="0" w:color="auto"/>
            <w:right w:val="none" w:sz="0" w:space="0" w:color="auto"/>
          </w:divBdr>
        </w:div>
        <w:div w:id="1257858558">
          <w:marLeft w:val="0"/>
          <w:marRight w:val="0"/>
          <w:marTop w:val="0"/>
          <w:marBottom w:val="0"/>
          <w:divBdr>
            <w:top w:val="none" w:sz="0" w:space="0" w:color="auto"/>
            <w:left w:val="none" w:sz="0" w:space="0" w:color="auto"/>
            <w:bottom w:val="none" w:sz="0" w:space="0" w:color="auto"/>
            <w:right w:val="none" w:sz="0" w:space="0" w:color="auto"/>
          </w:divBdr>
        </w:div>
        <w:div w:id="1472135616">
          <w:marLeft w:val="0"/>
          <w:marRight w:val="0"/>
          <w:marTop w:val="0"/>
          <w:marBottom w:val="0"/>
          <w:divBdr>
            <w:top w:val="none" w:sz="0" w:space="0" w:color="auto"/>
            <w:left w:val="none" w:sz="0" w:space="0" w:color="auto"/>
            <w:bottom w:val="none" w:sz="0" w:space="0" w:color="auto"/>
            <w:right w:val="none" w:sz="0" w:space="0" w:color="auto"/>
          </w:divBdr>
        </w:div>
        <w:div w:id="148585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00d4e89c6aa229346f53b0cabccb62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C8970-2D57-427D-83FD-6EC240A3ED52}">
  <ds:schemaRefs>
    <ds:schemaRef ds:uri="http://schemas.microsoft.com/sharepoint/v3/contenttype/forms"/>
  </ds:schemaRefs>
</ds:datastoreItem>
</file>

<file path=customXml/itemProps2.xml><?xml version="1.0" encoding="utf-8"?>
<ds:datastoreItem xmlns:ds="http://schemas.openxmlformats.org/officeDocument/2006/customXml" ds:itemID="{CAFBF37F-B3C5-4750-BE0C-A1E1BFD28C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CABBDC-2C98-4BD5-AB6C-0F00CAD931D5}">
  <ds:schemaRefs>
    <ds:schemaRef ds:uri="http://schemas.microsoft.com/sharepoint/v3/contenttype/forms"/>
  </ds:schemaRefs>
</ds:datastoreItem>
</file>

<file path=customXml/itemProps4.xml><?xml version="1.0" encoding="utf-8"?>
<ds:datastoreItem xmlns:ds="http://schemas.openxmlformats.org/officeDocument/2006/customXml" ds:itemID="{A7595AD8-B5B3-4AD8-B2B4-24636F688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B7578CF-A2C5-4785-B333-770701CAC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F5795D3E-5AAC-4CA3-B4BD-1AC5DDB7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2008</Words>
  <Characters>11450</Characters>
  <Application>Microsoft Office Word</Application>
  <DocSecurity>0</DocSecurity>
  <Lines>95</Lines>
  <Paragraphs>26</Paragraphs>
  <ScaleCrop>false</ScaleCrop>
  <HeadingPairs>
    <vt:vector size="8" baseType="variant">
      <vt:variant>
        <vt:lpstr>Title</vt:lpstr>
      </vt:variant>
      <vt:variant>
        <vt:i4>1</vt:i4>
      </vt:variant>
      <vt:variant>
        <vt:lpstr>Titel</vt:lpstr>
      </vt:variant>
      <vt:variant>
        <vt:i4>1</vt:i4>
      </vt:variant>
      <vt:variant>
        <vt:lpstr>Título</vt:lpstr>
      </vt:variant>
      <vt:variant>
        <vt:i4>1</vt:i4>
      </vt:variant>
      <vt:variant>
        <vt:lpstr>Název</vt:lpstr>
      </vt:variant>
      <vt:variant>
        <vt:i4>1</vt:i4>
      </vt:variant>
    </vt:vector>
  </HeadingPairs>
  <TitlesOfParts>
    <vt:vector size="4" baseType="lpstr">
      <vt:lpstr/>
      <vt:lpstr/>
      <vt:lpstr/>
      <vt:lpstr/>
    </vt:vector>
  </TitlesOfParts>
  <Company>IBERDROLA S.A.</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dc:creator>
  <cp:keywords/>
  <cp:lastModifiedBy>PETOFI, Gabor</cp:lastModifiedBy>
  <cp:revision>3</cp:revision>
  <cp:lastPrinted>2018-05-02T08:46:00Z</cp:lastPrinted>
  <dcterms:created xsi:type="dcterms:W3CDTF">2020-12-09T11:57:00Z</dcterms:created>
  <dcterms:modified xsi:type="dcterms:W3CDTF">2020-12-19T08:17:00Z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