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BA2" w:rsidRDefault="000C15DF" w:rsidP="00856F32">
      <w:pPr>
        <w:pStyle w:val="IGALLTitle1"/>
        <w:tabs>
          <w:tab w:val="left" w:pos="1134"/>
        </w:tabs>
        <w:ind w:left="1134" w:hanging="1134"/>
        <w:jc w:val="left"/>
        <w:rPr>
          <w:rFonts w:eastAsia="Times New Roman"/>
          <w:bCs w:val="0"/>
          <w:caps/>
          <w:lang w:eastAsia="en-US"/>
        </w:rPr>
      </w:pPr>
      <w:r w:rsidRPr="000C15DF">
        <w:t>AMP</w:t>
      </w:r>
      <w:r w:rsidR="00CA4B74">
        <w:t xml:space="preserve"> </w:t>
      </w:r>
      <w:r w:rsidRPr="000C15DF">
        <w:t>216</w:t>
      </w:r>
      <w:r w:rsidR="00CA4B74">
        <w:tab/>
      </w:r>
      <w:r w:rsidR="004606CB">
        <w:t xml:space="preserve">LEAD </w:t>
      </w:r>
      <w:r w:rsidRPr="000C15DF">
        <w:t xml:space="preserve">BATTERIES </w:t>
      </w:r>
      <w:r w:rsidR="007256DF">
        <w:t>NOT SUBJECT TO</w:t>
      </w:r>
      <w:r w:rsidR="007256DF" w:rsidRPr="008C1FC5">
        <w:t xml:space="preserve"> ENVIRONMENTAL QUALIFICATION </w:t>
      </w:r>
      <w:r w:rsidR="007256DF" w:rsidRPr="00AF61EB">
        <w:t>REQUIREMENTS</w:t>
      </w:r>
      <w:r w:rsidR="00BC1DB2">
        <w:rPr>
          <w:rFonts w:eastAsia="Times New Roman"/>
          <w:bCs w:val="0"/>
          <w:caps/>
          <w:lang w:eastAsia="en-US"/>
        </w:rPr>
        <w:t xml:space="preserve"> (VERSION 2017)</w:t>
      </w:r>
    </w:p>
    <w:p w:rsidR="008E23C2" w:rsidRPr="00791BA2" w:rsidRDefault="008E23C2" w:rsidP="00856F32">
      <w:pPr>
        <w:pStyle w:val="IGALLTitle1"/>
        <w:tabs>
          <w:tab w:val="left" w:pos="1134"/>
        </w:tabs>
        <w:ind w:left="1134" w:hanging="1134"/>
        <w:jc w:val="left"/>
      </w:pPr>
    </w:p>
    <w:p w:rsidR="00791BA2" w:rsidRPr="00791BA2" w:rsidRDefault="000C15DF" w:rsidP="00856F32">
      <w:pPr>
        <w:rPr>
          <w:b/>
          <w:bCs/>
          <w:lang w:val="en-GB"/>
        </w:rPr>
      </w:pPr>
      <w:r w:rsidRPr="000C15DF">
        <w:rPr>
          <w:b/>
          <w:bCs/>
          <w:lang w:val="en-GB"/>
        </w:rPr>
        <w:t>Programme Description</w:t>
      </w:r>
    </w:p>
    <w:p w:rsidR="00791BA2" w:rsidRPr="00676E0F" w:rsidRDefault="00791BA2" w:rsidP="00856F32">
      <w:pPr>
        <w:pStyle w:val="Body"/>
        <w:numPr>
          <w:ilvl w:val="0"/>
          <w:numId w:val="0"/>
        </w:numPr>
        <w:jc w:val="both"/>
        <w:rPr>
          <w:color w:val="000000"/>
        </w:rPr>
      </w:pPr>
      <w:r w:rsidRPr="00BC7389">
        <w:rPr>
          <w:rFonts w:eastAsia="Times New Roman" w:cs="Arial"/>
          <w:color w:val="000000"/>
        </w:rPr>
        <w:t xml:space="preserve">The purpose of the </w:t>
      </w:r>
      <w:r w:rsidRPr="00676E0F">
        <w:rPr>
          <w:color w:val="000000"/>
        </w:rPr>
        <w:t xml:space="preserve">AMP described herein is to provide reasonable assurance that the intended functions of the batteries </w:t>
      </w:r>
      <w:r w:rsidRPr="005C4151">
        <w:rPr>
          <w:rFonts w:eastAsia="Times New Roman" w:cs="Arial"/>
        </w:rPr>
        <w:t>are maintained consistent with the current licensing basis</w:t>
      </w:r>
      <w:r w:rsidRPr="00676E0F">
        <w:rPr>
          <w:color w:val="000000"/>
        </w:rPr>
        <w:t xml:space="preserve"> through the period of operation. The metallic and polymer parts as well as the electrolyte of the battery that are susceptible to age-related degradation </w:t>
      </w:r>
      <w:r w:rsidRPr="00BC7389">
        <w:rPr>
          <w:rFonts w:eastAsia="Times New Roman" w:cs="Arial"/>
          <w:color w:val="000000"/>
        </w:rPr>
        <w:t xml:space="preserve">resulting in </w:t>
      </w:r>
      <w:r>
        <w:rPr>
          <w:rFonts w:eastAsia="Times New Roman" w:cs="Arial"/>
          <w:color w:val="000000"/>
        </w:rPr>
        <w:t>de</w:t>
      </w:r>
      <w:r w:rsidRPr="00BC7389">
        <w:rPr>
          <w:rFonts w:eastAsia="Times New Roman" w:cs="Arial"/>
          <w:color w:val="000000"/>
        </w:rPr>
        <w:t xml:space="preserve">creased </w:t>
      </w:r>
      <w:r>
        <w:rPr>
          <w:rFonts w:eastAsia="Times New Roman" w:cs="Arial"/>
          <w:color w:val="000000"/>
        </w:rPr>
        <w:t xml:space="preserve">capacity </w:t>
      </w:r>
      <w:r w:rsidRPr="00BC7389">
        <w:rPr>
          <w:rFonts w:eastAsia="Times New Roman" w:cs="Arial"/>
          <w:color w:val="000000"/>
        </w:rPr>
        <w:t>due to</w:t>
      </w:r>
      <w:r w:rsidRPr="00676E0F">
        <w:rPr>
          <w:color w:val="000000"/>
        </w:rPr>
        <w:t xml:space="preserve"> corrosion and chemical processes </w:t>
      </w:r>
      <w:r w:rsidR="002A4EF7">
        <w:rPr>
          <w:color w:val="000000"/>
        </w:rPr>
        <w:t>are</w:t>
      </w:r>
      <w:r w:rsidR="002A4EF7" w:rsidRPr="00676E0F">
        <w:rPr>
          <w:color w:val="000000"/>
        </w:rPr>
        <w:t xml:space="preserve"> </w:t>
      </w:r>
      <w:r>
        <w:rPr>
          <w:rFonts w:eastAsia="Times New Roman" w:cs="Arial"/>
          <w:color w:val="000000"/>
        </w:rPr>
        <w:t xml:space="preserve">therefore </w:t>
      </w:r>
      <w:r w:rsidRPr="00676E0F">
        <w:rPr>
          <w:color w:val="000000"/>
        </w:rPr>
        <w:t>monitored and periodically checked.</w:t>
      </w:r>
    </w:p>
    <w:p w:rsidR="00D810F1" w:rsidRPr="00676E0F" w:rsidRDefault="00791BA2" w:rsidP="00856F32">
      <w:pPr>
        <w:pStyle w:val="Body"/>
        <w:numPr>
          <w:ilvl w:val="0"/>
          <w:numId w:val="0"/>
        </w:numPr>
        <w:jc w:val="both"/>
        <w:rPr>
          <w:color w:val="000000"/>
        </w:rPr>
      </w:pPr>
      <w:r>
        <w:rPr>
          <w:rFonts w:eastAsia="Times New Roman" w:cs="Arial"/>
          <w:color w:val="000000"/>
        </w:rPr>
        <w:t xml:space="preserve">Batteries </w:t>
      </w:r>
      <w:r w:rsidRPr="00676E0F">
        <w:rPr>
          <w:color w:val="000000"/>
        </w:rPr>
        <w:t xml:space="preserve">are designed to </w:t>
      </w:r>
      <w:r w:rsidR="00D810F1">
        <w:rPr>
          <w:rFonts w:eastAsia="Times New Roman" w:cs="Arial"/>
          <w:color w:val="000000"/>
        </w:rPr>
        <w:t xml:space="preserve">provide power in case of </w:t>
      </w:r>
      <w:r w:rsidR="00D810F1" w:rsidRPr="00676E0F">
        <w:rPr>
          <w:color w:val="000000"/>
        </w:rPr>
        <w:t xml:space="preserve">loss of </w:t>
      </w:r>
      <w:r w:rsidR="00D810F1">
        <w:rPr>
          <w:rFonts w:eastAsia="Times New Roman" w:cs="Arial"/>
          <w:color w:val="000000"/>
        </w:rPr>
        <w:t>all alternate current sources,</w:t>
      </w:r>
      <w:r w:rsidR="00D810F1" w:rsidRPr="00676E0F">
        <w:rPr>
          <w:color w:val="000000"/>
        </w:rPr>
        <w:t xml:space="preserve"> offsite </w:t>
      </w:r>
      <w:r w:rsidR="00D810F1">
        <w:rPr>
          <w:rFonts w:eastAsia="Times New Roman" w:cs="Arial"/>
          <w:color w:val="000000"/>
        </w:rPr>
        <w:t>(</w:t>
      </w:r>
      <w:r w:rsidR="00D810F1" w:rsidRPr="00676E0F">
        <w:rPr>
          <w:color w:val="000000"/>
        </w:rPr>
        <w:t>power</w:t>
      </w:r>
      <w:r w:rsidR="00D810F1">
        <w:rPr>
          <w:rFonts w:eastAsia="Times New Roman" w:cs="Arial"/>
          <w:color w:val="000000"/>
        </w:rPr>
        <w:t xml:space="preserve"> grid</w:t>
      </w:r>
      <w:r w:rsidR="00D810F1" w:rsidRPr="00676E0F">
        <w:rPr>
          <w:color w:val="000000"/>
        </w:rPr>
        <w:t xml:space="preserve">) and </w:t>
      </w:r>
      <w:r w:rsidR="00D810F1">
        <w:rPr>
          <w:rFonts w:eastAsia="Times New Roman" w:cs="Arial"/>
          <w:color w:val="000000"/>
        </w:rPr>
        <w:t>on-site (emergency</w:t>
      </w:r>
      <w:r w:rsidR="00D810F1" w:rsidRPr="00676E0F">
        <w:rPr>
          <w:color w:val="000000"/>
        </w:rPr>
        <w:t xml:space="preserve"> power generators</w:t>
      </w:r>
      <w:r w:rsidR="00D810F1">
        <w:rPr>
          <w:rFonts w:eastAsia="Times New Roman" w:cs="Arial"/>
          <w:color w:val="000000"/>
        </w:rPr>
        <w:t>).</w:t>
      </w:r>
    </w:p>
    <w:p w:rsidR="00791BA2" w:rsidRDefault="0091579A" w:rsidP="00856F32">
      <w:pPr>
        <w:pStyle w:val="Body"/>
        <w:numPr>
          <w:ilvl w:val="0"/>
          <w:numId w:val="0"/>
        </w:numPr>
        <w:jc w:val="both"/>
        <w:rPr>
          <w:rFonts w:eastAsia="Times New Roman" w:cs="Arial"/>
          <w:color w:val="000000"/>
        </w:rPr>
      </w:pPr>
      <w:r w:rsidRPr="0091579A">
        <w:rPr>
          <w:rFonts w:eastAsia="Times New Roman" w:cs="Arial"/>
          <w:color w:val="000000"/>
        </w:rPr>
        <w:t xml:space="preserve">Each battery set </w:t>
      </w:r>
      <w:r w:rsidR="002A4EF7">
        <w:rPr>
          <w:rFonts w:eastAsia="Times New Roman" w:cs="Arial"/>
          <w:color w:val="000000"/>
        </w:rPr>
        <w:t>is</w:t>
      </w:r>
      <w:r w:rsidRPr="0091579A">
        <w:rPr>
          <w:rFonts w:eastAsia="Times New Roman" w:cs="Arial"/>
          <w:color w:val="000000"/>
        </w:rPr>
        <w:t>, without a battery charger, capable of meeting all required load demands and conditions (including duty cycles and electrical transients) that occur in the plant states specified in the design basis, with account taken of such factors as design margins, temperature effects, any recent discharge and deterioration with age</w:t>
      </w:r>
      <w:r>
        <w:rPr>
          <w:rFonts w:eastAsia="Times New Roman" w:cs="Arial"/>
          <w:color w:val="000000"/>
        </w:rPr>
        <w:t xml:space="preserve"> </w:t>
      </w:r>
      <w:r w:rsidR="00BE7A75">
        <w:rPr>
          <w:rFonts w:eastAsia="Times New Roman" w:cs="Arial"/>
          <w:color w:val="000000"/>
        </w:rPr>
        <w:fldChar w:fldCharType="begin"/>
      </w:r>
      <w:r w:rsidR="00BE7A75">
        <w:rPr>
          <w:rFonts w:eastAsia="Times New Roman" w:cs="Arial"/>
          <w:color w:val="000000"/>
        </w:rPr>
        <w:instrText xml:space="preserve"> REF _Ref451258156 \r \h </w:instrText>
      </w:r>
      <w:r w:rsidR="00CA4B74">
        <w:rPr>
          <w:rFonts w:eastAsia="Times New Roman" w:cs="Arial"/>
          <w:color w:val="000000"/>
        </w:rPr>
        <w:instrText xml:space="preserve"> \* MERGEFORMAT </w:instrText>
      </w:r>
      <w:r w:rsidR="00BE7A75">
        <w:rPr>
          <w:rFonts w:eastAsia="Times New Roman" w:cs="Arial"/>
          <w:color w:val="000000"/>
        </w:rPr>
      </w:r>
      <w:r w:rsidR="00BE7A75">
        <w:rPr>
          <w:rFonts w:eastAsia="Times New Roman" w:cs="Arial"/>
          <w:color w:val="000000"/>
        </w:rPr>
        <w:fldChar w:fldCharType="separate"/>
      </w:r>
      <w:r w:rsidR="002A4EF7">
        <w:rPr>
          <w:rFonts w:eastAsia="Times New Roman" w:cs="Arial"/>
          <w:color w:val="000000"/>
        </w:rPr>
        <w:t>[1]</w:t>
      </w:r>
      <w:r w:rsidR="00BE7A75">
        <w:rPr>
          <w:rFonts w:eastAsia="Times New Roman" w:cs="Arial"/>
          <w:color w:val="000000"/>
        </w:rPr>
        <w:fldChar w:fldCharType="end"/>
      </w:r>
      <w:r w:rsidRPr="0091579A">
        <w:rPr>
          <w:rFonts w:eastAsia="Times New Roman" w:cs="Arial"/>
          <w:color w:val="000000"/>
        </w:rPr>
        <w:t>.</w:t>
      </w:r>
      <w:r w:rsidRPr="0091579A">
        <w:t xml:space="preserve"> </w:t>
      </w:r>
    </w:p>
    <w:p w:rsidR="00791BA2" w:rsidRPr="00676E0F" w:rsidRDefault="00791BA2" w:rsidP="00856F32">
      <w:pPr>
        <w:pStyle w:val="Body"/>
        <w:numPr>
          <w:ilvl w:val="0"/>
          <w:numId w:val="0"/>
        </w:numPr>
        <w:jc w:val="both"/>
        <w:rPr>
          <w:color w:val="000000"/>
        </w:rPr>
      </w:pPr>
      <w:r w:rsidRPr="00676E0F">
        <w:rPr>
          <w:color w:val="000000"/>
        </w:rPr>
        <w:t>Although</w:t>
      </w:r>
      <w:r>
        <w:rPr>
          <w:rFonts w:eastAsia="Times New Roman" w:cs="Arial"/>
          <w:color w:val="000000"/>
        </w:rPr>
        <w:t xml:space="preserve"> the</w:t>
      </w:r>
      <w:r w:rsidRPr="00676E0F">
        <w:rPr>
          <w:color w:val="000000"/>
        </w:rPr>
        <w:t xml:space="preserve"> previous failure experience mostly indicated failures in single cells of batteries only, the </w:t>
      </w:r>
      <w:r w:rsidR="00C21A66" w:rsidRPr="00676E0F">
        <w:rPr>
          <w:color w:val="000000"/>
        </w:rPr>
        <w:t xml:space="preserve">programme </w:t>
      </w:r>
      <w:r w:rsidRPr="00676E0F">
        <w:rPr>
          <w:color w:val="000000"/>
        </w:rPr>
        <w:t xml:space="preserve">ensures that the reliability and safety significance of this uninterruptible power supply system as a whole is adequately addressed. </w:t>
      </w:r>
    </w:p>
    <w:p w:rsidR="008F1D3B" w:rsidRPr="00676E0F" w:rsidRDefault="00791BA2" w:rsidP="00856F32">
      <w:pPr>
        <w:pStyle w:val="Body"/>
        <w:numPr>
          <w:ilvl w:val="0"/>
          <w:numId w:val="0"/>
        </w:numPr>
        <w:jc w:val="both"/>
        <w:rPr>
          <w:color w:val="000000"/>
        </w:rPr>
      </w:pPr>
      <w:r w:rsidRPr="00676E0F">
        <w:rPr>
          <w:color w:val="000000"/>
        </w:rPr>
        <w:t xml:space="preserve">The </w:t>
      </w:r>
      <w:r w:rsidR="00C21A66" w:rsidRPr="00676E0F">
        <w:rPr>
          <w:color w:val="000000"/>
        </w:rPr>
        <w:t xml:space="preserve">programme </w:t>
      </w:r>
      <w:r w:rsidRPr="00676E0F">
        <w:rPr>
          <w:color w:val="000000"/>
        </w:rPr>
        <w:t>was written specifically to address the lead battery of wet cell design with a liquid electrolyte, although gel cells have sometimes been installed for the same purpose</w:t>
      </w:r>
      <w:r>
        <w:rPr>
          <w:rFonts w:eastAsia="Times New Roman" w:cs="Arial"/>
          <w:color w:val="000000"/>
        </w:rPr>
        <w:t>.</w:t>
      </w:r>
      <w:r w:rsidR="008F1D3B" w:rsidRPr="00676E0F">
        <w:rPr>
          <w:color w:val="000000"/>
        </w:rPr>
        <w:t xml:space="preserve"> </w:t>
      </w:r>
    </w:p>
    <w:p w:rsidR="00791BA2" w:rsidRPr="00676E0F" w:rsidRDefault="00791BA2" w:rsidP="00856F32">
      <w:pPr>
        <w:pStyle w:val="Body"/>
        <w:numPr>
          <w:ilvl w:val="0"/>
          <w:numId w:val="0"/>
        </w:numPr>
        <w:jc w:val="both"/>
        <w:rPr>
          <w:color w:val="000000"/>
        </w:rPr>
      </w:pPr>
      <w:r w:rsidRPr="00676E0F">
        <w:rPr>
          <w:color w:val="000000"/>
        </w:rPr>
        <w:t xml:space="preserve">The </w:t>
      </w:r>
      <w:r w:rsidR="00C21A66" w:rsidRPr="00676E0F">
        <w:rPr>
          <w:color w:val="000000"/>
        </w:rPr>
        <w:t xml:space="preserve">programme </w:t>
      </w:r>
      <w:r w:rsidRPr="00676E0F">
        <w:rPr>
          <w:color w:val="000000"/>
        </w:rPr>
        <w:t xml:space="preserve">applies to emergency power generation with batteries and rectifier units, as shown in </w:t>
      </w:r>
      <w:r>
        <w:rPr>
          <w:rFonts w:eastAsia="Times New Roman" w:cs="Arial"/>
          <w:color w:val="000000"/>
        </w:rPr>
        <w:t xml:space="preserve">picture 1 </w:t>
      </w:r>
      <w:r w:rsidR="00BE7A75">
        <w:fldChar w:fldCharType="begin"/>
      </w:r>
      <w:r w:rsidR="00BE7A75">
        <w:rPr>
          <w:rFonts w:eastAsia="Times New Roman" w:cs="Arial"/>
          <w:color w:val="000000"/>
        </w:rPr>
        <w:instrText xml:space="preserve"> REF _Ref451258171 \r \h </w:instrText>
      </w:r>
      <w:r w:rsidR="00CA4B74">
        <w:instrText xml:space="preserve"> \* MERGEFORMAT </w:instrText>
      </w:r>
      <w:r w:rsidR="00BE7A75">
        <w:fldChar w:fldCharType="separate"/>
      </w:r>
      <w:r w:rsidR="002A4EF7">
        <w:rPr>
          <w:rFonts w:eastAsia="Times New Roman" w:cs="Arial"/>
          <w:color w:val="000000"/>
        </w:rPr>
        <w:t>[2]</w:t>
      </w:r>
      <w:r w:rsidR="00BE7A75">
        <w:fldChar w:fldCharType="end"/>
      </w:r>
      <w:r>
        <w:t>.</w:t>
      </w:r>
      <w:r w:rsidRPr="00676E0F">
        <w:rPr>
          <w:color w:val="000000"/>
        </w:rPr>
        <w:t xml:space="preserve"> </w:t>
      </w:r>
    </w:p>
    <w:p w:rsidR="00791BA2" w:rsidRPr="00676E0F" w:rsidRDefault="00791BA2" w:rsidP="00856F32">
      <w:pPr>
        <w:pStyle w:val="Body"/>
        <w:numPr>
          <w:ilvl w:val="0"/>
          <w:numId w:val="0"/>
        </w:numPr>
        <w:jc w:val="both"/>
        <w:rPr>
          <w:color w:val="000000"/>
        </w:rPr>
      </w:pPr>
      <w:r w:rsidRPr="00676E0F">
        <w:rPr>
          <w:color w:val="000000"/>
        </w:rPr>
        <w:t xml:space="preserve">Almost all of the time, the battery is in standby </w:t>
      </w:r>
      <w:r w:rsidR="004606CB" w:rsidRPr="00676E0F">
        <w:rPr>
          <w:color w:val="000000"/>
        </w:rPr>
        <w:t>mode</w:t>
      </w:r>
      <w:r w:rsidRPr="00676E0F">
        <w:rPr>
          <w:color w:val="000000"/>
        </w:rPr>
        <w:t xml:space="preserve">, i.e. in parallel operation where the battery delivers current only when the supply from the rectifier is not available (e.g. during startup of the diesel generator). </w:t>
      </w:r>
    </w:p>
    <w:p w:rsidR="00791BA2" w:rsidRPr="00676E0F" w:rsidRDefault="00791BA2" w:rsidP="00856F32">
      <w:pPr>
        <w:pStyle w:val="Body"/>
        <w:numPr>
          <w:ilvl w:val="0"/>
          <w:numId w:val="0"/>
        </w:numPr>
        <w:jc w:val="both"/>
        <w:rPr>
          <w:color w:val="000000"/>
        </w:rPr>
      </w:pPr>
      <w:r w:rsidRPr="00676E0F">
        <w:rPr>
          <w:color w:val="000000"/>
        </w:rPr>
        <w:t>The characteristic physical parameter is the battery’s capacity, i.e. the amount of electric charge it can store.</w:t>
      </w:r>
    </w:p>
    <w:p w:rsidR="00791BA2" w:rsidRDefault="00791BA2" w:rsidP="00856F32">
      <w:pPr>
        <w:pStyle w:val="Body"/>
        <w:numPr>
          <w:ilvl w:val="0"/>
          <w:numId w:val="0"/>
        </w:numPr>
        <w:jc w:val="both"/>
      </w:pPr>
      <w:r>
        <w:t xml:space="preserve">Storage life of secondary batteries is limited by chemical reactions that occur between the battery parts and the electrolyte. Internal parts may corrode and fail, or the active materials may be slowly converted to inactive forms. Since the active material on the battery plates changes chemical composition on each charge and discharge cycle, active material may be lost due to physical changes of volume; this may limit the cycle life of the battery </w:t>
      </w:r>
      <w:r w:rsidR="00BE7A75">
        <w:fldChar w:fldCharType="begin"/>
      </w:r>
      <w:r w:rsidR="00BE7A75">
        <w:instrText xml:space="preserve"> REF _Ref451258187 \r \h </w:instrText>
      </w:r>
      <w:r w:rsidR="00CA4B74">
        <w:instrText xml:space="preserve"> \* MERGEFORMAT </w:instrText>
      </w:r>
      <w:r w:rsidR="00BE7A75">
        <w:fldChar w:fldCharType="separate"/>
      </w:r>
      <w:r w:rsidR="002A4EF7">
        <w:t>[3]</w:t>
      </w:r>
      <w:r w:rsidR="00BE7A75">
        <w:fldChar w:fldCharType="end"/>
      </w:r>
      <w:r>
        <w:t>.</w:t>
      </w:r>
    </w:p>
    <w:p w:rsidR="00791BA2" w:rsidRDefault="00791BA2" w:rsidP="00856F32">
      <w:pPr>
        <w:pStyle w:val="Body"/>
        <w:numPr>
          <w:ilvl w:val="0"/>
          <w:numId w:val="0"/>
        </w:numPr>
        <w:jc w:val="both"/>
      </w:pPr>
      <w:r>
        <w:t>Although rechargeable batteries have their energy content restored by charging, some deterioration occurs on each charge–discharge cycle.</w:t>
      </w:r>
    </w:p>
    <w:p w:rsidR="00791BA2" w:rsidRDefault="008E23C2" w:rsidP="00856F32">
      <w:pPr>
        <w:pStyle w:val="Body"/>
        <w:numPr>
          <w:ilvl w:val="0"/>
          <w:numId w:val="0"/>
        </w:numPr>
        <w:jc w:val="both"/>
        <w:rPr>
          <w:rFonts w:eastAsia="Times New Roman" w:cs="Arial"/>
          <w:color w:val="000000"/>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0;text-align:left;margin-left:117.7pt;margin-top:-12.7pt;width:203.1pt;height:256.85pt;z-index:251658240;visibility:visible" o:allowoverlap="f">
            <v:imagedata r:id="rId15" o:title=""/>
            <w10:wrap type="topAndBottom"/>
          </v:shape>
        </w:pict>
      </w:r>
      <w:r>
        <w:rPr>
          <w:noProof/>
        </w:rPr>
        <w:pict>
          <v:rect id="Rectangle 2" o:spid="_x0000_s1026" style="position:absolute;left:0;text-align:left;margin-left:85.95pt;margin-top:244.15pt;width:76pt;height:17.4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QeegIAAPo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" stroked="f"/>
        </w:pict>
      </w:r>
    </w:p>
    <w:p w:rsidR="00791BA2" w:rsidRPr="00600041" w:rsidRDefault="003733E8" w:rsidP="003733E8">
      <w:pPr>
        <w:pStyle w:val="Body"/>
        <w:numPr>
          <w:ilvl w:val="0"/>
          <w:numId w:val="0"/>
        </w:numPr>
        <w:jc w:val="center"/>
        <w:rPr>
          <w:color w:val="000000"/>
          <w:sz w:val="20"/>
        </w:rPr>
      </w:pPr>
      <w:r>
        <w:rPr>
          <w:rFonts w:eastAsia="Times New Roman" w:cs="Arial"/>
          <w:color w:val="000000"/>
          <w:sz w:val="20"/>
        </w:rPr>
        <w:t>Figure</w:t>
      </w:r>
      <w:r w:rsidR="00791BA2" w:rsidRPr="00600041">
        <w:rPr>
          <w:color w:val="000000"/>
          <w:sz w:val="20"/>
        </w:rPr>
        <w:t xml:space="preserve"> 1: Battery facilities shown for</w:t>
      </w:r>
      <w:r w:rsidR="00C96F10" w:rsidRPr="00600041">
        <w:rPr>
          <w:color w:val="000000"/>
          <w:sz w:val="20"/>
        </w:rPr>
        <w:t xml:space="preserve"> </w:t>
      </w:r>
      <w:r w:rsidR="00C96F10">
        <w:rPr>
          <w:rFonts w:eastAsia="Times New Roman" w:cs="Arial"/>
          <w:color w:val="000000"/>
          <w:sz w:val="20"/>
        </w:rPr>
        <w:t>one division</w:t>
      </w:r>
      <w:r w:rsidR="00791BA2" w:rsidRPr="00046205">
        <w:rPr>
          <w:rFonts w:eastAsia="Times New Roman" w:cs="Arial"/>
          <w:color w:val="000000"/>
          <w:sz w:val="20"/>
        </w:rPr>
        <w:t xml:space="preserve"> </w:t>
      </w:r>
      <w:r w:rsidR="00BE7A75">
        <w:rPr>
          <w:rFonts w:eastAsia="Times New Roman" w:cs="Arial"/>
          <w:color w:val="000000"/>
          <w:sz w:val="20"/>
        </w:rPr>
        <w:fldChar w:fldCharType="begin"/>
      </w:r>
      <w:r w:rsidR="00BE7A75">
        <w:rPr>
          <w:rFonts w:eastAsia="Times New Roman" w:cs="Arial"/>
          <w:color w:val="000000"/>
          <w:sz w:val="20"/>
        </w:rPr>
        <w:instrText xml:space="preserve"> REF _Ref451258156 \r \h </w:instrText>
      </w:r>
      <w:r w:rsidR="00CA4B74">
        <w:rPr>
          <w:rFonts w:eastAsia="Times New Roman" w:cs="Arial"/>
          <w:color w:val="000000"/>
          <w:sz w:val="20"/>
        </w:rPr>
        <w:instrText xml:space="preserve"> \* MERGEFORMAT </w:instrText>
      </w:r>
      <w:r w:rsidR="00BE7A75">
        <w:rPr>
          <w:rFonts w:eastAsia="Times New Roman" w:cs="Arial"/>
          <w:color w:val="000000"/>
          <w:sz w:val="20"/>
        </w:rPr>
      </w:r>
      <w:r w:rsidR="00BE7A75">
        <w:rPr>
          <w:rFonts w:eastAsia="Times New Roman" w:cs="Arial"/>
          <w:color w:val="000000"/>
          <w:sz w:val="20"/>
        </w:rPr>
        <w:fldChar w:fldCharType="separate"/>
      </w:r>
      <w:r w:rsidR="002A4EF7">
        <w:rPr>
          <w:rFonts w:eastAsia="Times New Roman" w:cs="Arial"/>
          <w:color w:val="000000"/>
          <w:sz w:val="20"/>
        </w:rPr>
        <w:t>[1]</w:t>
      </w:r>
      <w:r w:rsidR="00BE7A75">
        <w:rPr>
          <w:rFonts w:eastAsia="Times New Roman" w:cs="Arial"/>
          <w:color w:val="000000"/>
          <w:sz w:val="20"/>
        </w:rPr>
        <w:fldChar w:fldCharType="end"/>
      </w:r>
    </w:p>
    <w:p w:rsidR="00791BA2" w:rsidRDefault="00E74570" w:rsidP="00856F32">
      <w:pPr>
        <w:pStyle w:val="Body"/>
        <w:numPr>
          <w:ilvl w:val="0"/>
          <w:numId w:val="0"/>
        </w:numPr>
        <w:jc w:val="both"/>
      </w:pPr>
      <w:r>
        <w:t>Because</w:t>
      </w:r>
      <w:r w:rsidR="00791BA2">
        <w:t xml:space="preserve"> designed lifetime of batteries</w:t>
      </w:r>
      <w:r>
        <w:t xml:space="preserve"> important to safety</w:t>
      </w:r>
      <w:r w:rsidR="00791BA2">
        <w:t xml:space="preserve"> installed in nuclear power plants is limited. periodic replacements are needed during period of plant operation. Nevertheless, during operation of batteries, </w:t>
      </w:r>
      <w:r w:rsidR="008C1746">
        <w:t>ageing</w:t>
      </w:r>
      <w:r w:rsidR="00791BA2">
        <w:t xml:space="preserve"> management is needed to ensure at least the specified lifetime.</w:t>
      </w:r>
    </w:p>
    <w:p w:rsidR="002E0533" w:rsidRPr="00600041" w:rsidRDefault="002E0533" w:rsidP="00856F32">
      <w:pPr>
        <w:pStyle w:val="Body"/>
        <w:numPr>
          <w:ilvl w:val="0"/>
          <w:numId w:val="0"/>
        </w:numPr>
        <w:jc w:val="both"/>
        <w:rPr>
          <w:color w:val="000000"/>
        </w:rPr>
      </w:pPr>
    </w:p>
    <w:p w:rsidR="00791BA2" w:rsidRPr="005C6653" w:rsidRDefault="00791BA2" w:rsidP="00856F32">
      <w:pPr>
        <w:pStyle w:val="IGALLTitle2"/>
      </w:pPr>
      <w:r w:rsidRPr="005C6653">
        <w:t>Evaluation and Technical Basis</w:t>
      </w:r>
    </w:p>
    <w:p w:rsidR="00791BA2" w:rsidRPr="00EB3793" w:rsidRDefault="00791BA2" w:rsidP="00856F32">
      <w:pPr>
        <w:pStyle w:val="IGALLTitle3"/>
        <w:ind w:left="425" w:hanging="425"/>
      </w:pPr>
      <w:r w:rsidRPr="00EB3793">
        <w:t>Scope of the ageing management programme</w:t>
      </w:r>
      <w:r w:rsidR="00645EC7">
        <w:t xml:space="preserve"> based on understanding ageing:</w:t>
      </w:r>
    </w:p>
    <w:p w:rsidR="00791BA2" w:rsidRPr="00600041" w:rsidRDefault="00791BA2" w:rsidP="00856F32">
      <w:pPr>
        <w:rPr>
          <w:color w:val="000000"/>
        </w:rPr>
      </w:pPr>
      <w:r w:rsidRPr="00600041">
        <w:rPr>
          <w:color w:val="000000"/>
        </w:rPr>
        <w:t>Wet cell lead batteries in standby operation, parallel to rectifier units (where the battery delivers current only when the supply from the rectifier is not available) are in the scope of this AMP.</w:t>
      </w:r>
    </w:p>
    <w:p w:rsidR="002E0533" w:rsidRPr="003733E8" w:rsidRDefault="002E0533" w:rsidP="003733E8">
      <w:pPr>
        <w:pStyle w:val="Body"/>
        <w:numPr>
          <w:ilvl w:val="0"/>
          <w:numId w:val="0"/>
        </w:numPr>
        <w:jc w:val="both"/>
        <w:rPr>
          <w:color w:val="000000"/>
        </w:rPr>
      </w:pPr>
    </w:p>
    <w:p w:rsidR="00791BA2" w:rsidRDefault="00791BA2" w:rsidP="00856F32">
      <w:pPr>
        <w:pStyle w:val="IGALLTitle3"/>
        <w:ind w:left="426" w:hanging="426"/>
      </w:pPr>
      <w:r w:rsidRPr="005C6653">
        <w:t>Preventive actions to minimize and control ageing degradation</w:t>
      </w:r>
      <w:r w:rsidR="00645EC7">
        <w:t>:</w:t>
      </w:r>
    </w:p>
    <w:p w:rsidR="00791BA2" w:rsidRPr="00600041" w:rsidRDefault="00791BA2" w:rsidP="00856F32">
      <w:pPr>
        <w:rPr>
          <w:color w:val="000000"/>
        </w:rPr>
      </w:pPr>
      <w:r w:rsidRPr="00600041">
        <w:rPr>
          <w:color w:val="000000"/>
        </w:rPr>
        <w:t xml:space="preserve">This is a condition monitoring program, and no actions are taken as part of this </w:t>
      </w:r>
      <w:r w:rsidR="00C21A66" w:rsidRPr="00600041">
        <w:rPr>
          <w:color w:val="000000"/>
        </w:rPr>
        <w:t xml:space="preserve">programme </w:t>
      </w:r>
      <w:r w:rsidRPr="00600041">
        <w:rPr>
          <w:color w:val="000000"/>
        </w:rPr>
        <w:t xml:space="preserve">to prevent or mitigate </w:t>
      </w:r>
      <w:r w:rsidR="008C1746" w:rsidRPr="00600041">
        <w:rPr>
          <w:color w:val="000000"/>
        </w:rPr>
        <w:t>ageing</w:t>
      </w:r>
      <w:r w:rsidRPr="00600041">
        <w:rPr>
          <w:color w:val="000000"/>
        </w:rPr>
        <w:t xml:space="preserve"> degradation.</w:t>
      </w:r>
    </w:p>
    <w:p w:rsidR="00CA4B74" w:rsidRPr="003733E8" w:rsidRDefault="00CA4B74" w:rsidP="003733E8">
      <w:pPr>
        <w:pStyle w:val="Body"/>
        <w:numPr>
          <w:ilvl w:val="0"/>
          <w:numId w:val="0"/>
        </w:numPr>
        <w:jc w:val="both"/>
        <w:rPr>
          <w:color w:val="000000"/>
        </w:rPr>
      </w:pPr>
    </w:p>
    <w:p w:rsidR="00791BA2" w:rsidRDefault="00791BA2" w:rsidP="00856F32">
      <w:pPr>
        <w:pStyle w:val="IGALLTitle3"/>
        <w:ind w:left="426" w:hanging="426"/>
      </w:pPr>
      <w:bookmarkStart w:id="0" w:name="_GoBack"/>
      <w:bookmarkEnd w:id="0"/>
      <w:r>
        <w:t>Detection of ageing effects</w:t>
      </w:r>
      <w:r w:rsidR="00645EC7">
        <w:t>:</w:t>
      </w:r>
    </w:p>
    <w:p w:rsidR="00791BA2" w:rsidRDefault="00791BA2" w:rsidP="00856F32">
      <w:r>
        <w:t>This AMP focuses on the</w:t>
      </w:r>
      <w:r w:rsidRPr="00AB3EB6">
        <w:t xml:space="preserve"> demands for the visual inspections and the surveillance test program</w:t>
      </w:r>
      <w:r w:rsidR="00CA4B74">
        <w:t>me</w:t>
      </w:r>
      <w:r w:rsidRPr="00AB3EB6">
        <w:t xml:space="preserve">. </w:t>
      </w:r>
    </w:p>
    <w:p w:rsidR="00126EFD" w:rsidRPr="00AB3EB6" w:rsidRDefault="00126EFD" w:rsidP="00856F32">
      <w:r w:rsidRPr="00126EFD">
        <w:t xml:space="preserve">Batteries </w:t>
      </w:r>
      <w:r w:rsidR="002A4EF7">
        <w:t>are</w:t>
      </w:r>
      <w:r w:rsidRPr="00126EFD">
        <w:t xml:space="preserve"> periodically tested to demonstrate the operability of the system and to detect any degradation.</w:t>
      </w:r>
    </w:p>
    <w:p w:rsidR="00791BA2" w:rsidRDefault="00791BA2" w:rsidP="00856F32">
      <w:r>
        <w:t xml:space="preserve">The monitoring </w:t>
      </w:r>
      <w:r w:rsidR="00C21A66">
        <w:t xml:space="preserve">programme </w:t>
      </w:r>
      <w:r>
        <w:t xml:space="preserve">includes the </w:t>
      </w:r>
      <w:r w:rsidR="000C3AF8">
        <w:t xml:space="preserve">check </w:t>
      </w:r>
      <w:r>
        <w:t>of the voltage and current delivered by the rectifier. The monitored parameters at the rectifier unit cover</w:t>
      </w:r>
      <w:r w:rsidR="002A4EF7">
        <w:t>s</w:t>
      </w:r>
      <w:r>
        <w:t xml:space="preserve"> </w:t>
      </w:r>
      <w:r w:rsidR="002A4EF7">
        <w:t xml:space="preserve">at least </w:t>
      </w:r>
      <w:r>
        <w:t xml:space="preserve">the output voltage and the output current. The compensating charge voltage </w:t>
      </w:r>
      <w:r w:rsidR="002A4EF7">
        <w:t>is</w:t>
      </w:r>
      <w:r>
        <w:t xml:space="preserve"> </w:t>
      </w:r>
      <w:r w:rsidR="000C3AF8">
        <w:t xml:space="preserve">checked </w:t>
      </w:r>
      <w:r>
        <w:t xml:space="preserve">on site. </w:t>
      </w:r>
    </w:p>
    <w:p w:rsidR="00791BA2" w:rsidRDefault="00791BA2" w:rsidP="00856F32">
      <w:r>
        <w:t xml:space="preserve">If the values exceed the limit values, the rectifier </w:t>
      </w:r>
      <w:r w:rsidR="002A4EF7">
        <w:t>is</w:t>
      </w:r>
      <w:r>
        <w:t xml:space="preserve"> </w:t>
      </w:r>
      <w:r w:rsidR="000C3AF8">
        <w:t xml:space="preserve">switched </w:t>
      </w:r>
      <w:r>
        <w:t xml:space="preserve">off for eliminating damage to the battery. The output current and the related output voltage </w:t>
      </w:r>
      <w:r w:rsidR="002A4EF7">
        <w:t>are</w:t>
      </w:r>
      <w:r>
        <w:t xml:space="preserve"> monitored with a collective alarm </w:t>
      </w:r>
      <w:r>
        <w:lastRenderedPageBreak/>
        <w:t>in the control room, additionally.</w:t>
      </w:r>
    </w:p>
    <w:p w:rsidR="00791BA2" w:rsidRDefault="00791BA2" w:rsidP="00856F32">
      <w:r>
        <w:t>At the battery, monitoring the current for a break inside the battery and between the battery and the rectifier is recommended.</w:t>
      </w:r>
    </w:p>
    <w:p w:rsidR="00791BA2" w:rsidRPr="00600041" w:rsidRDefault="000B06FB" w:rsidP="00856F32">
      <w:pPr>
        <w:rPr>
          <w:color w:val="000000"/>
        </w:rPr>
      </w:pPr>
      <w:r w:rsidRPr="000B06FB">
        <w:t>Battery capacity and battery lifetime are temperature dependent.</w:t>
      </w:r>
      <w:r>
        <w:rPr>
          <w:rFonts w:cs="Arial"/>
          <w:color w:val="000000"/>
        </w:rPr>
        <w:t xml:space="preserve"> Therefore</w:t>
      </w:r>
      <w:r w:rsidR="002A4EF7">
        <w:rPr>
          <w:rFonts w:cs="Arial"/>
          <w:color w:val="000000"/>
        </w:rPr>
        <w:t>,</w:t>
      </w:r>
      <w:r w:rsidRPr="00600041">
        <w:rPr>
          <w:color w:val="000000"/>
        </w:rPr>
        <w:t xml:space="preserve"> </w:t>
      </w:r>
      <w:r w:rsidR="00791BA2" w:rsidRPr="00600041">
        <w:rPr>
          <w:color w:val="000000"/>
        </w:rPr>
        <w:t xml:space="preserve">the room temperature </w:t>
      </w:r>
      <w:r w:rsidR="002A4EF7">
        <w:rPr>
          <w:color w:val="000000"/>
        </w:rPr>
        <w:t>is</w:t>
      </w:r>
      <w:r w:rsidR="00791BA2" w:rsidRPr="00600041">
        <w:rPr>
          <w:color w:val="000000"/>
        </w:rPr>
        <w:t xml:space="preserve"> monitored continuously.</w:t>
      </w:r>
    </w:p>
    <w:p w:rsidR="00791BA2" w:rsidRDefault="008776ED" w:rsidP="00856F32">
      <w:pPr>
        <w:pStyle w:val="Body"/>
        <w:numPr>
          <w:ilvl w:val="0"/>
          <w:numId w:val="0"/>
        </w:numPr>
        <w:jc w:val="both"/>
      </w:pPr>
      <w:r>
        <w:t>Periodic testing will usually be based on recommendations for each type of battery and typically a battery capacity test at an interval of 1–5 years, depending up</w:t>
      </w:r>
      <w:r w:rsidR="002564C1">
        <w:t>on the condition of the battery</w:t>
      </w:r>
      <w:r>
        <w:t xml:space="preserve"> </w:t>
      </w:r>
      <w:r>
        <w:fldChar w:fldCharType="begin"/>
      </w:r>
      <w:r>
        <w:instrText xml:space="preserve"> REF _Ref451258156 \r \h </w:instrText>
      </w:r>
      <w:r w:rsidR="00CA4B74">
        <w:instrText xml:space="preserve"> \* MERGEFORMAT </w:instrText>
      </w:r>
      <w:r>
        <w:fldChar w:fldCharType="separate"/>
      </w:r>
      <w:r w:rsidR="002A4EF7">
        <w:t>[1]</w:t>
      </w:r>
      <w:r>
        <w:fldChar w:fldCharType="end"/>
      </w:r>
      <w:r w:rsidR="002A4EF7">
        <w:t xml:space="preserve">. </w:t>
      </w:r>
      <w:r w:rsidR="00791BA2">
        <w:t xml:space="preserve">In-service inspections of the battery </w:t>
      </w:r>
      <w:proofErr w:type="gramStart"/>
      <w:r w:rsidR="00791BA2">
        <w:t>include</w:t>
      </w:r>
      <w:r w:rsidR="002A4EF7">
        <w:t>s</w:t>
      </w:r>
      <w:proofErr w:type="gramEnd"/>
      <w:r w:rsidR="00791BA2">
        <w:t xml:space="preserve"> visual as well as technical tests </w:t>
      </w:r>
      <w:r w:rsidR="00791BA2" w:rsidRPr="002A05DE">
        <w:t>[</w:t>
      </w:r>
      <w:r w:rsidR="00791BA2">
        <w:t>1</w:t>
      </w:r>
      <w:r w:rsidR="00791BA2" w:rsidRPr="002A05DE">
        <w:t>]</w:t>
      </w:r>
      <w:r w:rsidR="00791BA2">
        <w:t>:</w:t>
      </w:r>
    </w:p>
    <w:p w:rsidR="00791BA2" w:rsidRPr="00644675" w:rsidRDefault="00791BA2" w:rsidP="003733E8">
      <w:pPr>
        <w:widowControl/>
        <w:suppressAutoHyphens w:val="0"/>
        <w:autoSpaceDE w:val="0"/>
        <w:autoSpaceDN w:val="0"/>
        <w:adjustRightInd w:val="0"/>
        <w:spacing w:before="0" w:after="0" w:line="276" w:lineRule="auto"/>
        <w:ind w:left="426" w:hanging="426"/>
      </w:pPr>
      <w:r>
        <w:t>1)</w:t>
      </w:r>
      <w:r>
        <w:tab/>
      </w:r>
      <w:r w:rsidRPr="00644675">
        <w:t xml:space="preserve">The following tests and inspections </w:t>
      </w:r>
      <w:r w:rsidR="002A4EF7">
        <w:t>are</w:t>
      </w:r>
      <w:r w:rsidRPr="00644675">
        <w:t xml:space="preserve"> performed</w:t>
      </w:r>
      <w:r>
        <w:t xml:space="preserve"> </w:t>
      </w:r>
      <w:r w:rsidRPr="00644675">
        <w:t xml:space="preserve">on a </w:t>
      </w:r>
      <w:r>
        <w:t>regular</w:t>
      </w:r>
      <w:r w:rsidRPr="00644675">
        <w:t xml:space="preserve"> basis</w:t>
      </w:r>
      <w:r>
        <w:t xml:space="preserve"> (e.g. every month)</w:t>
      </w:r>
      <w:r w:rsidRPr="00644675">
        <w:t>:</w:t>
      </w:r>
    </w:p>
    <w:p w:rsidR="00DA28C3" w:rsidRPr="002A4EF7" w:rsidRDefault="00791BA2" w:rsidP="005C65DD">
      <w:pPr>
        <w:widowControl/>
        <w:suppressAutoHyphens w:val="0"/>
        <w:autoSpaceDE w:val="0"/>
        <w:autoSpaceDN w:val="0"/>
        <w:adjustRightInd w:val="0"/>
        <w:spacing w:before="0" w:after="0" w:line="276" w:lineRule="auto"/>
        <w:ind w:left="714" w:hanging="357"/>
      </w:pPr>
      <w:r>
        <w:t>a)</w:t>
      </w:r>
      <w:r>
        <w:tab/>
      </w:r>
      <w:r w:rsidRPr="00644675">
        <w:t xml:space="preserve">Visual inspections </w:t>
      </w:r>
      <w:r w:rsidR="002A4EF7">
        <w:t>are</w:t>
      </w:r>
      <w:r w:rsidRPr="00644675">
        <w:t xml:space="preserve"> performed with regard to</w:t>
      </w:r>
      <w:r>
        <w:t xml:space="preserve"> </w:t>
      </w:r>
      <w:r w:rsidRPr="00644675">
        <w:t>electrolyte level and external condition of the battery.</w:t>
      </w:r>
      <w:r w:rsidRPr="002A4EF7">
        <w:tab/>
      </w:r>
    </w:p>
    <w:p w:rsidR="00791BA2" w:rsidRPr="002A4EF7" w:rsidRDefault="00DA28C3" w:rsidP="005C65DD">
      <w:pPr>
        <w:widowControl/>
        <w:suppressAutoHyphens w:val="0"/>
        <w:autoSpaceDE w:val="0"/>
        <w:autoSpaceDN w:val="0"/>
        <w:adjustRightInd w:val="0"/>
        <w:spacing w:before="0" w:after="0" w:line="276" w:lineRule="auto"/>
        <w:ind w:left="714" w:hanging="357"/>
        <w:rPr>
          <w:i/>
        </w:rPr>
      </w:pPr>
      <w:r w:rsidRPr="002A4EF7">
        <w:rPr>
          <w:i/>
        </w:rPr>
        <w:tab/>
      </w:r>
      <w:r w:rsidR="00791BA2" w:rsidRPr="002A4EF7">
        <w:rPr>
          <w:i/>
        </w:rPr>
        <w:t xml:space="preserve">Note: Special attention </w:t>
      </w:r>
      <w:r w:rsidR="002A4EF7">
        <w:rPr>
          <w:i/>
        </w:rPr>
        <w:t>is</w:t>
      </w:r>
      <w:r w:rsidR="00791BA2" w:rsidRPr="002A4EF7">
        <w:rPr>
          <w:i/>
        </w:rPr>
        <w:t xml:space="preserve"> given to damages of the battery vessels and battery pole corrosion.</w:t>
      </w:r>
    </w:p>
    <w:p w:rsidR="00791BA2" w:rsidRPr="00644675" w:rsidRDefault="00791BA2" w:rsidP="005C65DD">
      <w:pPr>
        <w:widowControl/>
        <w:suppressAutoHyphens w:val="0"/>
        <w:autoSpaceDE w:val="0"/>
        <w:autoSpaceDN w:val="0"/>
        <w:adjustRightInd w:val="0"/>
        <w:spacing w:before="0" w:after="0" w:line="276" w:lineRule="auto"/>
        <w:ind w:left="714" w:hanging="357"/>
      </w:pPr>
      <w:r>
        <w:t>b)</w:t>
      </w:r>
      <w:r>
        <w:tab/>
      </w:r>
      <w:r w:rsidRPr="00644675">
        <w:t xml:space="preserve">The </w:t>
      </w:r>
      <w:r w:rsidR="00E5190D">
        <w:t>floating</w:t>
      </w:r>
      <w:r w:rsidR="00E5190D" w:rsidRPr="00644675">
        <w:t xml:space="preserve"> </w:t>
      </w:r>
      <w:r w:rsidRPr="00644675">
        <w:t xml:space="preserve">charge voltage </w:t>
      </w:r>
      <w:r w:rsidR="002A4EF7">
        <w:t>is</w:t>
      </w:r>
      <w:r w:rsidRPr="00644675">
        <w:t xml:space="preserve"> tested at</w:t>
      </w:r>
      <w:r>
        <w:t xml:space="preserve"> </w:t>
      </w:r>
      <w:r w:rsidRPr="00644675">
        <w:t>the rectifier unit.</w:t>
      </w:r>
    </w:p>
    <w:p w:rsidR="00791BA2" w:rsidRPr="00644675" w:rsidRDefault="00791BA2" w:rsidP="005C65DD">
      <w:pPr>
        <w:widowControl/>
        <w:suppressAutoHyphens w:val="0"/>
        <w:autoSpaceDE w:val="0"/>
        <w:autoSpaceDN w:val="0"/>
        <w:adjustRightInd w:val="0"/>
        <w:spacing w:before="0" w:after="0" w:line="276" w:lineRule="auto"/>
        <w:ind w:left="714" w:hanging="357"/>
      </w:pPr>
      <w:r w:rsidRPr="00644675">
        <w:t>c)</w:t>
      </w:r>
      <w:r>
        <w:tab/>
      </w:r>
      <w:r w:rsidRPr="00644675">
        <w:t>The room temperature and the functioning of the ventilation</w:t>
      </w:r>
      <w:r>
        <w:t xml:space="preserve"> </w:t>
      </w:r>
      <w:r w:rsidRPr="00644675">
        <w:t xml:space="preserve">system </w:t>
      </w:r>
      <w:r w:rsidR="002A4EF7">
        <w:t>is</w:t>
      </w:r>
      <w:r w:rsidRPr="00644675">
        <w:t xml:space="preserve"> checked.</w:t>
      </w:r>
    </w:p>
    <w:p w:rsidR="00791BA2" w:rsidRDefault="00791BA2" w:rsidP="005C65DD">
      <w:pPr>
        <w:widowControl/>
        <w:suppressAutoHyphens w:val="0"/>
        <w:autoSpaceDE w:val="0"/>
        <w:autoSpaceDN w:val="0"/>
        <w:adjustRightInd w:val="0"/>
        <w:spacing w:before="0" w:after="0" w:line="276" w:lineRule="auto"/>
        <w:ind w:left="714" w:hanging="357"/>
      </w:pPr>
      <w:r>
        <w:t>d)</w:t>
      </w:r>
      <w:r>
        <w:tab/>
      </w:r>
      <w:r w:rsidRPr="00644675">
        <w:t xml:space="preserve">The electrolyte density </w:t>
      </w:r>
      <w:r w:rsidR="002A4EF7">
        <w:t>is</w:t>
      </w:r>
      <w:r w:rsidRPr="00644675">
        <w:t xml:space="preserve"> tested in a monthly sequence</w:t>
      </w:r>
      <w:r>
        <w:t xml:space="preserve"> </w:t>
      </w:r>
      <w:r w:rsidRPr="00644675">
        <w:t>on at least 10 % of the battery cells and, additionally,</w:t>
      </w:r>
      <w:r>
        <w:t xml:space="preserve"> </w:t>
      </w:r>
      <w:r w:rsidRPr="00644675">
        <w:t>in those cells where the cell voltage had been too</w:t>
      </w:r>
      <w:r>
        <w:t xml:space="preserve"> </w:t>
      </w:r>
      <w:r w:rsidRPr="00644675">
        <w:t>low in previous tests.</w:t>
      </w:r>
    </w:p>
    <w:p w:rsidR="00791BA2" w:rsidRPr="00545A91" w:rsidRDefault="00791BA2" w:rsidP="003733E8">
      <w:pPr>
        <w:widowControl/>
        <w:suppressAutoHyphens w:val="0"/>
        <w:autoSpaceDE w:val="0"/>
        <w:autoSpaceDN w:val="0"/>
        <w:adjustRightInd w:val="0"/>
        <w:spacing w:before="0" w:after="0" w:line="276" w:lineRule="auto"/>
        <w:ind w:left="426" w:hanging="426"/>
      </w:pPr>
      <w:r>
        <w:t>2)</w:t>
      </w:r>
      <w:r>
        <w:tab/>
      </w:r>
      <w:r w:rsidRPr="00545A91">
        <w:t>The cell voltage and the electrolyte density of all cells</w:t>
      </w:r>
      <w:r>
        <w:t xml:space="preserve"> </w:t>
      </w:r>
      <w:r w:rsidR="002A4EF7">
        <w:t>are</w:t>
      </w:r>
      <w:r w:rsidRPr="00545A91">
        <w:t xml:space="preserve"> tested during </w:t>
      </w:r>
      <w:r w:rsidR="00016AB3">
        <w:t xml:space="preserve">or after </w:t>
      </w:r>
      <w:r w:rsidRPr="00545A91">
        <w:t>charge operation.</w:t>
      </w:r>
      <w:r>
        <w:t xml:space="preserve"> </w:t>
      </w:r>
      <w:r w:rsidRPr="00545A91">
        <w:t xml:space="preserve">The testing interval </w:t>
      </w:r>
      <w:r w:rsidR="002A4EF7">
        <w:t xml:space="preserve">is </w:t>
      </w:r>
      <w:r w:rsidRPr="00545A91">
        <w:t xml:space="preserve">not </w:t>
      </w:r>
      <w:r w:rsidR="002A4EF7">
        <w:t>l</w:t>
      </w:r>
      <w:r w:rsidRPr="00545A91">
        <w:t xml:space="preserve">arger than 12 </w:t>
      </w:r>
      <w:r>
        <w:t xml:space="preserve">to </w:t>
      </w:r>
      <w:r w:rsidR="00556B4B">
        <w:t xml:space="preserve">24 </w:t>
      </w:r>
      <w:r w:rsidRPr="00545A91">
        <w:t>months</w:t>
      </w:r>
      <w:r>
        <w:t xml:space="preserve"> (depending on the planned outage schedule).</w:t>
      </w:r>
    </w:p>
    <w:p w:rsidR="00791BA2" w:rsidRDefault="00791BA2" w:rsidP="003733E8">
      <w:pPr>
        <w:widowControl/>
        <w:suppressAutoHyphens w:val="0"/>
        <w:autoSpaceDE w:val="0"/>
        <w:autoSpaceDN w:val="0"/>
        <w:adjustRightInd w:val="0"/>
        <w:spacing w:before="0" w:after="0" w:line="276" w:lineRule="auto"/>
        <w:ind w:left="426" w:hanging="426"/>
      </w:pPr>
      <w:r>
        <w:t>3)</w:t>
      </w:r>
      <w:r>
        <w:tab/>
      </w:r>
      <w:r w:rsidRPr="00545A91">
        <w:t xml:space="preserve">Capacity tests </w:t>
      </w:r>
      <w:r w:rsidR="002A4EF7">
        <w:t>are</w:t>
      </w:r>
      <w:r w:rsidRPr="00545A91">
        <w:t xml:space="preserve"> performed in maximum intervals of 5 years.</w:t>
      </w:r>
      <w:r>
        <w:t xml:space="preserve"> </w:t>
      </w:r>
      <w:r w:rsidRPr="00545A91">
        <w:t xml:space="preserve">These tests </w:t>
      </w:r>
      <w:r w:rsidR="002A4EF7">
        <w:t>are</w:t>
      </w:r>
      <w:r w:rsidRPr="00545A91">
        <w:t xml:space="preserve"> performed in a staggered time sequence,</w:t>
      </w:r>
      <w:r>
        <w:t xml:space="preserve"> </w:t>
      </w:r>
      <w:r w:rsidRPr="00545A91">
        <w:t>e.g. each year one train.</w:t>
      </w:r>
    </w:p>
    <w:p w:rsidR="00791BA2" w:rsidRPr="00545A91" w:rsidRDefault="00791BA2" w:rsidP="003733E8">
      <w:pPr>
        <w:widowControl/>
        <w:suppressAutoHyphens w:val="0"/>
        <w:autoSpaceDE w:val="0"/>
        <w:autoSpaceDN w:val="0"/>
        <w:adjustRightInd w:val="0"/>
        <w:spacing w:before="0" w:after="0" w:line="276" w:lineRule="auto"/>
        <w:ind w:left="426" w:hanging="426"/>
      </w:pPr>
      <w:r>
        <w:t>4)</w:t>
      </w:r>
      <w:r>
        <w:tab/>
      </w:r>
      <w:r w:rsidRPr="00545A91">
        <w:t>In the case of paralleled battery fuses</w:t>
      </w:r>
      <w:r>
        <w:t>,</w:t>
      </w:r>
      <w:r w:rsidRPr="00545A91">
        <w:t xml:space="preserve"> the symmetry of</w:t>
      </w:r>
      <w:r>
        <w:t xml:space="preserve"> </w:t>
      </w:r>
      <w:r w:rsidRPr="00545A91">
        <w:t xml:space="preserve">the current distribution </w:t>
      </w:r>
      <w:r w:rsidR="002A4EF7">
        <w:t>is</w:t>
      </w:r>
      <w:r w:rsidRPr="00545A91">
        <w:t xml:space="preserve"> tested. This test </w:t>
      </w:r>
      <w:r w:rsidR="002A4EF7">
        <w:t>is</w:t>
      </w:r>
      <w:r>
        <w:t xml:space="preserve"> </w:t>
      </w:r>
      <w:r w:rsidRPr="00545A91">
        <w:t>performed in conjunction with the in</w:t>
      </w:r>
      <w:r>
        <w:t>-</w:t>
      </w:r>
      <w:r w:rsidRPr="00545A91">
        <w:t>service capacity tests.</w:t>
      </w:r>
    </w:p>
    <w:p w:rsidR="00791BA2" w:rsidRDefault="00791BA2" w:rsidP="003733E8">
      <w:pPr>
        <w:widowControl/>
        <w:suppressAutoHyphens w:val="0"/>
        <w:autoSpaceDE w:val="0"/>
        <w:autoSpaceDN w:val="0"/>
        <w:adjustRightInd w:val="0"/>
        <w:spacing w:before="0" w:after="0" w:line="276" w:lineRule="auto"/>
        <w:ind w:left="426" w:hanging="426"/>
      </w:pPr>
      <w:r>
        <w:t>5)</w:t>
      </w:r>
      <w:r>
        <w:tab/>
      </w:r>
      <w:r w:rsidRPr="00545A91">
        <w:t xml:space="preserve">The cell connectors </w:t>
      </w:r>
      <w:r w:rsidR="002A4EF7">
        <w:t>are</w:t>
      </w:r>
      <w:r w:rsidRPr="00545A91">
        <w:t xml:space="preserve"> tested for an impermissibly</w:t>
      </w:r>
      <w:r>
        <w:t xml:space="preserve"> </w:t>
      </w:r>
      <w:r w:rsidRPr="00545A91">
        <w:t xml:space="preserve">high transition resistance. This test </w:t>
      </w:r>
      <w:r w:rsidR="002A4EF7">
        <w:t>is</w:t>
      </w:r>
      <w:r w:rsidRPr="00545A91">
        <w:t xml:space="preserve"> performed in</w:t>
      </w:r>
      <w:r>
        <w:t xml:space="preserve"> </w:t>
      </w:r>
      <w:r w:rsidRPr="00545A91">
        <w:t>conjunction with the in</w:t>
      </w:r>
      <w:r>
        <w:t>-</w:t>
      </w:r>
      <w:r w:rsidRPr="00545A91">
        <w:t>service capacity tests.</w:t>
      </w:r>
    </w:p>
    <w:p w:rsidR="002564C1" w:rsidRDefault="002564C1" w:rsidP="003733E8">
      <w:pPr>
        <w:widowControl/>
        <w:suppressAutoHyphens w:val="0"/>
        <w:autoSpaceDE w:val="0"/>
        <w:autoSpaceDN w:val="0"/>
        <w:adjustRightInd w:val="0"/>
        <w:spacing w:before="0" w:after="0" w:line="276" w:lineRule="auto"/>
        <w:ind w:left="426" w:hanging="426"/>
      </w:pPr>
      <w:r>
        <w:t>6)</w:t>
      </w:r>
      <w:r>
        <w:tab/>
        <w:t>Verification of temperature of representative cells</w:t>
      </w:r>
    </w:p>
    <w:p w:rsidR="00576263" w:rsidRPr="002A4EF7" w:rsidRDefault="008F1D3B" w:rsidP="003733E8">
      <w:pPr>
        <w:widowControl/>
        <w:tabs>
          <w:tab w:val="left" w:pos="426"/>
        </w:tabs>
        <w:suppressAutoHyphens w:val="0"/>
        <w:autoSpaceDE w:val="0"/>
        <w:autoSpaceDN w:val="0"/>
        <w:adjustRightInd w:val="0"/>
        <w:spacing w:before="0" w:after="0" w:line="276" w:lineRule="auto"/>
        <w:ind w:left="426"/>
        <w:rPr>
          <w:i/>
        </w:rPr>
      </w:pPr>
      <w:r w:rsidRPr="002A4EF7">
        <w:rPr>
          <w:i/>
        </w:rPr>
        <w:t xml:space="preserve">Note: The methods based on internal impedance measurement include some uncertainties due to the complexity of the </w:t>
      </w:r>
      <w:r w:rsidR="008C1746" w:rsidRPr="002A4EF7">
        <w:rPr>
          <w:i/>
        </w:rPr>
        <w:t>ageing</w:t>
      </w:r>
      <w:r w:rsidRPr="002A4EF7">
        <w:rPr>
          <w:i/>
        </w:rPr>
        <w:t xml:space="preserve"> phenomena and the quality of the measure’s circuits. </w:t>
      </w:r>
      <w:r w:rsidRPr="002A4EF7">
        <w:rPr>
          <w:rFonts w:cs="Arial"/>
          <w:i/>
        </w:rPr>
        <w:t xml:space="preserve">For certain phenomena like the corrosion of the collectors of positive current in lead batteries, </w:t>
      </w:r>
      <w:r w:rsidR="00CF315B" w:rsidRPr="002A4EF7">
        <w:rPr>
          <w:rFonts w:cs="Arial"/>
          <w:i/>
        </w:rPr>
        <w:t xml:space="preserve">there are hints for a short remaining </w:t>
      </w:r>
      <w:proofErr w:type="gramStart"/>
      <w:r w:rsidR="00CF315B" w:rsidRPr="002A4EF7">
        <w:rPr>
          <w:rFonts w:cs="Arial"/>
          <w:i/>
        </w:rPr>
        <w:t>life time</w:t>
      </w:r>
      <w:proofErr w:type="gramEnd"/>
      <w:r w:rsidRPr="002A4EF7">
        <w:rPr>
          <w:rFonts w:cs="Arial"/>
          <w:i/>
        </w:rPr>
        <w:t xml:space="preserve">, when the collector (plates or thorns) starts dispersing itself </w:t>
      </w:r>
      <w:r w:rsidR="00CF315B" w:rsidRPr="002A4EF7">
        <w:rPr>
          <w:rFonts w:cs="Arial"/>
          <w:i/>
        </w:rPr>
        <w:t>and thus,</w:t>
      </w:r>
      <w:r w:rsidRPr="002A4EF7">
        <w:rPr>
          <w:rFonts w:cs="Arial"/>
          <w:i/>
        </w:rPr>
        <w:t xml:space="preserve"> the impedance of the batteries grows in a meaningful manner. Nevertheless, a first diverging element in a battery can be an early signal to take in</w:t>
      </w:r>
      <w:r w:rsidR="00CF315B" w:rsidRPr="002A4EF7">
        <w:rPr>
          <w:rFonts w:cs="Arial"/>
          <w:i/>
        </w:rPr>
        <w:t>to</w:t>
      </w:r>
      <w:r w:rsidRPr="002A4EF7">
        <w:rPr>
          <w:rFonts w:cs="Arial"/>
          <w:i/>
        </w:rPr>
        <w:t xml:space="preserve"> account.</w:t>
      </w:r>
      <w:r w:rsidRPr="002A4EF7">
        <w:rPr>
          <w:i/>
        </w:rPr>
        <w:t xml:space="preserve"> </w:t>
      </w:r>
    </w:p>
    <w:p w:rsidR="00CA4B74" w:rsidRPr="003733E8" w:rsidRDefault="00CA4B74" w:rsidP="00856F32"/>
    <w:p w:rsidR="00791BA2" w:rsidRDefault="00791BA2" w:rsidP="00856F32">
      <w:pPr>
        <w:pStyle w:val="IGALLTitle3"/>
        <w:ind w:left="426" w:hanging="426"/>
      </w:pPr>
      <w:r w:rsidRPr="005C6653">
        <w:t>Monitoring</w:t>
      </w:r>
      <w:r>
        <w:t xml:space="preserve"> and trending of ageing effects</w:t>
      </w:r>
      <w:r w:rsidR="00645EC7">
        <w:t>:</w:t>
      </w:r>
    </w:p>
    <w:p w:rsidR="00791BA2" w:rsidRDefault="00791BA2" w:rsidP="00856F32">
      <w:r w:rsidRPr="00061825">
        <w:t xml:space="preserve">Trending actions </w:t>
      </w:r>
      <w:r w:rsidR="002A4EF7">
        <w:t>are</w:t>
      </w:r>
      <w:r w:rsidRPr="00061825">
        <w:t xml:space="preserve"> included as part of this AMP in order to cover the performance drift of the cell voltage, of the electrolyte density, and of the capacity of each of the battery cells. This is an excellent measure and provides adequate information on the rate of degradation.</w:t>
      </w:r>
    </w:p>
    <w:p w:rsidR="00CA4B74" w:rsidRPr="003733E8" w:rsidRDefault="00CA4B74" w:rsidP="00856F32"/>
    <w:p w:rsidR="00791BA2" w:rsidRDefault="00791BA2" w:rsidP="00856F32">
      <w:pPr>
        <w:pStyle w:val="IGALLTitle3"/>
        <w:ind w:left="426" w:hanging="426"/>
      </w:pPr>
      <w:r>
        <w:t>Mitigating ageing effects</w:t>
      </w:r>
      <w:r w:rsidR="00645EC7">
        <w:t>:</w:t>
      </w:r>
    </w:p>
    <w:p w:rsidR="00791BA2" w:rsidRPr="00600041" w:rsidRDefault="00791BA2" w:rsidP="00856F32">
      <w:pPr>
        <w:rPr>
          <w:color w:val="000000"/>
        </w:rPr>
      </w:pPr>
      <w:r w:rsidRPr="00600041">
        <w:rPr>
          <w:color w:val="000000"/>
        </w:rPr>
        <w:lastRenderedPageBreak/>
        <w:t xml:space="preserve">This </w:t>
      </w:r>
      <w:r w:rsidR="00C21A66" w:rsidRPr="00600041">
        <w:rPr>
          <w:color w:val="000000"/>
        </w:rPr>
        <w:t xml:space="preserve">programme </w:t>
      </w:r>
      <w:r w:rsidRPr="00600041">
        <w:rPr>
          <w:color w:val="000000"/>
        </w:rPr>
        <w:t>is a condition monitoring program</w:t>
      </w:r>
      <w:r w:rsidR="00CA4B74">
        <w:rPr>
          <w:color w:val="000000"/>
        </w:rPr>
        <w:t>me</w:t>
      </w:r>
      <w:r w:rsidRPr="00600041">
        <w:rPr>
          <w:color w:val="000000"/>
        </w:rPr>
        <w:t xml:space="preserve">. This </w:t>
      </w:r>
      <w:r w:rsidR="00C21A66" w:rsidRPr="00600041">
        <w:rPr>
          <w:color w:val="000000"/>
        </w:rPr>
        <w:t xml:space="preserve">programme </w:t>
      </w:r>
      <w:r w:rsidRPr="00600041">
        <w:rPr>
          <w:color w:val="000000"/>
        </w:rPr>
        <w:t>has no specific operations, maintenance, and repair aspects except the replacement before the end of the expected lifetime of the battery.</w:t>
      </w:r>
    </w:p>
    <w:p w:rsidR="00CA4B74" w:rsidRPr="003733E8" w:rsidRDefault="00CA4B74" w:rsidP="00856F32"/>
    <w:p w:rsidR="00791BA2" w:rsidRDefault="00791BA2" w:rsidP="00856F32">
      <w:pPr>
        <w:pStyle w:val="IGALLTitle3"/>
        <w:ind w:left="426" w:hanging="426"/>
      </w:pPr>
      <w:r>
        <w:t>Acceptance criteria</w:t>
      </w:r>
      <w:r w:rsidR="00645EC7">
        <w:t>:</w:t>
      </w:r>
    </w:p>
    <w:p w:rsidR="00791BA2" w:rsidRPr="00600041" w:rsidRDefault="00791BA2" w:rsidP="00856F32">
      <w:pPr>
        <w:rPr>
          <w:color w:val="000000"/>
        </w:rPr>
      </w:pPr>
      <w:r w:rsidRPr="00600041">
        <w:rPr>
          <w:color w:val="000000"/>
        </w:rPr>
        <w:t>All of the physical parameters</w:t>
      </w:r>
      <w:r w:rsidR="00022895" w:rsidRPr="00600041">
        <w:rPr>
          <w:color w:val="000000"/>
        </w:rPr>
        <w:t xml:space="preserve"> mentioned in attribute 3</w:t>
      </w:r>
      <w:r w:rsidRPr="00600041">
        <w:rPr>
          <w:color w:val="000000"/>
        </w:rPr>
        <w:t xml:space="preserve"> shall be within the predicted acceptance criteria.</w:t>
      </w:r>
    </w:p>
    <w:p w:rsidR="00791BA2" w:rsidRPr="00600041" w:rsidRDefault="00791BA2" w:rsidP="00856F32">
      <w:pPr>
        <w:rPr>
          <w:color w:val="000000"/>
        </w:rPr>
      </w:pPr>
      <w:r w:rsidRPr="00600041">
        <w:rPr>
          <w:color w:val="000000"/>
        </w:rPr>
        <w:t xml:space="preserve">Deviations of the expected trends can provide significant information in an early stage. Evaluations </w:t>
      </w:r>
      <w:r w:rsidR="002A4EF7">
        <w:rPr>
          <w:color w:val="000000"/>
        </w:rPr>
        <w:t xml:space="preserve">are </w:t>
      </w:r>
      <w:r w:rsidRPr="00600041">
        <w:rPr>
          <w:color w:val="000000"/>
        </w:rPr>
        <w:t>then</w:t>
      </w:r>
      <w:r w:rsidR="002A4EF7">
        <w:rPr>
          <w:color w:val="000000"/>
        </w:rPr>
        <w:t xml:space="preserve"> </w:t>
      </w:r>
      <w:r w:rsidR="009C058B" w:rsidRPr="00600041">
        <w:rPr>
          <w:color w:val="000000"/>
        </w:rPr>
        <w:t>performed,</w:t>
      </w:r>
      <w:r w:rsidRPr="00600041">
        <w:rPr>
          <w:color w:val="000000"/>
        </w:rPr>
        <w:t xml:space="preserve"> and appropriate </w:t>
      </w:r>
      <w:r w:rsidRPr="00061825">
        <w:rPr>
          <w:rFonts w:cs="Arial"/>
          <w:color w:val="000000"/>
        </w:rPr>
        <w:t>countermeasures</w:t>
      </w:r>
      <w:r w:rsidRPr="00600041">
        <w:rPr>
          <w:color w:val="000000"/>
        </w:rPr>
        <w:t xml:space="preserve"> can be taken.</w:t>
      </w:r>
    </w:p>
    <w:p w:rsidR="00CA4B74" w:rsidRPr="009C058B" w:rsidRDefault="00CA4B74" w:rsidP="00856F32">
      <w:pPr>
        <w:rPr>
          <w:color w:val="000000"/>
        </w:rPr>
      </w:pPr>
    </w:p>
    <w:p w:rsidR="00791BA2" w:rsidRDefault="00791BA2" w:rsidP="00856F32">
      <w:pPr>
        <w:pStyle w:val="IGALLTitle3"/>
        <w:ind w:left="426" w:hanging="426"/>
      </w:pPr>
      <w:r>
        <w:t>Corrective actions</w:t>
      </w:r>
      <w:r w:rsidR="00645EC7">
        <w:t>:</w:t>
      </w:r>
    </w:p>
    <w:p w:rsidR="00791BA2" w:rsidRPr="00600041" w:rsidRDefault="00791BA2" w:rsidP="00856F32">
      <w:pPr>
        <w:rPr>
          <w:color w:val="000000"/>
        </w:rPr>
      </w:pPr>
      <w:r w:rsidRPr="00600041">
        <w:rPr>
          <w:color w:val="000000"/>
        </w:rPr>
        <w:t xml:space="preserve">An engineering evaluation is performed that considers the extent of the condition. Corrective actions are taken if acceptance criteria are not met. </w:t>
      </w:r>
    </w:p>
    <w:p w:rsidR="00791BA2" w:rsidRPr="00600041" w:rsidRDefault="00791BA2" w:rsidP="00856F32">
      <w:pPr>
        <w:rPr>
          <w:color w:val="000000"/>
        </w:rPr>
      </w:pPr>
      <w:r w:rsidRPr="00600041">
        <w:rPr>
          <w:color w:val="000000"/>
        </w:rPr>
        <w:t xml:space="preserve">Because in almost all of the reported events, deviations of physical parameters occurred at single cells only, an additional survey </w:t>
      </w:r>
      <w:r w:rsidR="00C21A66" w:rsidRPr="00600041">
        <w:rPr>
          <w:color w:val="000000"/>
        </w:rPr>
        <w:t xml:space="preserve">programme </w:t>
      </w:r>
      <w:r w:rsidRPr="00600041">
        <w:rPr>
          <w:color w:val="000000"/>
        </w:rPr>
        <w:t xml:space="preserve">such as increased inspection frequency of the affected cells </w:t>
      </w:r>
      <w:r w:rsidR="002A4EF7">
        <w:rPr>
          <w:color w:val="000000"/>
        </w:rPr>
        <w:t>is</w:t>
      </w:r>
      <w:r w:rsidRPr="00600041">
        <w:rPr>
          <w:color w:val="000000"/>
        </w:rPr>
        <w:t xml:space="preserve"> sufficient.</w:t>
      </w:r>
    </w:p>
    <w:p w:rsidR="00791BA2" w:rsidRPr="00600041" w:rsidRDefault="00791BA2" w:rsidP="00856F32">
      <w:pPr>
        <w:rPr>
          <w:color w:val="000000"/>
        </w:rPr>
      </w:pPr>
      <w:r w:rsidRPr="00600041">
        <w:rPr>
          <w:color w:val="000000"/>
        </w:rPr>
        <w:t xml:space="preserve">If the </w:t>
      </w:r>
      <w:r>
        <w:rPr>
          <w:rFonts w:cs="Arial"/>
          <w:color w:val="000000"/>
        </w:rPr>
        <w:t>countermeasures program</w:t>
      </w:r>
      <w:r w:rsidRPr="00600041">
        <w:rPr>
          <w:color w:val="000000"/>
        </w:rPr>
        <w:t xml:space="preserve">, like the exchange of the electrolyte, is not sufficient, corrective actions </w:t>
      </w:r>
      <w:r w:rsidR="002A4EF7">
        <w:rPr>
          <w:color w:val="000000"/>
        </w:rPr>
        <w:t>are</w:t>
      </w:r>
      <w:r w:rsidRPr="00600041">
        <w:rPr>
          <w:color w:val="000000"/>
        </w:rPr>
        <w:t xml:space="preserve"> performed. This may include replacement or repair of the affected cells or even the battery in total.</w:t>
      </w:r>
    </w:p>
    <w:p w:rsidR="00CA4B74" w:rsidRPr="009C058B" w:rsidRDefault="00CA4B74" w:rsidP="00856F32">
      <w:pPr>
        <w:rPr>
          <w:color w:val="000000"/>
        </w:rPr>
      </w:pPr>
    </w:p>
    <w:p w:rsidR="00791BA2" w:rsidRPr="001C2359" w:rsidRDefault="001C2359" w:rsidP="00856F32">
      <w:pPr>
        <w:pStyle w:val="IGALLTitle3"/>
        <w:ind w:left="426" w:hanging="426"/>
      </w:pPr>
      <w:r w:rsidRPr="001C2359">
        <w:t>Operating experience feedback and feedback of research and development results:</w:t>
      </w:r>
    </w:p>
    <w:p w:rsidR="00281D9D" w:rsidRDefault="00281D9D" w:rsidP="00856F32">
      <w: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rsidR="00CF548B" w:rsidRDefault="00D34C8F" w:rsidP="00856F32">
      <w:r>
        <w:t xml:space="preserve">Some relevant operating experience events </w:t>
      </w:r>
      <w:r w:rsidR="000A4AC5">
        <w:t>were identified for the batteries.</w:t>
      </w:r>
      <w:r w:rsidR="00325BEC" w:rsidRPr="00325BEC">
        <w:t xml:space="preserve"> </w:t>
      </w:r>
      <w:r w:rsidR="00325BEC">
        <w:t xml:space="preserve">Vital battery individual cell voltage that was below the Technical Specification allowable value was identified during the </w:t>
      </w:r>
      <w:r w:rsidR="00325BEC" w:rsidRPr="00325BEC">
        <w:t>quarterly surveillance</w:t>
      </w:r>
      <w:r w:rsidR="00325BEC">
        <w:t xml:space="preserve"> test </w:t>
      </w:r>
      <w:r w:rsidR="00325BEC">
        <w:fldChar w:fldCharType="begin"/>
      </w:r>
      <w:r w:rsidR="00325BEC">
        <w:instrText xml:space="preserve"> REF _Ref451259535 \r \h </w:instrText>
      </w:r>
      <w:r w:rsidR="00CA4B74">
        <w:instrText xml:space="preserve"> \* MERGEFORMAT </w:instrText>
      </w:r>
      <w:r w:rsidR="00325BEC">
        <w:fldChar w:fldCharType="separate"/>
      </w:r>
      <w:r w:rsidR="002A4EF7">
        <w:t>[4]</w:t>
      </w:r>
      <w:r w:rsidR="00325BEC">
        <w:fldChar w:fldCharType="end"/>
      </w:r>
      <w:r w:rsidR="00325BEC">
        <w:t xml:space="preserve">. The cause of this event was a small internal short circuit, causing a low voltage condition on one vital battery cell. </w:t>
      </w:r>
    </w:p>
    <w:p w:rsidR="00D34C8F" w:rsidRDefault="00325BEC" w:rsidP="00856F32">
      <w:r>
        <w:t xml:space="preserve">Low cell voltage for two battery cells resulting from battery plate material shedding was registered </w:t>
      </w:r>
      <w:r>
        <w:fldChar w:fldCharType="begin"/>
      </w:r>
      <w:r>
        <w:instrText xml:space="preserve"> REF _Ref451259835 \r \h </w:instrText>
      </w:r>
      <w:r w:rsidR="00CA4B74">
        <w:instrText xml:space="preserve"> \* MERGEFORMAT </w:instrText>
      </w:r>
      <w:r>
        <w:fldChar w:fldCharType="separate"/>
      </w:r>
      <w:r w:rsidR="002A4EF7">
        <w:t>[5]</w:t>
      </w:r>
      <w:r>
        <w:fldChar w:fldCharType="end"/>
      </w:r>
      <w:r>
        <w:t xml:space="preserve">. </w:t>
      </w:r>
    </w:p>
    <w:p w:rsidR="00325BEC" w:rsidRDefault="00735573" w:rsidP="00856F32">
      <w:r>
        <w:t>Events of inoperable b</w:t>
      </w:r>
      <w:r w:rsidRPr="00735573">
        <w:t>attery</w:t>
      </w:r>
      <w:r>
        <w:t xml:space="preserve"> resulting from</w:t>
      </w:r>
      <w:r w:rsidRPr="00735573">
        <w:t xml:space="preserve"> </w:t>
      </w:r>
      <w:r>
        <w:t>loose intercell c</w:t>
      </w:r>
      <w:r w:rsidRPr="00735573">
        <w:t xml:space="preserve">onnecting </w:t>
      </w:r>
      <w:r>
        <w:t xml:space="preserve">were registered </w:t>
      </w:r>
      <w:r>
        <w:fldChar w:fldCharType="begin"/>
      </w:r>
      <w:r>
        <w:instrText xml:space="preserve"> REF _Ref451261855 \r \h </w:instrText>
      </w:r>
      <w:r w:rsidR="00CA4B74">
        <w:instrText xml:space="preserve"> \* MERGEFORMAT </w:instrText>
      </w:r>
      <w:r>
        <w:fldChar w:fldCharType="separate"/>
      </w:r>
      <w:r w:rsidR="002A4EF7">
        <w:t>[6]</w:t>
      </w:r>
      <w:r>
        <w:fldChar w:fldCharType="end"/>
      </w:r>
      <w:r>
        <w:t>.</w:t>
      </w:r>
      <w:r w:rsidRPr="00735573">
        <w:t xml:space="preserve"> </w:t>
      </w:r>
    </w:p>
    <w:p w:rsidR="00735573" w:rsidRDefault="00735573" w:rsidP="00856F32">
      <w:r>
        <w:t>Accelerated ag</w:t>
      </w:r>
      <w:r w:rsidR="00CA4B74">
        <w:t>e</w:t>
      </w:r>
      <w:r>
        <w:t>ing and d</w:t>
      </w:r>
      <w:r w:rsidRPr="00735573">
        <w:t>egradation</w:t>
      </w:r>
      <w:r>
        <w:t xml:space="preserve"> of station b</w:t>
      </w:r>
      <w:r w:rsidRPr="00735573">
        <w:t xml:space="preserve">attery </w:t>
      </w:r>
      <w:r>
        <w:t>due to manufacturing i</w:t>
      </w:r>
      <w:r w:rsidRPr="00735573">
        <w:t xml:space="preserve">mpurities </w:t>
      </w:r>
      <w:r>
        <w:t>resulting in shortened service l</w:t>
      </w:r>
      <w:r w:rsidRPr="00735573">
        <w:t xml:space="preserve">ife </w:t>
      </w:r>
      <w:r>
        <w:t>was reported</w:t>
      </w:r>
      <w:r w:rsidR="00B25C0D">
        <w:t xml:space="preserve"> </w:t>
      </w:r>
      <w:r w:rsidR="00B25C0D">
        <w:fldChar w:fldCharType="begin"/>
      </w:r>
      <w:r w:rsidR="00B25C0D">
        <w:instrText xml:space="preserve"> REF _Ref451262011 \r \h </w:instrText>
      </w:r>
      <w:r w:rsidR="00CA4B74">
        <w:instrText xml:space="preserve"> \* MERGEFORMAT </w:instrText>
      </w:r>
      <w:r w:rsidR="00B25C0D">
        <w:fldChar w:fldCharType="separate"/>
      </w:r>
      <w:r w:rsidR="002A4EF7">
        <w:t>[7]</w:t>
      </w:r>
      <w:r w:rsidR="00B25C0D">
        <w:fldChar w:fldCharType="end"/>
      </w:r>
      <w:r>
        <w:t>.</w:t>
      </w:r>
      <w:r w:rsidRPr="00735573">
        <w:t xml:space="preserve"> </w:t>
      </w:r>
    </w:p>
    <w:p w:rsidR="00CF548B" w:rsidRDefault="00CF548B" w:rsidP="00856F32">
      <w:r w:rsidRPr="00CF548B">
        <w:t>Pole corrosion due to insufficient tightness of the pole inlets which led to formation of lead sulfate on the poles above the inlets after sulfur acid was drawn through them (capillary effect)</w:t>
      </w:r>
      <w:r>
        <w:t xml:space="preserve"> [8]</w:t>
      </w:r>
    </w:p>
    <w:p w:rsidR="00791BA2" w:rsidRDefault="00791BA2" w:rsidP="00856F32">
      <w:r>
        <w:t xml:space="preserve">Operating experience has shown that most of the detected failures have occurred on batteries caused by manufacturing defects such as failures of plates due to changes in the manufacturing process. Changes in sulfuric acid concentration were also found long before the end of the </w:t>
      </w:r>
      <w:r>
        <w:lastRenderedPageBreak/>
        <w:t xml:space="preserve">desired lifetime. Chipping (or shedding) of cell plates that might lead to a short circuit within the cell </w:t>
      </w:r>
      <w:r w:rsidR="00282DED">
        <w:t>were</w:t>
      </w:r>
      <w:r>
        <w:t xml:space="preserve"> detected as well.The </w:t>
      </w:r>
      <w:r w:rsidR="00C21A66">
        <w:t xml:space="preserve">programme </w:t>
      </w:r>
      <w:r>
        <w:t xml:space="preserve">includes provisions for the continuous review of plant-specific and industry operating experience, including research and development results, such that the impact on the </w:t>
      </w:r>
      <w:r w:rsidR="00C21A66">
        <w:t xml:space="preserve">programme </w:t>
      </w:r>
      <w:r>
        <w:t xml:space="preserve">is evaluated and any necessary actions or modifications to the </w:t>
      </w:r>
      <w:r w:rsidR="00C21A66">
        <w:t xml:space="preserve">programme </w:t>
      </w:r>
      <w:r>
        <w:t>are performed.</w:t>
      </w:r>
    </w:p>
    <w:p w:rsidR="00162199" w:rsidRDefault="00162199" w:rsidP="00856F32">
      <w:r w:rsidRPr="00162199">
        <w:t>At the time when this AMP was produced, no relevant R&amp;D was identified.</w:t>
      </w:r>
    </w:p>
    <w:p w:rsidR="00CA4B74" w:rsidRPr="009C058B" w:rsidRDefault="00CA4B74" w:rsidP="00856F32">
      <w:pPr>
        <w:rPr>
          <w:color w:val="000000"/>
        </w:rPr>
      </w:pPr>
    </w:p>
    <w:p w:rsidR="00791BA2" w:rsidRPr="005C6653" w:rsidRDefault="00791BA2" w:rsidP="00856F32">
      <w:pPr>
        <w:pStyle w:val="IGALLTitle3"/>
        <w:ind w:left="426" w:hanging="426"/>
      </w:pPr>
      <w:r w:rsidRPr="005C6653">
        <w:t>Quality management</w:t>
      </w:r>
      <w:r w:rsidR="00645EC7">
        <w:t>:</w:t>
      </w:r>
      <w:r w:rsidRPr="005C6653">
        <w:t xml:space="preserve"> </w:t>
      </w:r>
    </w:p>
    <w:p w:rsidR="00BE031E" w:rsidRPr="00600041" w:rsidRDefault="00BE031E" w:rsidP="00856F32">
      <w:pPr>
        <w:rPr>
          <w:color w:val="000000"/>
        </w:rPr>
      </w:pPr>
      <w:r w:rsidRPr="00600041">
        <w:rPr>
          <w:color w:val="000000"/>
        </w:rPr>
        <w:t>Site quality assurance procedures, review and approval processes, and administrative controls are implemented in accordance with the different national regulatory requirements (e.g., 10 CFR 50, Appendix B</w:t>
      </w:r>
      <w:r w:rsidR="00803956" w:rsidRPr="00600041">
        <w:rPr>
          <w:color w:val="000000"/>
        </w:rPr>
        <w:t xml:space="preserve"> </w:t>
      </w:r>
      <w:r w:rsidR="00BE7A75">
        <w:rPr>
          <w:rFonts w:eastAsia="Arial"/>
          <w:color w:val="000000"/>
          <w:lang w:eastAsia="ja-JP"/>
        </w:rPr>
        <w:fldChar w:fldCharType="begin"/>
      </w:r>
      <w:r w:rsidR="00BE7A75">
        <w:rPr>
          <w:rFonts w:eastAsia="Arial"/>
          <w:color w:val="000000"/>
          <w:lang w:eastAsia="ja-JP"/>
        </w:rPr>
        <w:instrText xml:space="preserve"> REF _Ref451258236 \r \h </w:instrText>
      </w:r>
      <w:r w:rsidR="00CA4B74">
        <w:rPr>
          <w:rFonts w:eastAsia="Arial"/>
          <w:color w:val="000000"/>
          <w:lang w:eastAsia="ja-JP"/>
        </w:rPr>
        <w:instrText xml:space="preserve"> \* MERGEFORMAT </w:instrText>
      </w:r>
      <w:r w:rsidR="00BE7A75">
        <w:rPr>
          <w:rFonts w:eastAsia="Arial"/>
          <w:color w:val="000000"/>
          <w:lang w:eastAsia="ja-JP"/>
        </w:rPr>
      </w:r>
      <w:r w:rsidR="00BE7A75">
        <w:rPr>
          <w:rFonts w:eastAsia="Arial"/>
          <w:color w:val="000000"/>
          <w:lang w:eastAsia="ja-JP"/>
        </w:rPr>
        <w:fldChar w:fldCharType="separate"/>
      </w:r>
      <w:r w:rsidR="002A4EF7">
        <w:rPr>
          <w:rFonts w:eastAsia="Arial"/>
          <w:color w:val="000000"/>
          <w:lang w:eastAsia="ja-JP"/>
        </w:rPr>
        <w:t>[9]</w:t>
      </w:r>
      <w:r w:rsidR="00BE7A75">
        <w:rPr>
          <w:rFonts w:eastAsia="Arial"/>
          <w:color w:val="000000"/>
          <w:lang w:eastAsia="ja-JP"/>
        </w:rPr>
        <w:fldChar w:fldCharType="end"/>
      </w:r>
      <w:r>
        <w:rPr>
          <w:rFonts w:eastAsia="Arial"/>
          <w:color w:val="000000"/>
          <w:lang w:eastAsia="ja-JP"/>
        </w:rPr>
        <w:t>).</w:t>
      </w:r>
    </w:p>
    <w:p w:rsidR="00051C92" w:rsidRPr="00600041" w:rsidRDefault="00051C92" w:rsidP="00856F32">
      <w:pPr>
        <w:rPr>
          <w:color w:val="000000"/>
        </w:rPr>
      </w:pPr>
    </w:p>
    <w:p w:rsidR="00791BA2" w:rsidRPr="008C103D" w:rsidRDefault="00791BA2" w:rsidP="00856F32">
      <w:pPr>
        <w:pStyle w:val="IGALLReferencesTitle"/>
        <w:rPr>
          <w:lang w:val="de-DE"/>
        </w:rPr>
      </w:pPr>
      <w:r w:rsidRPr="008C103D">
        <w:rPr>
          <w:lang w:val="de-DE"/>
        </w:rPr>
        <w:t xml:space="preserve">References </w:t>
      </w:r>
    </w:p>
    <w:p w:rsidR="00BE7A75" w:rsidRDefault="00BE7A75" w:rsidP="00856F32">
      <w:pPr>
        <w:pStyle w:val="IGALLReferences"/>
        <w:tabs>
          <w:tab w:val="clear" w:pos="364"/>
        </w:tabs>
        <w:ind w:left="567" w:hanging="567"/>
      </w:pPr>
      <w:bookmarkStart w:id="1" w:name="_Ref451258156"/>
      <w:r>
        <w:t xml:space="preserve">IAEA, </w:t>
      </w:r>
      <w:r w:rsidRPr="00BE7A75">
        <w:t>Design of Electrical Power Systems for Nuclear Power Plants</w:t>
      </w:r>
      <w:r>
        <w:t xml:space="preserve">, </w:t>
      </w:r>
      <w:r w:rsidRPr="00BE7A75">
        <w:t>Specific Safety Guide</w:t>
      </w:r>
      <w:r w:rsidR="009C058B">
        <w:t xml:space="preserve"> </w:t>
      </w:r>
      <w:r w:rsidRPr="00BE7A75">
        <w:t>No. SSG-34</w:t>
      </w:r>
      <w:r>
        <w:t>, 2016.</w:t>
      </w:r>
      <w:bookmarkEnd w:id="1"/>
    </w:p>
    <w:p w:rsidR="00791BA2" w:rsidRPr="00600041" w:rsidRDefault="00851E69" w:rsidP="00856F32">
      <w:pPr>
        <w:pStyle w:val="IGALLReferences"/>
        <w:tabs>
          <w:tab w:val="clear" w:pos="364"/>
        </w:tabs>
        <w:ind w:left="567" w:hanging="567"/>
      </w:pPr>
      <w:bookmarkStart w:id="2" w:name="_Ref451258171"/>
      <w:r w:rsidRPr="00600041">
        <w:t xml:space="preserve">KERNTECHNISCHER AUSSCHUSS, </w:t>
      </w:r>
      <w:r w:rsidR="00791BA2" w:rsidRPr="00600041">
        <w:t>Emergency Power Facilities with Batteries and AC/DC Converters in Nuclear Power Plants</w:t>
      </w:r>
      <w:r w:rsidR="00F741AD" w:rsidRPr="00600041">
        <w:t>, KTA Standard 3703,</w:t>
      </w:r>
      <w:r w:rsidR="00791BA2" w:rsidRPr="00600041">
        <w:t xml:space="preserve"> </w:t>
      </w:r>
      <w:r w:rsidR="00F741AD" w:rsidRPr="00600041">
        <w:t xml:space="preserve">KTA, Germany, </w:t>
      </w:r>
      <w:r w:rsidR="00791BA2" w:rsidRPr="00600041">
        <w:t>06/99</w:t>
      </w:r>
      <w:r w:rsidR="00B54481" w:rsidRPr="00600041">
        <w:t>.</w:t>
      </w:r>
      <w:bookmarkEnd w:id="2"/>
    </w:p>
    <w:p w:rsidR="00BE031E" w:rsidRPr="00600041" w:rsidRDefault="00F741AD" w:rsidP="00856F32">
      <w:pPr>
        <w:pStyle w:val="IGALLReferences"/>
        <w:tabs>
          <w:tab w:val="clear" w:pos="364"/>
        </w:tabs>
        <w:ind w:left="567" w:hanging="567"/>
      </w:pPr>
      <w:bookmarkStart w:id="3" w:name="_Ref451258187"/>
      <w:r w:rsidRPr="00600041">
        <w:t xml:space="preserve">INSTITUTE OF ELETRICAL AND ELECTRONIC ENGINEERS, </w:t>
      </w:r>
      <w:r w:rsidR="00FF458A" w:rsidRPr="00600041">
        <w:t>Recommended Practice for Maintenance, Testing, and Replacement</w:t>
      </w:r>
      <w:r w:rsidR="00932F4A" w:rsidRPr="00600041">
        <w:t xml:space="preserve"> of Vented Lead-Acid Batteries for Stationary Applications</w:t>
      </w:r>
      <w:r w:rsidRPr="00600041">
        <w:t xml:space="preserve">, </w:t>
      </w:r>
      <w:r w:rsidRPr="00F741AD">
        <w:rPr>
          <w:rFonts w:eastAsia="Times New Roman" w:cs="Times New Roman"/>
          <w:color w:val="auto"/>
          <w:kern w:val="1"/>
          <w:szCs w:val="24"/>
          <w:lang w:eastAsia="ar-SA"/>
        </w:rPr>
        <w:t>IEEE 450</w:t>
      </w:r>
      <w:r>
        <w:rPr>
          <w:rFonts w:eastAsia="Times New Roman" w:cs="Times New Roman"/>
          <w:color w:val="auto"/>
          <w:kern w:val="1"/>
          <w:szCs w:val="24"/>
          <w:lang w:eastAsia="ar-SA"/>
        </w:rPr>
        <w:t>, IEEE</w:t>
      </w:r>
      <w:r w:rsidR="00B54481">
        <w:rPr>
          <w:rFonts w:eastAsia="Times New Roman" w:cs="Times New Roman"/>
          <w:color w:val="auto"/>
          <w:kern w:val="1"/>
          <w:szCs w:val="24"/>
          <w:lang w:eastAsia="ar-SA"/>
        </w:rPr>
        <w:t>, 2010.</w:t>
      </w:r>
      <w:bookmarkEnd w:id="3"/>
    </w:p>
    <w:p w:rsidR="00325BEC" w:rsidRDefault="00325BEC" w:rsidP="00856F32">
      <w:pPr>
        <w:pStyle w:val="IGALLReferences"/>
        <w:tabs>
          <w:tab w:val="clear" w:pos="364"/>
        </w:tabs>
        <w:ind w:left="567" w:hanging="567"/>
      </w:pPr>
      <w:bookmarkStart w:id="4" w:name="_Ref451259535"/>
      <w:r w:rsidRPr="00325BEC">
        <w:t>UNITED STATES NUCLEAR REGULATORY COMMISSION</w:t>
      </w:r>
      <w:r>
        <w:t xml:space="preserve">, </w:t>
      </w:r>
      <w:r w:rsidRPr="00325BEC">
        <w:t>Licensee Event Report</w:t>
      </w:r>
      <w:r>
        <w:t xml:space="preserve"> </w:t>
      </w:r>
      <w:r w:rsidRPr="00325BEC">
        <w:t>2502002001</w:t>
      </w:r>
      <w:r>
        <w:t xml:space="preserve"> </w:t>
      </w:r>
      <w:r w:rsidRPr="00325BEC">
        <w:t>- Vital Battery Cell Voltage Below Technical Specification Allowable</w:t>
      </w:r>
      <w:r>
        <w:t>, 2002.</w:t>
      </w:r>
      <w:bookmarkEnd w:id="4"/>
    </w:p>
    <w:p w:rsidR="00325BEC" w:rsidRDefault="00325BEC" w:rsidP="00856F32">
      <w:pPr>
        <w:pStyle w:val="IGALLReferences"/>
        <w:tabs>
          <w:tab w:val="clear" w:pos="364"/>
        </w:tabs>
        <w:ind w:left="567" w:hanging="567"/>
      </w:pPr>
      <w:bookmarkStart w:id="5" w:name="_Ref451259835"/>
      <w:r w:rsidRPr="00325BEC">
        <w:t>UNITED STATES NUCLEAR REGULATORY COMMISSION, Licensee Event Report</w:t>
      </w:r>
      <w:r>
        <w:t xml:space="preserve"> </w:t>
      </w:r>
      <w:r w:rsidRPr="00325BEC">
        <w:t>2602005006</w:t>
      </w:r>
      <w:r>
        <w:t xml:space="preserve"> </w:t>
      </w:r>
      <w:r w:rsidRPr="00325BEC">
        <w:t>- Low Voltage on Shutdown Battery Cells Results in Condition Prohibited by Technical Specifications</w:t>
      </w:r>
      <w:r>
        <w:t>, 2005.</w:t>
      </w:r>
      <w:bookmarkEnd w:id="5"/>
    </w:p>
    <w:p w:rsidR="00735573" w:rsidRDefault="00735573" w:rsidP="00856F32">
      <w:pPr>
        <w:pStyle w:val="IGALLReferences"/>
        <w:tabs>
          <w:tab w:val="clear" w:pos="364"/>
        </w:tabs>
        <w:ind w:left="567" w:hanging="567"/>
      </w:pPr>
      <w:bookmarkStart w:id="6" w:name="_Ref451261855"/>
      <w:r w:rsidRPr="00735573">
        <w:t>UNITED STATES NUCLEAR REGULATORY COMMISSION, Licensee Event Report</w:t>
      </w:r>
      <w:r>
        <w:t xml:space="preserve"> </w:t>
      </w:r>
      <w:r w:rsidRPr="00735573">
        <w:t xml:space="preserve">3822008004 - Loose Intercell Connecting Bolts on 125 </w:t>
      </w:r>
      <w:r>
        <w:t>VDC</w:t>
      </w:r>
      <w:r w:rsidRPr="00735573">
        <w:t xml:space="preserve"> Station Battery</w:t>
      </w:r>
      <w:r>
        <w:t>, 2010.</w:t>
      </w:r>
      <w:bookmarkEnd w:id="6"/>
    </w:p>
    <w:p w:rsidR="00735573" w:rsidRDefault="00735573" w:rsidP="00856F32">
      <w:pPr>
        <w:pStyle w:val="IGALLReferences"/>
        <w:tabs>
          <w:tab w:val="clear" w:pos="364"/>
        </w:tabs>
        <w:ind w:left="567" w:hanging="567"/>
      </w:pPr>
      <w:bookmarkStart w:id="7" w:name="_Ref451262011"/>
      <w:r w:rsidRPr="00735573">
        <w:t>UNITED STATES NUCLEAR REGULATORY COMMISSION, Licensee Event Report</w:t>
      </w:r>
      <w:r>
        <w:t xml:space="preserve"> </w:t>
      </w:r>
      <w:r w:rsidRPr="00735573">
        <w:t>3822009002 - Voluntary Report: Shortened Service Life of Station Battery 'B' due to Manufacturing Impurities</w:t>
      </w:r>
      <w:r>
        <w:t>, 2008.</w:t>
      </w:r>
      <w:bookmarkEnd w:id="7"/>
    </w:p>
    <w:p w:rsidR="00CF548B" w:rsidRPr="00D62832" w:rsidRDefault="00CF548B" w:rsidP="00856F32">
      <w:pPr>
        <w:pStyle w:val="IGALLReferences"/>
        <w:tabs>
          <w:tab w:val="clear" w:pos="364"/>
        </w:tabs>
        <w:ind w:left="567" w:hanging="567"/>
        <w:rPr>
          <w:lang w:val="de-DE"/>
        </w:rPr>
      </w:pPr>
      <w:r w:rsidRPr="00D62832">
        <w:rPr>
          <w:lang w:val="de-DE"/>
        </w:rPr>
        <w:t xml:space="preserve">GRS </w:t>
      </w:r>
      <w:r w:rsidR="00137EE0" w:rsidRPr="00D62832">
        <w:rPr>
          <w:lang w:val="de-DE"/>
        </w:rPr>
        <w:t>Weiterleitungsnachricht</w:t>
      </w:r>
      <w:r w:rsidRPr="00D62832">
        <w:rPr>
          <w:lang w:val="de-DE"/>
        </w:rPr>
        <w:t xml:space="preserve"> 1985/02</w:t>
      </w:r>
      <w:r w:rsidR="00137EE0" w:rsidRPr="00D62832">
        <w:rPr>
          <w:lang w:val="de-DE"/>
        </w:rPr>
        <w:t xml:space="preserve">: </w:t>
      </w:r>
      <w:r w:rsidR="00137EE0" w:rsidRPr="00137EE0">
        <w:rPr>
          <w:lang w:val="de-DE"/>
        </w:rPr>
        <w:t>“Schäden an Batteriegefäßen in Kernkraftwerken der Bundesrepublik Deutschland und in amerikanischen Anlagen”</w:t>
      </w:r>
      <w:r w:rsidR="00137EE0">
        <w:rPr>
          <w:lang w:val="de-DE"/>
        </w:rPr>
        <w:t>, Gesellschaft für Anlagen- und Reaktorsicherheit (GRS), 1985.</w:t>
      </w:r>
    </w:p>
    <w:p w:rsidR="00BE031E" w:rsidRPr="009A36DF" w:rsidRDefault="00BE031E" w:rsidP="00856F32">
      <w:pPr>
        <w:pStyle w:val="IGALLReferences"/>
        <w:tabs>
          <w:tab w:val="clear" w:pos="364"/>
        </w:tabs>
        <w:ind w:left="567" w:hanging="567"/>
      </w:pPr>
      <w:bookmarkStart w:id="8" w:name="_Ref451258236"/>
      <w:r w:rsidRPr="00600041">
        <w:t xml:space="preserve">UNITED STATES NUCLEAR REGULATORY COMMISSION, 10 CFR Part 50, Appendix B, Quality Assurance Criteria </w:t>
      </w:r>
      <w:r w:rsidRPr="008339C2">
        <w:t>for Nuclear Power Plants</w:t>
      </w:r>
      <w:r w:rsidRPr="009A36DF">
        <w:t>, Office of the Federal Register, National Archives and Records Administration</w:t>
      </w:r>
      <w:r>
        <w:t>, USNRC, 20</w:t>
      </w:r>
      <w:r w:rsidR="00851E69">
        <w:t>1</w:t>
      </w:r>
      <w:r w:rsidR="00BD12A7">
        <w:t>5</w:t>
      </w:r>
      <w:r w:rsidRPr="009A36DF">
        <w:t>.</w:t>
      </w:r>
      <w:bookmarkEnd w:id="8"/>
      <w:r w:rsidRPr="009A36DF">
        <w:t xml:space="preserve"> </w:t>
      </w:r>
    </w:p>
    <w:p w:rsidR="00791BA2" w:rsidRPr="00FF458A" w:rsidRDefault="00791BA2" w:rsidP="00856F32">
      <w:pPr>
        <w:pStyle w:val="IGALLReferences"/>
        <w:numPr>
          <w:ilvl w:val="0"/>
          <w:numId w:val="0"/>
        </w:numPr>
        <w:rPr>
          <w:rFonts w:eastAsia="Times New Roman" w:cs="Times New Roman"/>
          <w:color w:val="auto"/>
          <w:kern w:val="1"/>
          <w:szCs w:val="24"/>
          <w:lang w:eastAsia="ar-SA"/>
        </w:rPr>
      </w:pPr>
    </w:p>
    <w:sectPr w:rsidR="00791BA2" w:rsidRPr="00FF458A" w:rsidSect="002A4EF7">
      <w:footerReference w:type="default" r:id="rId16"/>
      <w:pgSz w:w="11906" w:h="16838" w:code="9"/>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B4B" w:rsidRDefault="00777B4B" w:rsidP="005672CA">
      <w:r>
        <w:separator/>
      </w:r>
    </w:p>
  </w:endnote>
  <w:endnote w:type="continuationSeparator" w:id="0">
    <w:p w:rsidR="00777B4B" w:rsidRDefault="00777B4B" w:rsidP="005672CA">
      <w:r>
        <w:continuationSeparator/>
      </w:r>
    </w:p>
  </w:endnote>
  <w:endnote w:type="continuationNotice" w:id="1">
    <w:p w:rsidR="00777B4B" w:rsidRDefault="00777B4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D3B" w:rsidRPr="003733E8" w:rsidRDefault="008F1D3B" w:rsidP="003733E8">
    <w:pPr>
      <w:pStyle w:val="Footer"/>
      <w:spacing w:before="240"/>
      <w:rPr>
        <w:sz w:val="20"/>
        <w:szCs w:val="20"/>
      </w:rPr>
    </w:pPr>
    <w:r w:rsidRPr="003733E8">
      <w:tab/>
    </w:r>
    <w:r w:rsidR="00576263" w:rsidRPr="003733E8">
      <w:rPr>
        <w:sz w:val="20"/>
        <w:szCs w:val="20"/>
      </w:rPr>
      <w:fldChar w:fldCharType="begin"/>
    </w:r>
    <w:r w:rsidRPr="003733E8">
      <w:rPr>
        <w:sz w:val="20"/>
        <w:szCs w:val="20"/>
      </w:rPr>
      <w:instrText xml:space="preserve"> PAGE   \* MERGEFORMAT </w:instrText>
    </w:r>
    <w:r w:rsidR="00576263" w:rsidRPr="003733E8">
      <w:rPr>
        <w:sz w:val="20"/>
        <w:szCs w:val="20"/>
      </w:rPr>
      <w:fldChar w:fldCharType="separate"/>
    </w:r>
    <w:r w:rsidR="009D184D" w:rsidRPr="003733E8">
      <w:rPr>
        <w:noProof/>
        <w:sz w:val="20"/>
        <w:szCs w:val="20"/>
      </w:rPr>
      <w:t>6</w:t>
    </w:r>
    <w:r w:rsidR="00576263" w:rsidRPr="003733E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B4B" w:rsidRDefault="00777B4B" w:rsidP="005672CA">
      <w:r>
        <w:separator/>
      </w:r>
    </w:p>
  </w:footnote>
  <w:footnote w:type="continuationSeparator" w:id="0">
    <w:p w:rsidR="00777B4B" w:rsidRDefault="00777B4B" w:rsidP="005672CA">
      <w:r>
        <w:continuationSeparator/>
      </w:r>
    </w:p>
  </w:footnote>
  <w:footnote w:type="continuationNotice" w:id="1">
    <w:p w:rsidR="00777B4B" w:rsidRDefault="00777B4B">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0277A6B"/>
    <w:multiLevelType w:val="hybridMultilevel"/>
    <w:tmpl w:val="8A66E9F8"/>
    <w:lvl w:ilvl="0" w:tplc="616829E4">
      <w:start w:val="1"/>
      <w:numFmt w:val="decimal"/>
      <w:lvlText w:val="[%1]"/>
      <w:lvlJc w:val="left"/>
      <w:pPr>
        <w:ind w:left="360" w:hanging="360"/>
      </w:pPr>
      <w:rPr>
        <w:rFonts w:cs="Times New Roman"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1327BF"/>
    <w:multiLevelType w:val="hybridMultilevel"/>
    <w:tmpl w:val="22CC4038"/>
    <w:lvl w:ilvl="0" w:tplc="8C38B7C8">
      <w:start w:val="1"/>
      <w:numFmt w:val="decimal"/>
      <w:lvlText w:val="%1."/>
      <w:lvlJc w:val="left"/>
      <w:pPr>
        <w:tabs>
          <w:tab w:val="num" w:pos="360"/>
        </w:tabs>
        <w:ind w:left="360" w:hanging="360"/>
      </w:pPr>
      <w:rPr>
        <w:rFonts w:cs="Times New Roman" w:hint="eastAsia"/>
        <w:b/>
        <w:i/>
      </w:rPr>
    </w:lvl>
    <w:lvl w:ilvl="1" w:tplc="04090017">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4"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EE23252"/>
    <w:multiLevelType w:val="hybridMultilevel"/>
    <w:tmpl w:val="75DAC74E"/>
    <w:lvl w:ilvl="0" w:tplc="71A67394">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15:restartNumberingAfterBreak="0">
    <w:nsid w:val="40FD6BB2"/>
    <w:multiLevelType w:val="hybridMultilevel"/>
    <w:tmpl w:val="C2A27DB8"/>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FB3A6E"/>
    <w:multiLevelType w:val="hybridMultilevel"/>
    <w:tmpl w:val="62EEC4EA"/>
    <w:lvl w:ilvl="0" w:tplc="DDAA737A">
      <w:start w:val="1"/>
      <w:numFmt w:val="decimal"/>
      <w:pStyle w:val="IGALLReferences"/>
      <w:lvlText w:val="[%1]"/>
      <w:lvlJc w:val="left"/>
      <w:pPr>
        <w:tabs>
          <w:tab w:val="num" w:pos="1200"/>
        </w:tabs>
        <w:ind w:left="1200" w:hanging="360"/>
      </w:pPr>
      <w:rPr>
        <w:rFonts w:ascii="Arial" w:hAnsi="Arial"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9"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ADD7F9B"/>
    <w:multiLevelType w:val="hybridMultilevel"/>
    <w:tmpl w:val="6CDCD19C"/>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1" w15:restartNumberingAfterBreak="0">
    <w:nsid w:val="7A586365"/>
    <w:multiLevelType w:val="hybridMultilevel"/>
    <w:tmpl w:val="43CC7FF4"/>
    <w:lvl w:ilvl="0" w:tplc="5B7E6E24">
      <w:start w:val="1"/>
      <w:numFmt w:val="decimal"/>
      <w:pStyle w:val="IGALLTitle3"/>
      <w:lvlText w:val="%1."/>
      <w:lvlJc w:val="left"/>
      <w:pPr>
        <w:ind w:left="360" w:hanging="360"/>
      </w:pPr>
      <w:rPr>
        <w:rFonts w:cs="Times New Roman"/>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2" w15:restartNumberingAfterBreak="0">
    <w:nsid w:val="7E70511A"/>
    <w:multiLevelType w:val="hybridMultilevel"/>
    <w:tmpl w:val="3828E944"/>
    <w:lvl w:ilvl="0" w:tplc="04070001">
      <w:start w:val="1"/>
      <w:numFmt w:val="bullet"/>
      <w:pStyle w:val="Body"/>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12"/>
  </w:num>
  <w:num w:numId="4">
    <w:abstractNumId w:val="9"/>
  </w:num>
  <w:num w:numId="5">
    <w:abstractNumId w:val="4"/>
  </w:num>
  <w:num w:numId="6">
    <w:abstractNumId w:val="6"/>
  </w:num>
  <w:num w:numId="7">
    <w:abstractNumId w:val="10"/>
  </w:num>
  <w:num w:numId="8">
    <w:abstractNumId w:val="8"/>
  </w:num>
  <w:num w:numId="9">
    <w:abstractNumId w:val="5"/>
  </w:num>
  <w:num w:numId="10">
    <w:abstractNumId w:val="11"/>
  </w:num>
  <w:num w:numId="11">
    <w:abstractNumId w:val="0"/>
  </w:num>
  <w:num w:numId="12">
    <w:abstractNumId w:val="3"/>
  </w:num>
  <w:num w:numId="13">
    <w:abstractNumId w:val="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oNotTrackMoves/>
  <w:defaultTabStop w:val="708"/>
  <w:hyphenationZone w:val="425"/>
  <w:drawingGridHorizontalSpacing w:val="181"/>
  <w:drawingGridVerticalSpacing w:val="181"/>
  <w:characterSpacingControl w:val="doNotCompress"/>
  <w:hdrShapeDefaults>
    <o:shapedefaults v:ext="edit" spidmax="9217"/>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5E3DAC"/>
    <w:rsid w:val="00006D17"/>
    <w:rsid w:val="000144B0"/>
    <w:rsid w:val="00015B49"/>
    <w:rsid w:val="00016AB3"/>
    <w:rsid w:val="00022895"/>
    <w:rsid w:val="00027329"/>
    <w:rsid w:val="00030806"/>
    <w:rsid w:val="00033DB4"/>
    <w:rsid w:val="00034497"/>
    <w:rsid w:val="00046205"/>
    <w:rsid w:val="00051C92"/>
    <w:rsid w:val="00061825"/>
    <w:rsid w:val="00073634"/>
    <w:rsid w:val="000768B6"/>
    <w:rsid w:val="000A130A"/>
    <w:rsid w:val="000A4AC5"/>
    <w:rsid w:val="000A4E18"/>
    <w:rsid w:val="000B06FB"/>
    <w:rsid w:val="000C15DF"/>
    <w:rsid w:val="000C3AF8"/>
    <w:rsid w:val="000C51DA"/>
    <w:rsid w:val="000D45DF"/>
    <w:rsid w:val="000F2E20"/>
    <w:rsid w:val="00106884"/>
    <w:rsid w:val="00114030"/>
    <w:rsid w:val="001140CD"/>
    <w:rsid w:val="00122767"/>
    <w:rsid w:val="001238AA"/>
    <w:rsid w:val="00126EFD"/>
    <w:rsid w:val="00127A43"/>
    <w:rsid w:val="00130286"/>
    <w:rsid w:val="00137EE0"/>
    <w:rsid w:val="00152E14"/>
    <w:rsid w:val="00153071"/>
    <w:rsid w:val="0015699A"/>
    <w:rsid w:val="00160958"/>
    <w:rsid w:val="00162199"/>
    <w:rsid w:val="001C2359"/>
    <w:rsid w:val="001C520E"/>
    <w:rsid w:val="001E0ADF"/>
    <w:rsid w:val="0020393E"/>
    <w:rsid w:val="00223D75"/>
    <w:rsid w:val="00245675"/>
    <w:rsid w:val="002564C1"/>
    <w:rsid w:val="0025671F"/>
    <w:rsid w:val="00281D9D"/>
    <w:rsid w:val="00282DED"/>
    <w:rsid w:val="002A05DE"/>
    <w:rsid w:val="002A4EF7"/>
    <w:rsid w:val="002B2D84"/>
    <w:rsid w:val="002C04C4"/>
    <w:rsid w:val="002E0533"/>
    <w:rsid w:val="002E79A2"/>
    <w:rsid w:val="002F0F2A"/>
    <w:rsid w:val="00317124"/>
    <w:rsid w:val="00325BEC"/>
    <w:rsid w:val="003374A3"/>
    <w:rsid w:val="003418D7"/>
    <w:rsid w:val="0034622E"/>
    <w:rsid w:val="003703FE"/>
    <w:rsid w:val="003733E8"/>
    <w:rsid w:val="00391C33"/>
    <w:rsid w:val="003956CE"/>
    <w:rsid w:val="0039707C"/>
    <w:rsid w:val="003C341E"/>
    <w:rsid w:val="003F49CA"/>
    <w:rsid w:val="00401CA8"/>
    <w:rsid w:val="004033D7"/>
    <w:rsid w:val="0045525E"/>
    <w:rsid w:val="004606CB"/>
    <w:rsid w:val="004709C9"/>
    <w:rsid w:val="00471201"/>
    <w:rsid w:val="00476338"/>
    <w:rsid w:val="00492548"/>
    <w:rsid w:val="004B5FF6"/>
    <w:rsid w:val="004D06F9"/>
    <w:rsid w:val="005132FA"/>
    <w:rsid w:val="00526DCA"/>
    <w:rsid w:val="00536165"/>
    <w:rsid w:val="00545A91"/>
    <w:rsid w:val="0055011D"/>
    <w:rsid w:val="0055033B"/>
    <w:rsid w:val="00552024"/>
    <w:rsid w:val="00556B4B"/>
    <w:rsid w:val="0055771F"/>
    <w:rsid w:val="005672CA"/>
    <w:rsid w:val="00576263"/>
    <w:rsid w:val="005C4151"/>
    <w:rsid w:val="005C65DD"/>
    <w:rsid w:val="005C6653"/>
    <w:rsid w:val="005E3DAC"/>
    <w:rsid w:val="00600041"/>
    <w:rsid w:val="0061766C"/>
    <w:rsid w:val="00621414"/>
    <w:rsid w:val="00624AC6"/>
    <w:rsid w:val="00644675"/>
    <w:rsid w:val="00645EC7"/>
    <w:rsid w:val="00654C29"/>
    <w:rsid w:val="0066359C"/>
    <w:rsid w:val="0067013B"/>
    <w:rsid w:val="006747A2"/>
    <w:rsid w:val="00676E0F"/>
    <w:rsid w:val="00691E61"/>
    <w:rsid w:val="006A1C9E"/>
    <w:rsid w:val="006B4F23"/>
    <w:rsid w:val="006B670A"/>
    <w:rsid w:val="006E02A4"/>
    <w:rsid w:val="006F4BAF"/>
    <w:rsid w:val="007256DF"/>
    <w:rsid w:val="00726DE4"/>
    <w:rsid w:val="00735573"/>
    <w:rsid w:val="00740B5D"/>
    <w:rsid w:val="007630BB"/>
    <w:rsid w:val="0077108A"/>
    <w:rsid w:val="007721A1"/>
    <w:rsid w:val="00777B4B"/>
    <w:rsid w:val="00782E45"/>
    <w:rsid w:val="00787269"/>
    <w:rsid w:val="00791BA2"/>
    <w:rsid w:val="007B005B"/>
    <w:rsid w:val="007B1272"/>
    <w:rsid w:val="007E7DA5"/>
    <w:rsid w:val="007F299F"/>
    <w:rsid w:val="00800731"/>
    <w:rsid w:val="00803956"/>
    <w:rsid w:val="00850457"/>
    <w:rsid w:val="00851E69"/>
    <w:rsid w:val="00856F32"/>
    <w:rsid w:val="008747A3"/>
    <w:rsid w:val="008776ED"/>
    <w:rsid w:val="008A3C5B"/>
    <w:rsid w:val="008B1F4A"/>
    <w:rsid w:val="008C015E"/>
    <w:rsid w:val="008C103D"/>
    <w:rsid w:val="008C1501"/>
    <w:rsid w:val="008C1746"/>
    <w:rsid w:val="008E23C2"/>
    <w:rsid w:val="008F1D3B"/>
    <w:rsid w:val="008F348D"/>
    <w:rsid w:val="008F77C5"/>
    <w:rsid w:val="009047D7"/>
    <w:rsid w:val="0091579A"/>
    <w:rsid w:val="009161ED"/>
    <w:rsid w:val="00920FD7"/>
    <w:rsid w:val="00932F4A"/>
    <w:rsid w:val="00934AD1"/>
    <w:rsid w:val="00973882"/>
    <w:rsid w:val="0099097A"/>
    <w:rsid w:val="00991123"/>
    <w:rsid w:val="009A747F"/>
    <w:rsid w:val="009C058B"/>
    <w:rsid w:val="009C45DA"/>
    <w:rsid w:val="009D184D"/>
    <w:rsid w:val="009D265C"/>
    <w:rsid w:val="009D48ED"/>
    <w:rsid w:val="009E27B8"/>
    <w:rsid w:val="009E5D4C"/>
    <w:rsid w:val="00A275EB"/>
    <w:rsid w:val="00A377B6"/>
    <w:rsid w:val="00A44A58"/>
    <w:rsid w:val="00A61D0F"/>
    <w:rsid w:val="00A772A8"/>
    <w:rsid w:val="00AB3EB6"/>
    <w:rsid w:val="00AC6FF5"/>
    <w:rsid w:val="00AD67DC"/>
    <w:rsid w:val="00AE29F9"/>
    <w:rsid w:val="00AE5BD9"/>
    <w:rsid w:val="00B25C0D"/>
    <w:rsid w:val="00B328B4"/>
    <w:rsid w:val="00B34C32"/>
    <w:rsid w:val="00B37E4F"/>
    <w:rsid w:val="00B37F13"/>
    <w:rsid w:val="00B4195E"/>
    <w:rsid w:val="00B54481"/>
    <w:rsid w:val="00B552AE"/>
    <w:rsid w:val="00B60FC5"/>
    <w:rsid w:val="00B7002A"/>
    <w:rsid w:val="00B71E30"/>
    <w:rsid w:val="00B81803"/>
    <w:rsid w:val="00B86E0E"/>
    <w:rsid w:val="00B952FB"/>
    <w:rsid w:val="00BA058E"/>
    <w:rsid w:val="00BC1DB2"/>
    <w:rsid w:val="00BC6287"/>
    <w:rsid w:val="00BC7389"/>
    <w:rsid w:val="00BD12A7"/>
    <w:rsid w:val="00BE031E"/>
    <w:rsid w:val="00BE7A75"/>
    <w:rsid w:val="00C111E3"/>
    <w:rsid w:val="00C21A66"/>
    <w:rsid w:val="00C246E2"/>
    <w:rsid w:val="00C34CD2"/>
    <w:rsid w:val="00C42BB6"/>
    <w:rsid w:val="00C477DA"/>
    <w:rsid w:val="00C67910"/>
    <w:rsid w:val="00C87C9F"/>
    <w:rsid w:val="00C96F10"/>
    <w:rsid w:val="00CA3F26"/>
    <w:rsid w:val="00CA4B74"/>
    <w:rsid w:val="00CA713C"/>
    <w:rsid w:val="00CE6427"/>
    <w:rsid w:val="00CF315B"/>
    <w:rsid w:val="00CF548B"/>
    <w:rsid w:val="00D22C34"/>
    <w:rsid w:val="00D30CA8"/>
    <w:rsid w:val="00D34C8F"/>
    <w:rsid w:val="00D35F8C"/>
    <w:rsid w:val="00D45722"/>
    <w:rsid w:val="00D54569"/>
    <w:rsid w:val="00D62832"/>
    <w:rsid w:val="00D638F5"/>
    <w:rsid w:val="00D67981"/>
    <w:rsid w:val="00D810F1"/>
    <w:rsid w:val="00D94E65"/>
    <w:rsid w:val="00DA28C3"/>
    <w:rsid w:val="00DB2E67"/>
    <w:rsid w:val="00DB5860"/>
    <w:rsid w:val="00DB7A72"/>
    <w:rsid w:val="00DE6D8E"/>
    <w:rsid w:val="00E318F5"/>
    <w:rsid w:val="00E407BE"/>
    <w:rsid w:val="00E5190D"/>
    <w:rsid w:val="00E5211C"/>
    <w:rsid w:val="00E60715"/>
    <w:rsid w:val="00E63EA1"/>
    <w:rsid w:val="00E74570"/>
    <w:rsid w:val="00EA6E7C"/>
    <w:rsid w:val="00EB3793"/>
    <w:rsid w:val="00EB52B4"/>
    <w:rsid w:val="00EC2616"/>
    <w:rsid w:val="00ED104D"/>
    <w:rsid w:val="00ED7D91"/>
    <w:rsid w:val="00EE0848"/>
    <w:rsid w:val="00F22707"/>
    <w:rsid w:val="00F301A1"/>
    <w:rsid w:val="00F66D10"/>
    <w:rsid w:val="00F73438"/>
    <w:rsid w:val="00F741AD"/>
    <w:rsid w:val="00F806DF"/>
    <w:rsid w:val="00F95290"/>
    <w:rsid w:val="00FA08A8"/>
    <w:rsid w:val="00FA08DA"/>
    <w:rsid w:val="00FA6EFF"/>
    <w:rsid w:val="00FD43B7"/>
    <w:rsid w:val="00FE2722"/>
    <w:rsid w:val="00FF12D8"/>
    <w:rsid w:val="00FF4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12D13EE7"/>
  <w15:docId w15:val="{F7ED8ADB-417E-4D76-8306-2AC446D2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1E"/>
    <w:pPr>
      <w:widowControl w:val="0"/>
      <w:suppressAutoHyphens/>
      <w:spacing w:before="120" w:after="120"/>
      <w:jc w:val="both"/>
    </w:pPr>
    <w:rPr>
      <w:rFonts w:ascii="Times New Roman" w:hAnsi="Times New Roman"/>
      <w:kern w:val="1"/>
      <w:sz w:val="24"/>
      <w:szCs w:val="24"/>
      <w:lang w:val="en-US" w:eastAsia="ar-SA"/>
    </w:rPr>
  </w:style>
  <w:style w:type="paragraph" w:styleId="Heading1">
    <w:name w:val="heading 1"/>
    <w:basedOn w:val="Normal"/>
    <w:next w:val="Normal"/>
    <w:link w:val="Heading1Char"/>
    <w:uiPriority w:val="99"/>
    <w:qFormat/>
    <w:rsid w:val="008C103D"/>
    <w:pPr>
      <w:keepNext/>
      <w:keepLines/>
      <w:widowControl/>
      <w:suppressAutoHyphens w:val="0"/>
      <w:spacing w:before="480" w:line="276" w:lineRule="auto"/>
      <w:jc w:val="left"/>
      <w:outlineLvl w:val="0"/>
    </w:pPr>
    <w:rPr>
      <w:rFonts w:ascii="Cambria" w:eastAsia="Times New Roman" w:hAnsi="Cambria"/>
      <w:b/>
      <w:bCs/>
      <w:color w:val="365F91"/>
      <w:kern w:val="0"/>
      <w:sz w:val="28"/>
      <w:szCs w:val="28"/>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C103D"/>
    <w:rPr>
      <w:rFonts w:ascii="Cambria" w:hAnsi="Cambria" w:cs="Times New Roman"/>
      <w:b/>
      <w:bCs/>
      <w:color w:val="365F91"/>
      <w:sz w:val="28"/>
      <w:szCs w:val="28"/>
      <w:lang w:val="de-DE" w:eastAsia="de-DE"/>
    </w:rPr>
  </w:style>
  <w:style w:type="paragraph" w:styleId="BodyText">
    <w:name w:val="Body Text"/>
    <w:basedOn w:val="Normal"/>
    <w:link w:val="BodyTextChar"/>
    <w:uiPriority w:val="99"/>
    <w:rsid w:val="005E3DAC"/>
  </w:style>
  <w:style w:type="character" w:customStyle="1" w:styleId="BodyTextChar">
    <w:name w:val="Body Text Char"/>
    <w:link w:val="BodyText"/>
    <w:uiPriority w:val="99"/>
    <w:locked/>
    <w:rsid w:val="005E3DAC"/>
    <w:rPr>
      <w:rFonts w:ascii="Times New Roman" w:hAnsi="Times New Roman" w:cs="Times New Roman"/>
      <w:kern w:val="1"/>
      <w:sz w:val="24"/>
      <w:szCs w:val="24"/>
      <w:lang w:val="en-US" w:eastAsia="ar-SA" w:bidi="ar-SA"/>
    </w:rPr>
  </w:style>
  <w:style w:type="character" w:styleId="IntenseReference">
    <w:name w:val="Intense Reference"/>
    <w:uiPriority w:val="99"/>
    <w:qFormat/>
    <w:rsid w:val="005E3DAC"/>
    <w:rPr>
      <w:rFonts w:cs="Times New Roman"/>
      <w:b/>
      <w:bCs/>
      <w:smallCaps/>
      <w:color w:val="C0504D"/>
      <w:spacing w:val="5"/>
      <w:u w:val="single"/>
    </w:rPr>
  </w:style>
  <w:style w:type="paragraph" w:styleId="ListParagraph">
    <w:name w:val="List Paragraph"/>
    <w:basedOn w:val="Normal"/>
    <w:uiPriority w:val="99"/>
    <w:qFormat/>
    <w:rsid w:val="005E3DAC"/>
    <w:pPr>
      <w:ind w:left="720"/>
      <w:contextualSpacing/>
    </w:pPr>
  </w:style>
  <w:style w:type="paragraph" w:customStyle="1" w:styleId="References">
    <w:name w:val="References"/>
    <w:basedOn w:val="Normal"/>
    <w:link w:val="ReferencesCar"/>
    <w:uiPriority w:val="99"/>
    <w:rsid w:val="005E3DAC"/>
    <w:pPr>
      <w:widowControl/>
      <w:suppressAutoHyphens w:val="0"/>
      <w:ind w:left="346" w:hanging="346"/>
    </w:pPr>
    <w:rPr>
      <w:rFonts w:eastAsia="MS Mincho" w:cs="Arial"/>
      <w:kern w:val="0"/>
      <w:szCs w:val="20"/>
      <w:lang w:eastAsia="en-US"/>
    </w:rPr>
  </w:style>
  <w:style w:type="paragraph" w:customStyle="1" w:styleId="IGALLTitle1">
    <w:name w:val="IGALL Title 1"/>
    <w:basedOn w:val="Normal"/>
    <w:link w:val="IGALLTitle1Car"/>
    <w:uiPriority w:val="99"/>
    <w:rsid w:val="00BE031E"/>
    <w:rPr>
      <w:b/>
      <w:bCs/>
      <w:lang w:val="en-GB"/>
    </w:rPr>
  </w:style>
  <w:style w:type="paragraph" w:customStyle="1" w:styleId="IGALLTitle2">
    <w:name w:val="IGALL Title 2"/>
    <w:basedOn w:val="Normal"/>
    <w:link w:val="IGALLTitle2Car"/>
    <w:uiPriority w:val="99"/>
    <w:rsid w:val="00BE031E"/>
    <w:rPr>
      <w:b/>
      <w:bCs/>
      <w:lang w:val="en-GB"/>
    </w:rPr>
  </w:style>
  <w:style w:type="character" w:customStyle="1" w:styleId="IGALLTitle1Car">
    <w:name w:val="IGALL Title 1 Car"/>
    <w:link w:val="IGALLTitle1"/>
    <w:uiPriority w:val="99"/>
    <w:locked/>
    <w:rsid w:val="00BE031E"/>
    <w:rPr>
      <w:rFonts w:ascii="Times New Roman" w:hAnsi="Times New Roman"/>
      <w:b/>
      <w:bCs/>
      <w:kern w:val="1"/>
      <w:sz w:val="24"/>
      <w:szCs w:val="24"/>
      <w:lang w:val="en-GB" w:eastAsia="ar-SA"/>
    </w:rPr>
  </w:style>
  <w:style w:type="paragraph" w:customStyle="1" w:styleId="IGALLTitle3">
    <w:name w:val="IGALL Title 3"/>
    <w:basedOn w:val="Normal"/>
    <w:link w:val="IGALLTitle3Car"/>
    <w:uiPriority w:val="99"/>
    <w:rsid w:val="00BE031E"/>
    <w:pPr>
      <w:numPr>
        <w:numId w:val="10"/>
      </w:numPr>
    </w:pPr>
    <w:rPr>
      <w:b/>
      <w:bCs/>
      <w:i/>
      <w:lang w:val="en-GB"/>
    </w:rPr>
  </w:style>
  <w:style w:type="character" w:customStyle="1" w:styleId="IGALLTitle2Car">
    <w:name w:val="IGALL Title 2 Car"/>
    <w:link w:val="IGALLTitle2"/>
    <w:uiPriority w:val="99"/>
    <w:locked/>
    <w:rsid w:val="00BE031E"/>
    <w:rPr>
      <w:rFonts w:ascii="Times New Roman" w:hAnsi="Times New Roman"/>
      <w:b/>
      <w:bCs/>
      <w:kern w:val="1"/>
      <w:sz w:val="24"/>
      <w:szCs w:val="24"/>
      <w:lang w:val="en-GB" w:eastAsia="ar-SA"/>
    </w:rPr>
  </w:style>
  <w:style w:type="paragraph" w:customStyle="1" w:styleId="IGALLReferencesTitle">
    <w:name w:val="IGALL References Title"/>
    <w:basedOn w:val="Normal"/>
    <w:link w:val="IGALLReferencesTitleCar"/>
    <w:uiPriority w:val="99"/>
    <w:rsid w:val="00EB3793"/>
    <w:rPr>
      <w:b/>
      <w:bCs/>
      <w:lang w:val="en-GB"/>
    </w:rPr>
  </w:style>
  <w:style w:type="character" w:customStyle="1" w:styleId="IGALLTitle3Car">
    <w:name w:val="IGALL Title 3 Car"/>
    <w:link w:val="IGALLTitle3"/>
    <w:uiPriority w:val="99"/>
    <w:locked/>
    <w:rsid w:val="00BE031E"/>
    <w:rPr>
      <w:rFonts w:ascii="Times New Roman" w:hAnsi="Times New Roman"/>
      <w:b/>
      <w:bCs/>
      <w:i/>
      <w:kern w:val="1"/>
      <w:sz w:val="24"/>
      <w:szCs w:val="24"/>
      <w:lang w:val="en-GB" w:eastAsia="ar-SA"/>
    </w:rPr>
  </w:style>
  <w:style w:type="paragraph" w:customStyle="1" w:styleId="IGALLReferences">
    <w:name w:val="IGALL References"/>
    <w:basedOn w:val="References"/>
    <w:link w:val="IGALLReferencesCar"/>
    <w:uiPriority w:val="99"/>
    <w:rsid w:val="00EB3793"/>
    <w:pPr>
      <w:numPr>
        <w:numId w:val="8"/>
      </w:numPr>
      <w:tabs>
        <w:tab w:val="clear" w:pos="1200"/>
        <w:tab w:val="num" w:pos="364"/>
      </w:tabs>
      <w:ind w:left="378" w:hanging="378"/>
    </w:pPr>
    <w:rPr>
      <w:color w:val="000000"/>
      <w:lang w:eastAsia="ja-JP"/>
    </w:rPr>
  </w:style>
  <w:style w:type="character" w:customStyle="1" w:styleId="IGALLReferencesTitleCar">
    <w:name w:val="IGALL References Title Car"/>
    <w:link w:val="IGALLReferencesTitle"/>
    <w:uiPriority w:val="99"/>
    <w:locked/>
    <w:rsid w:val="00EB3793"/>
    <w:rPr>
      <w:rFonts w:ascii="Times New Roman" w:hAnsi="Times New Roman" w:cs="Times New Roman"/>
      <w:b/>
      <w:bCs/>
      <w:kern w:val="1"/>
      <w:sz w:val="24"/>
      <w:szCs w:val="24"/>
      <w:lang w:val="en-GB" w:eastAsia="ar-SA" w:bidi="ar-SA"/>
    </w:rPr>
  </w:style>
  <w:style w:type="character" w:customStyle="1" w:styleId="ReferencesCar">
    <w:name w:val="References Car"/>
    <w:link w:val="References"/>
    <w:uiPriority w:val="99"/>
    <w:locked/>
    <w:rsid w:val="00EB3793"/>
    <w:rPr>
      <w:rFonts w:ascii="Arial" w:eastAsia="MS Mincho" w:hAnsi="Arial" w:cs="Arial"/>
      <w:sz w:val="20"/>
      <w:szCs w:val="20"/>
      <w:lang w:val="en-US"/>
    </w:rPr>
  </w:style>
  <w:style w:type="character" w:customStyle="1" w:styleId="IGALLReferencesCar">
    <w:name w:val="IGALL References Car"/>
    <w:link w:val="IGALLReferences"/>
    <w:uiPriority w:val="99"/>
    <w:locked/>
    <w:rsid w:val="00EB3793"/>
    <w:rPr>
      <w:rFonts w:ascii="Arial" w:eastAsia="MS Mincho" w:hAnsi="Arial" w:cs="Arial"/>
      <w:sz w:val="20"/>
      <w:szCs w:val="20"/>
      <w:lang w:val="en-US"/>
    </w:rPr>
  </w:style>
  <w:style w:type="paragraph" w:customStyle="1" w:styleId="Body">
    <w:name w:val="Body"/>
    <w:basedOn w:val="Normal"/>
    <w:link w:val="BodyChar"/>
    <w:uiPriority w:val="99"/>
    <w:rsid w:val="00BE031E"/>
    <w:pPr>
      <w:widowControl/>
      <w:numPr>
        <w:numId w:val="3"/>
      </w:numPr>
      <w:suppressAutoHyphens w:val="0"/>
      <w:jc w:val="left"/>
    </w:pPr>
    <w:rPr>
      <w:rFonts w:eastAsia="MS Mincho"/>
      <w:kern w:val="0"/>
      <w:szCs w:val="20"/>
      <w:lang w:eastAsia="en-US"/>
    </w:rPr>
  </w:style>
  <w:style w:type="character" w:customStyle="1" w:styleId="BodyChar">
    <w:name w:val="Body Char"/>
    <w:link w:val="Body"/>
    <w:uiPriority w:val="99"/>
    <w:locked/>
    <w:rsid w:val="00BE031E"/>
    <w:rPr>
      <w:rFonts w:ascii="Times New Roman" w:eastAsia="MS Mincho" w:hAnsi="Times New Roman"/>
      <w:sz w:val="24"/>
    </w:rPr>
  </w:style>
  <w:style w:type="paragraph" w:styleId="BalloonText">
    <w:name w:val="Balloon Text"/>
    <w:basedOn w:val="Normal"/>
    <w:link w:val="BalloonTextChar"/>
    <w:uiPriority w:val="99"/>
    <w:semiHidden/>
    <w:rsid w:val="000768B6"/>
    <w:rPr>
      <w:rFonts w:ascii="Tahoma" w:hAnsi="Tahoma" w:cs="Tahoma"/>
      <w:sz w:val="16"/>
      <w:szCs w:val="16"/>
    </w:rPr>
  </w:style>
  <w:style w:type="character" w:customStyle="1" w:styleId="BalloonTextChar">
    <w:name w:val="Balloon Text Char"/>
    <w:link w:val="BalloonText"/>
    <w:uiPriority w:val="99"/>
    <w:semiHidden/>
    <w:locked/>
    <w:rsid w:val="000768B6"/>
    <w:rPr>
      <w:rFonts w:ascii="Tahoma" w:hAnsi="Tahoma" w:cs="Tahoma"/>
      <w:kern w:val="1"/>
      <w:sz w:val="16"/>
      <w:szCs w:val="16"/>
      <w:lang w:val="en-US" w:eastAsia="ar-SA" w:bidi="ar-SA"/>
    </w:rPr>
  </w:style>
  <w:style w:type="paragraph" w:styleId="Header">
    <w:name w:val="header"/>
    <w:basedOn w:val="Normal"/>
    <w:link w:val="HeaderChar"/>
    <w:uiPriority w:val="99"/>
    <w:rsid w:val="005672CA"/>
    <w:pPr>
      <w:tabs>
        <w:tab w:val="center" w:pos="4252"/>
        <w:tab w:val="right" w:pos="8504"/>
      </w:tabs>
    </w:pPr>
  </w:style>
  <w:style w:type="character" w:customStyle="1" w:styleId="HeaderChar">
    <w:name w:val="Header Char"/>
    <w:link w:val="Header"/>
    <w:uiPriority w:val="99"/>
    <w:locked/>
    <w:rsid w:val="005672CA"/>
    <w:rPr>
      <w:rFonts w:ascii="Arial" w:hAnsi="Arial" w:cs="Times New Roman"/>
      <w:kern w:val="1"/>
      <w:sz w:val="24"/>
      <w:szCs w:val="24"/>
      <w:lang w:val="en-US" w:eastAsia="ar-SA" w:bidi="ar-SA"/>
    </w:rPr>
  </w:style>
  <w:style w:type="paragraph" w:styleId="Footer">
    <w:name w:val="footer"/>
    <w:basedOn w:val="Normal"/>
    <w:link w:val="FooterChar"/>
    <w:uiPriority w:val="99"/>
    <w:rsid w:val="005672CA"/>
    <w:pPr>
      <w:tabs>
        <w:tab w:val="center" w:pos="4252"/>
        <w:tab w:val="right" w:pos="8504"/>
      </w:tabs>
    </w:pPr>
  </w:style>
  <w:style w:type="character" w:customStyle="1" w:styleId="FooterChar">
    <w:name w:val="Footer Char"/>
    <w:link w:val="Footer"/>
    <w:uiPriority w:val="99"/>
    <w:locked/>
    <w:rsid w:val="005672CA"/>
    <w:rPr>
      <w:rFonts w:ascii="Arial" w:hAnsi="Arial" w:cs="Times New Roman"/>
      <w:kern w:val="1"/>
      <w:sz w:val="24"/>
      <w:szCs w:val="24"/>
      <w:lang w:val="en-US" w:eastAsia="ar-SA" w:bidi="ar-SA"/>
    </w:rPr>
  </w:style>
  <w:style w:type="character" w:styleId="CommentReference">
    <w:name w:val="annotation reference"/>
    <w:uiPriority w:val="99"/>
    <w:semiHidden/>
    <w:unhideWhenUsed/>
    <w:rsid w:val="00E407BE"/>
    <w:rPr>
      <w:sz w:val="16"/>
      <w:szCs w:val="16"/>
    </w:rPr>
  </w:style>
  <w:style w:type="paragraph" w:styleId="CommentText">
    <w:name w:val="annotation text"/>
    <w:basedOn w:val="Normal"/>
    <w:link w:val="CommentTextChar"/>
    <w:uiPriority w:val="99"/>
    <w:semiHidden/>
    <w:unhideWhenUsed/>
    <w:rsid w:val="00E407BE"/>
    <w:rPr>
      <w:sz w:val="20"/>
      <w:szCs w:val="20"/>
    </w:rPr>
  </w:style>
  <w:style w:type="character" w:customStyle="1" w:styleId="CommentTextChar">
    <w:name w:val="Comment Text Char"/>
    <w:link w:val="CommentText"/>
    <w:uiPriority w:val="99"/>
    <w:semiHidden/>
    <w:rsid w:val="00E407BE"/>
    <w:rPr>
      <w:rFonts w:ascii="Times New Roman" w:hAnsi="Times New Roman"/>
      <w:kern w:val="1"/>
      <w:lang w:val="en-US" w:eastAsia="ar-SA"/>
    </w:rPr>
  </w:style>
  <w:style w:type="paragraph" w:styleId="CommentSubject">
    <w:name w:val="annotation subject"/>
    <w:basedOn w:val="CommentText"/>
    <w:next w:val="CommentText"/>
    <w:link w:val="CommentSubjectChar"/>
    <w:uiPriority w:val="99"/>
    <w:semiHidden/>
    <w:unhideWhenUsed/>
    <w:rsid w:val="00E407BE"/>
    <w:rPr>
      <w:b/>
      <w:bCs/>
    </w:rPr>
  </w:style>
  <w:style w:type="character" w:customStyle="1" w:styleId="CommentSubjectChar">
    <w:name w:val="Comment Subject Char"/>
    <w:link w:val="CommentSubject"/>
    <w:uiPriority w:val="99"/>
    <w:semiHidden/>
    <w:rsid w:val="00E407BE"/>
    <w:rPr>
      <w:rFonts w:ascii="Times New Roman" w:hAnsi="Times New Roman"/>
      <w:b/>
      <w:bCs/>
      <w:kern w:val="1"/>
      <w:lang w:val="en-US" w:eastAsia="ar-SA"/>
    </w:rPr>
  </w:style>
  <w:style w:type="paragraph" w:styleId="Revision">
    <w:name w:val="Revision"/>
    <w:hidden/>
    <w:uiPriority w:val="99"/>
    <w:semiHidden/>
    <w:rsid w:val="00E407BE"/>
    <w:rPr>
      <w:rFonts w:ascii="Times New Roman" w:hAnsi="Times New Roman"/>
      <w:kern w:val="1"/>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26355">
      <w:marLeft w:val="0"/>
      <w:marRight w:val="0"/>
      <w:marTop w:val="0"/>
      <w:marBottom w:val="0"/>
      <w:divBdr>
        <w:top w:val="none" w:sz="0" w:space="0" w:color="auto"/>
        <w:left w:val="none" w:sz="0" w:space="0" w:color="auto"/>
        <w:bottom w:val="none" w:sz="0" w:space="0" w:color="auto"/>
        <w:right w:val="none" w:sz="0" w:space="0" w:color="auto"/>
      </w:divBdr>
      <w:divsChild>
        <w:div w:id="552426354">
          <w:marLeft w:val="0"/>
          <w:marRight w:val="0"/>
          <w:marTop w:val="0"/>
          <w:marBottom w:val="0"/>
          <w:divBdr>
            <w:top w:val="none" w:sz="0" w:space="0" w:color="auto"/>
            <w:left w:val="none" w:sz="0" w:space="0" w:color="auto"/>
            <w:bottom w:val="none" w:sz="0" w:space="0" w:color="auto"/>
            <w:right w:val="none" w:sz="0" w:space="0" w:color="auto"/>
          </w:divBdr>
          <w:divsChild>
            <w:div w:id="5524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emf"/><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7.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74B0E-F849-473D-82DB-0E3E72E4393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4C37E578-F5E6-485C-B291-6A34C1B18E7B}">
  <ds:schemaRefs>
    <ds:schemaRef ds:uri="http://schemas.microsoft.com/office/2006/metadata/customXsn"/>
  </ds:schemaRefs>
</ds:datastoreItem>
</file>

<file path=customXml/itemProps3.xml><?xml version="1.0" encoding="utf-8"?>
<ds:datastoreItem xmlns:ds="http://schemas.openxmlformats.org/officeDocument/2006/customXml" ds:itemID="{38FFD59D-73C4-498F-9E07-4A3F12718A3A}">
  <ds:schemaRefs>
    <ds:schemaRef ds:uri="http://schemas.microsoft.com/sharepoint/v3/contenttype/forms"/>
  </ds:schemaRefs>
</ds:datastoreItem>
</file>

<file path=customXml/itemProps4.xml><?xml version="1.0" encoding="utf-8"?>
<ds:datastoreItem xmlns:ds="http://schemas.openxmlformats.org/officeDocument/2006/customXml" ds:itemID="{53DF9C5B-8D18-4802-8225-8A1A98F8A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A681BDE-6A06-4B12-BB77-676085E3266D}">
  <ds:schemaRefs>
    <ds:schemaRef ds:uri="http://schemas.microsoft.com/sharepoint/v3/contenttype/forms"/>
  </ds:schemaRefs>
</ds:datastoreItem>
</file>

<file path=customXml/itemProps6.xml><?xml version="1.0" encoding="utf-8"?>
<ds:datastoreItem xmlns:ds="http://schemas.openxmlformats.org/officeDocument/2006/customXml" ds:itemID="{8CE22AB4-970F-4CAD-8996-4654B1820BF6}">
  <ds:schemaRefs>
    <ds:schemaRef ds:uri="http://schemas.microsoft.com/office/2006/metadata/customXsn"/>
  </ds:schemaRefs>
</ds:datastoreItem>
</file>

<file path=customXml/itemProps7.xml><?xml version="1.0" encoding="utf-8"?>
<ds:datastoreItem xmlns:ds="http://schemas.openxmlformats.org/officeDocument/2006/customXml" ds:itemID="{F361569B-1909-44D7-9FED-96CD53E9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8.xml><?xml version="1.0" encoding="utf-8"?>
<ds:datastoreItem xmlns:ds="http://schemas.openxmlformats.org/officeDocument/2006/customXml" ds:itemID="{CE9E9A40-0991-4D83-8730-D913B547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1874</Words>
  <Characters>10685</Characters>
  <Application>Microsoft Office Word</Application>
  <DocSecurity>0</DocSecurity>
  <Lines>89</Lines>
  <Paragraphs>25</Paragraphs>
  <ScaleCrop>false</ScaleCrop>
  <HeadingPairs>
    <vt:vector size="10" baseType="variant">
      <vt:variant>
        <vt:lpstr>Title</vt:lpstr>
      </vt:variant>
      <vt:variant>
        <vt:i4>1</vt:i4>
      </vt:variant>
      <vt:variant>
        <vt:lpstr>Titel</vt:lpstr>
      </vt:variant>
      <vt:variant>
        <vt:i4>1</vt:i4>
      </vt:variant>
      <vt:variant>
        <vt:lpstr>Rubrik</vt:lpstr>
      </vt:variant>
      <vt:variant>
        <vt:i4>1</vt:i4>
      </vt:variant>
      <vt:variant>
        <vt:lpstr>Titre</vt:lpstr>
      </vt:variant>
      <vt:variant>
        <vt:i4>1</vt:i4>
      </vt:variant>
      <vt:variant>
        <vt:lpstr>Título</vt:lpstr>
      </vt:variant>
      <vt:variant>
        <vt:i4>1</vt:i4>
      </vt:variant>
    </vt:vector>
  </HeadingPairs>
  <TitlesOfParts>
    <vt:vector size="5" baseType="lpstr">
      <vt:lpstr>APPENDIX II</vt:lpstr>
      <vt:lpstr>APPENDIX II</vt:lpstr>
      <vt:lpstr>APPENDIX II</vt:lpstr>
      <vt:lpstr>APPENDIX II</vt:lpstr>
      <vt:lpstr>APPENDIX II</vt:lpstr>
    </vt:vector>
  </TitlesOfParts>
  <Company>IBERDROLA S.A.</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II</dc:title>
  <dc:subject/>
  <dc:creator>MLM</dc:creator>
  <cp:keywords/>
  <cp:lastModifiedBy>PETOFI, Gabor</cp:lastModifiedBy>
  <cp:revision>5</cp:revision>
  <dcterms:created xsi:type="dcterms:W3CDTF">2020-11-13T18:43:00Z</dcterms:created>
  <dcterms:modified xsi:type="dcterms:W3CDTF">2020-12-19T09:29:00Z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agesMain">
    <vt:i4>3</vt:i4>
  </property>
  <property fmtid="{D5CDD505-2E9C-101B-9397-08002B2CF9AE}" pid="4" name="ContentTypeId">
    <vt:lpwstr>0x01010086ACA7C15B08304CAE7CEE9FF3F09770</vt:lpwstr>
  </property>
</Properties>
</file>