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E262B" w14:textId="101FC38D" w:rsidR="005E3DAC" w:rsidRDefault="00177444" w:rsidP="00566711">
      <w:pPr>
        <w:pStyle w:val="IGALLTitle1"/>
        <w:ind w:left="1134" w:hanging="1134"/>
        <w:jc w:val="left"/>
      </w:pPr>
      <w:r w:rsidRPr="000542DA">
        <w:t>AMP</w:t>
      </w:r>
      <w:r w:rsidR="001B3E66" w:rsidRPr="000542DA">
        <w:t xml:space="preserve"> </w:t>
      </w:r>
      <w:r w:rsidR="00F74491" w:rsidRPr="000542DA">
        <w:t>221</w:t>
      </w:r>
      <w:r w:rsidR="001B3E66" w:rsidRPr="000542DA">
        <w:tab/>
      </w:r>
      <w:r w:rsidR="00D54E87">
        <w:t>EQUIPMENT</w:t>
      </w:r>
      <w:r w:rsidR="00D54E87" w:rsidRPr="000542DA">
        <w:t xml:space="preserve"> </w:t>
      </w:r>
      <w:r w:rsidR="0057594B" w:rsidRPr="000542DA">
        <w:t>QUALIFICATION RE-A</w:t>
      </w:r>
      <w:r w:rsidR="00AA3BF4" w:rsidRPr="000542DA">
        <w:t>S</w:t>
      </w:r>
      <w:r w:rsidR="0057594B" w:rsidRPr="000542DA">
        <w:t>SESSMENT</w:t>
      </w:r>
      <w:r w:rsidR="000B0A37">
        <w:t xml:space="preserve"> (V</w:t>
      </w:r>
      <w:r w:rsidR="00FE01D9">
        <w:t>ERSION</w:t>
      </w:r>
      <w:r w:rsidR="000B0A37">
        <w:t xml:space="preserve"> 20</w:t>
      </w:r>
      <w:r w:rsidR="00926653">
        <w:t>21</w:t>
      </w:r>
      <w:r w:rsidR="000B0A37">
        <w:t>)</w:t>
      </w:r>
    </w:p>
    <w:p w14:paraId="2D9DAAF3" w14:textId="77777777" w:rsidR="00566711" w:rsidRPr="000542DA" w:rsidRDefault="00566711" w:rsidP="00566711">
      <w:pPr>
        <w:pStyle w:val="IGALLTitle1"/>
        <w:ind w:left="1134" w:hanging="1134"/>
        <w:jc w:val="left"/>
      </w:pPr>
    </w:p>
    <w:p w14:paraId="62CB2CCA" w14:textId="77777777" w:rsidR="005E3DAC" w:rsidRPr="000542DA" w:rsidRDefault="005E3DAC" w:rsidP="00566711">
      <w:pPr>
        <w:pStyle w:val="IGALLTitle2"/>
      </w:pPr>
      <w:r w:rsidRPr="000542DA">
        <w:t>Programme Description</w:t>
      </w:r>
    </w:p>
    <w:p w14:paraId="2782342D" w14:textId="77777777" w:rsidR="00F603D0" w:rsidRDefault="00E4347C" w:rsidP="00566711">
      <w:pPr>
        <w:rPr>
          <w:lang w:val="en-GB"/>
        </w:rPr>
      </w:pPr>
      <w:r w:rsidRPr="000542DA">
        <w:rPr>
          <w:lang w:val="en-GB" w:eastAsia="ja-JP"/>
        </w:rPr>
        <w:t xml:space="preserve">An </w:t>
      </w:r>
      <w:r w:rsidR="00D00DC4">
        <w:rPr>
          <w:lang w:val="en-GB"/>
        </w:rPr>
        <w:t>e</w:t>
      </w:r>
      <w:r w:rsidR="00D54E87">
        <w:rPr>
          <w:lang w:val="en-GB"/>
        </w:rPr>
        <w:t>quipment</w:t>
      </w:r>
      <w:r w:rsidR="00D54E87" w:rsidRPr="000542DA">
        <w:rPr>
          <w:lang w:val="en-GB"/>
        </w:rPr>
        <w:t xml:space="preserve"> </w:t>
      </w:r>
      <w:r w:rsidR="00CB70B1" w:rsidRPr="000542DA">
        <w:rPr>
          <w:lang w:val="en-GB"/>
        </w:rPr>
        <w:t>q</w:t>
      </w:r>
      <w:r w:rsidRPr="000542DA">
        <w:rPr>
          <w:lang w:val="en-GB"/>
        </w:rPr>
        <w:t xml:space="preserve">ualification programme </w:t>
      </w:r>
      <w:r w:rsidRPr="000542DA">
        <w:rPr>
          <w:lang w:val="en-GB" w:eastAsia="ja-JP"/>
        </w:rPr>
        <w:t>is</w:t>
      </w:r>
      <w:r w:rsidRPr="000542DA">
        <w:rPr>
          <w:lang w:val="en-GB"/>
        </w:rPr>
        <w:t xml:space="preserve"> established to demonstrate with reasonable assurance that equipment important to safety can perform its </w:t>
      </w:r>
      <w:r w:rsidR="004D6FE1" w:rsidRPr="000542DA">
        <w:rPr>
          <w:lang w:val="en-GB"/>
        </w:rPr>
        <w:t>safety</w:t>
      </w:r>
      <w:r w:rsidRPr="000542DA">
        <w:rPr>
          <w:lang w:val="en-GB"/>
        </w:rPr>
        <w:t xml:space="preserve"> function(s) </w:t>
      </w:r>
      <w:bookmarkStart w:id="0" w:name="_Hlk10476061"/>
      <w:r w:rsidRPr="000542DA">
        <w:rPr>
          <w:lang w:val="en-GB"/>
        </w:rPr>
        <w:t xml:space="preserve">before, during and after </w:t>
      </w:r>
      <w:r w:rsidR="00346F06" w:rsidRPr="000542DA">
        <w:rPr>
          <w:lang w:val="en-GB"/>
        </w:rPr>
        <w:t xml:space="preserve">a </w:t>
      </w:r>
      <w:r w:rsidRPr="000542DA">
        <w:rPr>
          <w:lang w:val="en-GB"/>
        </w:rPr>
        <w:t>design basis event (DBE), such as a loss of coolant accident (LOCA), high energy line break</w:t>
      </w:r>
      <w:r w:rsidRPr="000542DA">
        <w:rPr>
          <w:lang w:val="en-GB" w:eastAsia="ja-JP"/>
        </w:rPr>
        <w:t xml:space="preserve"> (HELB)</w:t>
      </w:r>
      <w:r w:rsidRPr="000542DA">
        <w:rPr>
          <w:lang w:val="en-GB"/>
        </w:rPr>
        <w:t xml:space="preserve">, </w:t>
      </w:r>
      <w:bookmarkStart w:id="1" w:name="_Hlk5824754"/>
      <w:r w:rsidR="002D5098" w:rsidRPr="000542DA">
        <w:rPr>
          <w:lang w:val="en-GB"/>
        </w:rPr>
        <w:t>m</w:t>
      </w:r>
      <w:r w:rsidRPr="000542DA">
        <w:rPr>
          <w:lang w:val="en-GB"/>
        </w:rPr>
        <w:t xml:space="preserve">ain </w:t>
      </w:r>
      <w:r w:rsidR="002D5098" w:rsidRPr="000542DA">
        <w:rPr>
          <w:lang w:val="en-GB"/>
        </w:rPr>
        <w:t>s</w:t>
      </w:r>
      <w:r w:rsidRPr="000542DA">
        <w:rPr>
          <w:lang w:val="en-GB"/>
        </w:rPr>
        <w:t xml:space="preserve">team </w:t>
      </w:r>
      <w:r w:rsidR="002D5098" w:rsidRPr="000542DA">
        <w:rPr>
          <w:lang w:val="en-GB"/>
        </w:rPr>
        <w:t>l</w:t>
      </w:r>
      <w:r w:rsidRPr="000542DA">
        <w:rPr>
          <w:lang w:val="en-GB"/>
        </w:rPr>
        <w:t xml:space="preserve">ine </w:t>
      </w:r>
      <w:r w:rsidR="002D5098" w:rsidRPr="000542DA">
        <w:rPr>
          <w:lang w:val="en-GB"/>
        </w:rPr>
        <w:t>b</w:t>
      </w:r>
      <w:r w:rsidRPr="000542DA">
        <w:rPr>
          <w:lang w:val="en-GB"/>
        </w:rPr>
        <w:t>reak (MSLB)</w:t>
      </w:r>
      <w:bookmarkEnd w:id="1"/>
      <w:r w:rsidRPr="000542DA">
        <w:rPr>
          <w:lang w:val="en-GB"/>
        </w:rPr>
        <w:t xml:space="preserve">, </w:t>
      </w:r>
      <w:r w:rsidR="002D5098" w:rsidRPr="000542DA">
        <w:rPr>
          <w:lang w:val="en-GB"/>
        </w:rPr>
        <w:t>design extension conditions</w:t>
      </w:r>
      <w:r w:rsidR="00462D4D" w:rsidRPr="000542DA">
        <w:rPr>
          <w:lang w:val="en-GB"/>
        </w:rPr>
        <w:t xml:space="preserve"> (DEC)</w:t>
      </w:r>
      <w:r w:rsidR="00346F06" w:rsidRPr="000542DA">
        <w:rPr>
          <w:lang w:val="en-GB"/>
        </w:rPr>
        <w:t xml:space="preserve"> as appropriate</w:t>
      </w:r>
      <w:r w:rsidR="00AC7396" w:rsidRPr="000542DA">
        <w:rPr>
          <w:lang w:val="en-GB"/>
        </w:rPr>
        <w:t xml:space="preserve"> [1]</w:t>
      </w:r>
      <w:r w:rsidR="00346F06" w:rsidRPr="000542DA">
        <w:rPr>
          <w:lang w:val="en-GB"/>
        </w:rPr>
        <w:t>,</w:t>
      </w:r>
      <w:r w:rsidR="002D5098" w:rsidRPr="000542DA">
        <w:rPr>
          <w:lang w:val="en-GB"/>
        </w:rPr>
        <w:t xml:space="preserve"> </w:t>
      </w:r>
      <w:r w:rsidR="00D54E87">
        <w:rPr>
          <w:lang w:val="en-GB"/>
        </w:rPr>
        <w:t>seismic events</w:t>
      </w:r>
      <w:r w:rsidR="00A2651E">
        <w:rPr>
          <w:lang w:val="en-GB"/>
        </w:rPr>
        <w:t xml:space="preserve">, </w:t>
      </w:r>
      <w:r w:rsidR="00F91A2D">
        <w:rPr>
          <w:lang w:val="en-GB"/>
        </w:rPr>
        <w:t>a</w:t>
      </w:r>
      <w:r w:rsidR="00A2651E">
        <w:rPr>
          <w:lang w:val="en-GB"/>
        </w:rPr>
        <w:t xml:space="preserve">irplane </w:t>
      </w:r>
      <w:r w:rsidR="00F91A2D">
        <w:rPr>
          <w:lang w:val="en-GB"/>
        </w:rPr>
        <w:t>c</w:t>
      </w:r>
      <w:r w:rsidR="00A2651E">
        <w:rPr>
          <w:lang w:val="en-GB"/>
        </w:rPr>
        <w:t xml:space="preserve">rash, </w:t>
      </w:r>
      <w:r w:rsidR="00F91A2D">
        <w:rPr>
          <w:lang w:val="en-GB"/>
        </w:rPr>
        <w:t>s</w:t>
      </w:r>
      <w:r w:rsidR="00A2651E">
        <w:rPr>
          <w:lang w:val="en-GB"/>
        </w:rPr>
        <w:t xml:space="preserve">tation </w:t>
      </w:r>
      <w:r w:rsidR="00F91A2D">
        <w:rPr>
          <w:lang w:val="en-GB"/>
        </w:rPr>
        <w:t>b</w:t>
      </w:r>
      <w:r w:rsidR="00A2651E">
        <w:rPr>
          <w:lang w:val="en-GB"/>
        </w:rPr>
        <w:t>lackout,</w:t>
      </w:r>
      <w:r w:rsidR="00D54E87">
        <w:rPr>
          <w:lang w:val="en-GB"/>
        </w:rPr>
        <w:t xml:space="preserve"> </w:t>
      </w:r>
      <w:r w:rsidRPr="000542DA">
        <w:rPr>
          <w:lang w:val="en-GB"/>
        </w:rPr>
        <w:t xml:space="preserve">and/or other </w:t>
      </w:r>
      <w:r w:rsidR="00454F61" w:rsidRPr="000542DA">
        <w:rPr>
          <w:lang w:val="en-GB"/>
        </w:rPr>
        <w:t>environments</w:t>
      </w:r>
      <w:r w:rsidR="005C12A6">
        <w:rPr>
          <w:lang w:val="en-GB"/>
        </w:rPr>
        <w:t xml:space="preserve"> e.g. intense electromagnetic fields,</w:t>
      </w:r>
      <w:r w:rsidR="00454F61" w:rsidRPr="000542DA">
        <w:rPr>
          <w:lang w:val="en-GB"/>
        </w:rPr>
        <w:t xml:space="preserve"> </w:t>
      </w:r>
      <w:r w:rsidRPr="000542DA">
        <w:rPr>
          <w:lang w:val="en-GB"/>
        </w:rPr>
        <w:t>as defined in</w:t>
      </w:r>
      <w:bookmarkEnd w:id="0"/>
      <w:r w:rsidRPr="000542DA">
        <w:rPr>
          <w:lang w:val="en-GB"/>
        </w:rPr>
        <w:t xml:space="preserve"> accordance with </w:t>
      </w:r>
      <w:r w:rsidR="00590524" w:rsidRPr="000542DA">
        <w:rPr>
          <w:lang w:val="en-GB"/>
        </w:rPr>
        <w:t xml:space="preserve">applicable </w:t>
      </w:r>
      <w:r w:rsidRPr="000542DA">
        <w:rPr>
          <w:lang w:val="en-GB"/>
        </w:rPr>
        <w:t xml:space="preserve">national regulatory requirements for </w:t>
      </w:r>
      <w:r w:rsidR="00D54E87">
        <w:rPr>
          <w:lang w:val="en-GB"/>
        </w:rPr>
        <w:t>equipment</w:t>
      </w:r>
      <w:r w:rsidR="00D54E87" w:rsidRPr="000542DA">
        <w:rPr>
          <w:lang w:val="en-GB"/>
        </w:rPr>
        <w:t xml:space="preserve"> </w:t>
      </w:r>
      <w:r w:rsidR="00CA085F" w:rsidRPr="000542DA">
        <w:rPr>
          <w:lang w:val="en-GB"/>
        </w:rPr>
        <w:t>qualification</w:t>
      </w:r>
      <w:r w:rsidRPr="000542DA">
        <w:rPr>
          <w:lang w:val="en-GB"/>
        </w:rPr>
        <w:t>.</w:t>
      </w:r>
      <w:r w:rsidR="00D03F73" w:rsidRPr="000542DA">
        <w:rPr>
          <w:lang w:val="en-GB"/>
        </w:rPr>
        <w:t xml:space="preserve"> </w:t>
      </w:r>
      <w:r w:rsidR="00F054D3" w:rsidRPr="000542DA">
        <w:rPr>
          <w:lang w:val="en-GB"/>
        </w:rPr>
        <w:t xml:space="preserve">The effects of significant </w:t>
      </w:r>
      <w:r w:rsidR="00CD30DA" w:rsidRPr="000542DA">
        <w:rPr>
          <w:lang w:val="en-GB"/>
        </w:rPr>
        <w:t>ageing</w:t>
      </w:r>
      <w:r w:rsidR="00F054D3" w:rsidRPr="000542DA">
        <w:rPr>
          <w:lang w:val="en-GB"/>
        </w:rPr>
        <w:t xml:space="preserve"> mechanisms are addressed as part of </w:t>
      </w:r>
      <w:r w:rsidR="007A1ED7">
        <w:rPr>
          <w:lang w:val="en-GB"/>
        </w:rPr>
        <w:t xml:space="preserve">the </w:t>
      </w:r>
      <w:r w:rsidR="00D54E87">
        <w:rPr>
          <w:lang w:val="en-GB" w:eastAsia="ja-JP"/>
        </w:rPr>
        <w:t>equipment</w:t>
      </w:r>
      <w:r w:rsidR="00D54E87" w:rsidRPr="000542DA">
        <w:rPr>
          <w:lang w:val="en-GB" w:eastAsia="ja-JP"/>
        </w:rPr>
        <w:t xml:space="preserve"> </w:t>
      </w:r>
      <w:r w:rsidR="000E7CEA" w:rsidRPr="000542DA">
        <w:rPr>
          <w:lang w:val="en-GB" w:eastAsia="ja-JP"/>
        </w:rPr>
        <w:t>qualification</w:t>
      </w:r>
      <w:r w:rsidR="0073101D" w:rsidRPr="000542DA">
        <w:rPr>
          <w:lang w:val="en-GB" w:eastAsia="ja-JP"/>
        </w:rPr>
        <w:t xml:space="preserve"> programme</w:t>
      </w:r>
      <w:r w:rsidR="00196424" w:rsidRPr="000542DA">
        <w:rPr>
          <w:lang w:val="en-GB"/>
        </w:rPr>
        <w:t xml:space="preserve"> [</w:t>
      </w:r>
      <w:r w:rsidR="005146D9" w:rsidRPr="000542DA">
        <w:rPr>
          <w:lang w:val="en-GB" w:eastAsia="ja-JP"/>
        </w:rPr>
        <w:t>2-</w:t>
      </w:r>
      <w:r w:rsidR="00B80733">
        <w:rPr>
          <w:lang w:val="en-GB" w:eastAsia="ja-JP"/>
        </w:rPr>
        <w:t>9</w:t>
      </w:r>
      <w:r w:rsidR="005146D9" w:rsidRPr="000542DA">
        <w:rPr>
          <w:lang w:val="en-GB" w:eastAsia="ja-JP"/>
        </w:rPr>
        <w:t>]</w:t>
      </w:r>
      <w:r w:rsidR="00FC6CD4" w:rsidRPr="000542DA">
        <w:rPr>
          <w:lang w:val="en-GB"/>
        </w:rPr>
        <w:t>.</w:t>
      </w:r>
      <w:r w:rsidR="00D54E87">
        <w:rPr>
          <w:lang w:val="en-GB"/>
        </w:rPr>
        <w:t xml:space="preserve"> As defined in [25], environmental </w:t>
      </w:r>
      <w:r w:rsidR="00C5268A">
        <w:rPr>
          <w:lang w:val="en-GB"/>
        </w:rPr>
        <w:t>qualification is a sub-part of eq</w:t>
      </w:r>
      <w:r w:rsidR="00D54E87">
        <w:rPr>
          <w:lang w:val="en-GB"/>
        </w:rPr>
        <w:t>uipment qualification.</w:t>
      </w:r>
    </w:p>
    <w:p w14:paraId="49186050" w14:textId="595B6FAA" w:rsidR="00AE3F29" w:rsidRPr="00BE5F82" w:rsidRDefault="00AE3F29" w:rsidP="00566711">
      <w:pPr>
        <w:rPr>
          <w:color w:val="FF0000"/>
          <w:lang w:val="en-GB" w:eastAsia="ja-JP"/>
        </w:rPr>
      </w:pPr>
      <w:r w:rsidRPr="00BE5F82">
        <w:rPr>
          <w:color w:val="FF0000"/>
          <w:lang w:val="en-GB"/>
        </w:rPr>
        <w:t xml:space="preserve">The equipment qualification programme defines (preparing the master list) and maintains a list of equipment which is hereafter referred to as in-scope equipment. It requires the preparation and maintenance of a qualification file containing the qualified equipment's performance specifications including their safety function(s), the environmental conditions to which the equipment could be subjected during normal operation, postulated DBE(s) and/or DEC(s). The </w:t>
      </w:r>
      <w:r w:rsidR="00F82935" w:rsidRPr="00BE5F82">
        <w:rPr>
          <w:color w:val="FF0000"/>
          <w:lang w:val="en-GB"/>
        </w:rPr>
        <w:t>f</w:t>
      </w:r>
      <w:r w:rsidRPr="00BE5F82">
        <w:rPr>
          <w:color w:val="FF0000"/>
          <w:lang w:val="en-GB"/>
        </w:rPr>
        <w:t>ile also establish</w:t>
      </w:r>
      <w:r w:rsidR="00F82935" w:rsidRPr="00BE5F82">
        <w:rPr>
          <w:color w:val="FF0000"/>
          <w:lang w:val="en-GB"/>
        </w:rPr>
        <w:t>es</w:t>
      </w:r>
      <w:r w:rsidRPr="00BE5F82">
        <w:rPr>
          <w:color w:val="FF0000"/>
          <w:lang w:val="en-GB"/>
        </w:rPr>
        <w:t xml:space="preserve"> auditable link</w:t>
      </w:r>
      <w:r w:rsidR="00F82935" w:rsidRPr="00BE5F82">
        <w:rPr>
          <w:color w:val="FF0000"/>
          <w:lang w:val="en-GB"/>
        </w:rPr>
        <w:t>s</w:t>
      </w:r>
      <w:r w:rsidRPr="00BE5F82">
        <w:rPr>
          <w:color w:val="FF0000"/>
          <w:lang w:val="en-GB"/>
        </w:rPr>
        <w:t xml:space="preserve"> to the associated qualification report(s) [1-6]. The equipment qualification programme contains provisions for ageing that require, in part, consideration of all significant types of ageing degradation (e.g. thermal, radiation, pressure, humidity, chemical effect, submergence, vibration, cyclical ageing, or their synergistic effects) that can affect equipment functional capability</w:t>
      </w:r>
      <w:r w:rsidR="00DB1FFA" w:rsidRPr="00BE5F82">
        <w:rPr>
          <w:color w:val="FF0000"/>
          <w:lang w:val="en-GB"/>
        </w:rPr>
        <w:t xml:space="preserve"> </w:t>
      </w:r>
      <w:r w:rsidR="00DB1FFA" w:rsidRPr="00BE5F82">
        <w:rPr>
          <w:color w:val="FF0000"/>
          <w:lang w:val="en-GB"/>
        </w:rPr>
        <w:fldChar w:fldCharType="begin"/>
      </w:r>
      <w:r w:rsidR="00DB1FFA" w:rsidRPr="00BE5F82">
        <w:rPr>
          <w:color w:val="FF0000"/>
          <w:lang w:val="en-GB"/>
        </w:rPr>
        <w:instrText xml:space="preserve"> REF _Ref72795371 \r \h </w:instrText>
      </w:r>
      <w:r w:rsidR="00DB1FFA" w:rsidRPr="00BE5F82">
        <w:rPr>
          <w:color w:val="FF0000"/>
          <w:lang w:val="en-GB"/>
        </w:rPr>
      </w:r>
      <w:r w:rsidR="00DB1FFA" w:rsidRPr="00BE5F82">
        <w:rPr>
          <w:color w:val="FF0000"/>
          <w:lang w:val="en-GB"/>
        </w:rPr>
        <w:fldChar w:fldCharType="separate"/>
      </w:r>
      <w:r w:rsidR="00DB1FFA" w:rsidRPr="00BE5F82">
        <w:rPr>
          <w:color w:val="FF0000"/>
          <w:lang w:val="en-GB"/>
        </w:rPr>
        <w:t>[28]</w:t>
      </w:r>
      <w:r w:rsidR="00DB1FFA" w:rsidRPr="00BE5F82">
        <w:rPr>
          <w:color w:val="FF0000"/>
          <w:lang w:val="en-GB"/>
        </w:rPr>
        <w:fldChar w:fldCharType="end"/>
      </w:r>
      <w:r w:rsidR="00DB1FFA" w:rsidRPr="00BE5F82">
        <w:rPr>
          <w:color w:val="FF0000"/>
          <w:lang w:val="en-GB"/>
        </w:rPr>
        <w:fldChar w:fldCharType="begin"/>
      </w:r>
      <w:r w:rsidR="00DB1FFA" w:rsidRPr="00BE5F82">
        <w:rPr>
          <w:color w:val="FF0000"/>
          <w:lang w:val="en-GB"/>
        </w:rPr>
        <w:instrText xml:space="preserve"> REF _Ref72795374 \r \h </w:instrText>
      </w:r>
      <w:r w:rsidR="00DB1FFA" w:rsidRPr="00BE5F82">
        <w:rPr>
          <w:color w:val="FF0000"/>
          <w:lang w:val="en-GB"/>
        </w:rPr>
      </w:r>
      <w:r w:rsidR="00DB1FFA" w:rsidRPr="00BE5F82">
        <w:rPr>
          <w:color w:val="FF0000"/>
          <w:lang w:val="en-GB"/>
        </w:rPr>
        <w:fldChar w:fldCharType="separate"/>
      </w:r>
      <w:r w:rsidR="00DB1FFA" w:rsidRPr="00BE5F82">
        <w:rPr>
          <w:color w:val="FF0000"/>
          <w:lang w:val="en-GB"/>
        </w:rPr>
        <w:t>[29]</w:t>
      </w:r>
      <w:r w:rsidR="00DB1FFA" w:rsidRPr="00BE5F82">
        <w:rPr>
          <w:color w:val="FF0000"/>
          <w:lang w:val="en-GB"/>
        </w:rPr>
        <w:fldChar w:fldCharType="end"/>
      </w:r>
      <w:r w:rsidRPr="00BE5F82">
        <w:rPr>
          <w:color w:val="FF0000"/>
          <w:lang w:val="en-GB"/>
        </w:rPr>
        <w:t xml:space="preserve">. </w:t>
      </w:r>
    </w:p>
    <w:p w14:paraId="4733BF38" w14:textId="4252A65E" w:rsidR="00BE053E" w:rsidRPr="00BE5F82" w:rsidRDefault="00614DD1" w:rsidP="00566711">
      <w:pPr>
        <w:rPr>
          <w:color w:val="FF0000"/>
          <w:lang w:val="en-GB"/>
        </w:rPr>
      </w:pPr>
      <w:r w:rsidRPr="00BE5F82">
        <w:rPr>
          <w:color w:val="FF0000"/>
          <w:lang w:val="en-GB"/>
        </w:rPr>
        <w:t xml:space="preserve">It is common practice in </w:t>
      </w:r>
      <w:r w:rsidR="00825FA1" w:rsidRPr="00BE5F82">
        <w:rPr>
          <w:color w:val="FF0000"/>
          <w:lang w:val="en-GB"/>
        </w:rPr>
        <w:t xml:space="preserve">some </w:t>
      </w:r>
      <w:r w:rsidR="004D03F3" w:rsidRPr="00BE5F82">
        <w:rPr>
          <w:color w:val="FF0000"/>
          <w:lang w:val="en-GB"/>
        </w:rPr>
        <w:t>m</w:t>
      </w:r>
      <w:r w:rsidRPr="00BE5F82">
        <w:rPr>
          <w:color w:val="FF0000"/>
          <w:lang w:val="en-GB"/>
        </w:rPr>
        <w:t xml:space="preserve">ember </w:t>
      </w:r>
      <w:r w:rsidR="004D03F3" w:rsidRPr="00BE5F82">
        <w:rPr>
          <w:color w:val="FF0000"/>
          <w:lang w:val="en-GB"/>
        </w:rPr>
        <w:t>s</w:t>
      </w:r>
      <w:r w:rsidRPr="00BE5F82">
        <w:rPr>
          <w:color w:val="FF0000"/>
          <w:lang w:val="en-GB"/>
        </w:rPr>
        <w:t xml:space="preserve">tates (MS) to establish </w:t>
      </w:r>
      <w:r w:rsidR="009D0FAB" w:rsidRPr="00BE5F82">
        <w:rPr>
          <w:color w:val="FF0000"/>
          <w:lang w:val="en-GB"/>
        </w:rPr>
        <w:t>equipment qualification</w:t>
      </w:r>
      <w:r w:rsidRPr="00BE5F82">
        <w:rPr>
          <w:color w:val="FF0000"/>
          <w:lang w:val="en-GB"/>
        </w:rPr>
        <w:t xml:space="preserve"> requirements to qualify certain equipment located in mild environments</w:t>
      </w:r>
      <w:r w:rsidR="003077D3" w:rsidRPr="00BE5F82">
        <w:rPr>
          <w:rStyle w:val="FootnoteReference"/>
          <w:color w:val="FF0000"/>
          <w:lang w:val="en-GB"/>
        </w:rPr>
        <w:footnoteReference w:id="1"/>
      </w:r>
      <w:r w:rsidRPr="00BE5F82">
        <w:rPr>
          <w:color w:val="FF0000"/>
          <w:lang w:val="en-GB"/>
        </w:rPr>
        <w:t xml:space="preserve"> as applicable </w:t>
      </w:r>
      <w:r w:rsidR="00735111" w:rsidRPr="00BE5F82">
        <w:rPr>
          <w:color w:val="FF0000"/>
          <w:lang w:val="en-GB"/>
        </w:rPr>
        <w:t xml:space="preserve">in line with </w:t>
      </w:r>
      <w:r w:rsidRPr="00BE5F82">
        <w:rPr>
          <w:color w:val="FF0000"/>
          <w:lang w:val="en-GB"/>
        </w:rPr>
        <w:t>national regulatory requirements</w:t>
      </w:r>
      <w:r w:rsidR="00454F61" w:rsidRPr="00BE5F82">
        <w:rPr>
          <w:color w:val="FF0000"/>
          <w:lang w:val="en-GB"/>
        </w:rPr>
        <w:t>. A qualified life [10] is</w:t>
      </w:r>
      <w:r w:rsidR="0091555E" w:rsidRPr="00BE5F82">
        <w:rPr>
          <w:color w:val="FF0000"/>
          <w:lang w:val="en-GB"/>
        </w:rPr>
        <w:t xml:space="preserve"> generally</w:t>
      </w:r>
      <w:r w:rsidR="00454F61" w:rsidRPr="00BE5F82">
        <w:rPr>
          <w:color w:val="FF0000"/>
          <w:lang w:val="en-GB"/>
        </w:rPr>
        <w:t xml:space="preserve"> not required for </w:t>
      </w:r>
      <w:r w:rsidR="005C12A6" w:rsidRPr="00BE5F82">
        <w:rPr>
          <w:color w:val="FF0000"/>
          <w:lang w:val="en-GB"/>
        </w:rPr>
        <w:t>equipment located in a mild environment which has no significant ageing mechanisms and is operated within the limits established by applicable specifications and standards</w:t>
      </w:r>
      <w:r w:rsidR="00454F61" w:rsidRPr="00BE5F82">
        <w:rPr>
          <w:color w:val="FF0000"/>
          <w:lang w:val="en-GB"/>
        </w:rPr>
        <w:t xml:space="preserve"> [1].</w:t>
      </w:r>
      <w:r w:rsidR="00454F61" w:rsidRPr="00BE5F82">
        <w:rPr>
          <w:color w:val="FF0000"/>
          <w:lang w:val="en-GB" w:eastAsia="ja-JP"/>
        </w:rPr>
        <w:t xml:space="preserve"> </w:t>
      </w:r>
      <w:r w:rsidR="00BE053E" w:rsidRPr="00BE5F82">
        <w:rPr>
          <w:color w:val="FF0000"/>
          <w:lang w:val="en-GB" w:eastAsia="ja-JP"/>
        </w:rPr>
        <w:t xml:space="preserve">Qualification for equipment located in mild environments is demonstrated by providing evidence that </w:t>
      </w:r>
      <w:r w:rsidR="00E143D5" w:rsidRPr="00BE5F82">
        <w:rPr>
          <w:color w:val="FF0000"/>
          <w:lang w:val="en-GB" w:eastAsia="ja-JP"/>
        </w:rPr>
        <w:t xml:space="preserve">the </w:t>
      </w:r>
      <w:r w:rsidR="00BE053E" w:rsidRPr="00BE5F82">
        <w:rPr>
          <w:color w:val="FF0000"/>
          <w:lang w:val="en-GB" w:eastAsia="ja-JP"/>
        </w:rPr>
        <w:t>equipment meets or exceeds the specified requirements</w:t>
      </w:r>
      <w:r w:rsidR="00195402" w:rsidRPr="00BE5F82">
        <w:rPr>
          <w:color w:val="FF0000"/>
          <w:lang w:val="en-GB" w:eastAsia="ja-JP"/>
        </w:rPr>
        <w:t xml:space="preserve"> </w:t>
      </w:r>
      <w:r w:rsidR="00195402" w:rsidRPr="00BE5F82">
        <w:rPr>
          <w:color w:val="FF0000"/>
          <w:lang w:val="en-GB"/>
        </w:rPr>
        <w:t xml:space="preserve">during normal environmental conditions and anticipated operational occurrences as defined in accordance with national regulatory requirements </w:t>
      </w:r>
      <w:r w:rsidR="002218CA" w:rsidRPr="00BE5F82">
        <w:rPr>
          <w:color w:val="FF0000"/>
          <w:lang w:val="en-GB" w:eastAsia="ja-JP"/>
        </w:rPr>
        <w:t>[</w:t>
      </w:r>
      <w:r w:rsidR="00EC06CA" w:rsidRPr="00BE5F82">
        <w:rPr>
          <w:color w:val="FF0000"/>
          <w:lang w:val="en-GB" w:eastAsia="ja-JP"/>
        </w:rPr>
        <w:t xml:space="preserve">1, </w:t>
      </w:r>
      <w:r w:rsidR="00B80733" w:rsidRPr="00BE5F82">
        <w:rPr>
          <w:color w:val="FF0000"/>
          <w:lang w:val="en-GB" w:eastAsia="ja-JP"/>
        </w:rPr>
        <w:t>6</w:t>
      </w:r>
      <w:r w:rsidR="00EC06CA" w:rsidRPr="00BE5F82">
        <w:rPr>
          <w:color w:val="FF0000"/>
          <w:lang w:val="en-GB" w:eastAsia="ja-JP"/>
        </w:rPr>
        <w:t>, 1</w:t>
      </w:r>
      <w:r w:rsidR="00B80733" w:rsidRPr="00BE5F82">
        <w:rPr>
          <w:color w:val="FF0000"/>
          <w:lang w:val="en-GB" w:eastAsia="ja-JP"/>
        </w:rPr>
        <w:t>1</w:t>
      </w:r>
      <w:r w:rsidR="00EC06CA" w:rsidRPr="00BE5F82">
        <w:rPr>
          <w:color w:val="FF0000"/>
          <w:lang w:val="en-GB" w:eastAsia="ja-JP"/>
        </w:rPr>
        <w:t>, 1</w:t>
      </w:r>
      <w:r w:rsidR="00B80733" w:rsidRPr="00BE5F82">
        <w:rPr>
          <w:color w:val="FF0000"/>
          <w:lang w:val="en-GB" w:eastAsia="ja-JP"/>
        </w:rPr>
        <w:t>2</w:t>
      </w:r>
      <w:r w:rsidR="002218CA" w:rsidRPr="00BE5F82">
        <w:rPr>
          <w:color w:val="FF0000"/>
          <w:lang w:val="en-GB" w:eastAsia="ja-JP"/>
        </w:rPr>
        <w:t>]</w:t>
      </w:r>
      <w:r w:rsidR="00195402" w:rsidRPr="00BE5F82">
        <w:rPr>
          <w:color w:val="FF0000"/>
          <w:lang w:val="en-GB"/>
        </w:rPr>
        <w:t>.</w:t>
      </w:r>
    </w:p>
    <w:p w14:paraId="273B9F3D" w14:textId="6515E283" w:rsidR="0006771F" w:rsidRPr="00BE5F82" w:rsidRDefault="0006771F" w:rsidP="00566711">
      <w:pPr>
        <w:rPr>
          <w:color w:val="FF0000"/>
          <w:lang w:val="en-GB"/>
        </w:rPr>
      </w:pPr>
      <w:r w:rsidRPr="00BE5F82">
        <w:rPr>
          <w:color w:val="FF0000"/>
          <w:lang w:val="en-GB"/>
        </w:rPr>
        <w:t xml:space="preserve">Some </w:t>
      </w:r>
      <w:r w:rsidR="00C71197" w:rsidRPr="00BE5F82">
        <w:rPr>
          <w:color w:val="FF0000"/>
          <w:lang w:val="en-GB"/>
        </w:rPr>
        <w:t>Member States (</w:t>
      </w:r>
      <w:r w:rsidRPr="00BE5F82">
        <w:rPr>
          <w:color w:val="FF0000"/>
          <w:lang w:val="en-GB"/>
        </w:rPr>
        <w:t>MS</w:t>
      </w:r>
      <w:r w:rsidR="00C71197" w:rsidRPr="00BE5F82">
        <w:rPr>
          <w:color w:val="FF0000"/>
          <w:lang w:val="en-GB"/>
        </w:rPr>
        <w:t>)</w:t>
      </w:r>
      <w:r w:rsidRPr="00BE5F82">
        <w:rPr>
          <w:color w:val="FF0000"/>
          <w:lang w:val="en-GB"/>
        </w:rPr>
        <w:t xml:space="preserve"> require</w:t>
      </w:r>
      <w:r w:rsidR="00E143D5" w:rsidRPr="00BE5F82">
        <w:rPr>
          <w:color w:val="FF0000"/>
          <w:lang w:val="en-GB"/>
        </w:rPr>
        <w:t xml:space="preserve"> the inclusion of</w:t>
      </w:r>
      <w:r w:rsidRPr="00BE5F82">
        <w:rPr>
          <w:color w:val="FF0000"/>
          <w:lang w:val="en-GB"/>
        </w:rPr>
        <w:t xml:space="preserve"> life limited mechanical and/or civil structures, systems or components (SSCs) in the equipment qualification programme. Life limiting condition is normally associated with material susceptibility to radiation and/or thermal ageing. Examples of this include</w:t>
      </w:r>
      <w:r w:rsidR="00F37DB0" w:rsidRPr="00BE5F82">
        <w:rPr>
          <w:color w:val="FF0000"/>
          <w:lang w:val="en-GB"/>
        </w:rPr>
        <w:t>, active valve components</w:t>
      </w:r>
      <w:r w:rsidRPr="00BE5F82">
        <w:rPr>
          <w:color w:val="FF0000"/>
          <w:lang w:val="en-GB"/>
        </w:rPr>
        <w:t xml:space="preserve">, containment penetration seals qualified as pressure boundaries, or protective coatings qualified to prevent severe delamination, peeling, or flaking of large portion of the coating system and consequent discharge to the cooling systems. If these SSCs are in-scope a qualification re-assessment may be completed using </w:t>
      </w:r>
      <w:r w:rsidR="00F06AD4" w:rsidRPr="00BE5F82">
        <w:rPr>
          <w:color w:val="FF0000"/>
          <w:lang w:val="en-GB"/>
        </w:rPr>
        <w:t xml:space="preserve">the guidance contained within </w:t>
      </w:r>
      <w:r w:rsidRPr="00BE5F82">
        <w:rPr>
          <w:color w:val="FF0000"/>
          <w:lang w:val="en-GB"/>
        </w:rPr>
        <w:t xml:space="preserve">this </w:t>
      </w:r>
      <w:r w:rsidR="00C71197" w:rsidRPr="00BE5F82">
        <w:rPr>
          <w:color w:val="FF0000"/>
          <w:lang w:val="en-GB"/>
        </w:rPr>
        <w:t>Aging Management Programme (</w:t>
      </w:r>
      <w:r w:rsidRPr="00BE5F82">
        <w:rPr>
          <w:color w:val="FF0000"/>
          <w:lang w:val="en-GB"/>
        </w:rPr>
        <w:t>AMP</w:t>
      </w:r>
      <w:r w:rsidR="00C71197" w:rsidRPr="00BE5F82">
        <w:rPr>
          <w:color w:val="FF0000"/>
          <w:lang w:val="en-GB"/>
        </w:rPr>
        <w:t>)</w:t>
      </w:r>
      <w:r w:rsidR="00F06AD4" w:rsidRPr="00BE5F82">
        <w:rPr>
          <w:color w:val="FF0000"/>
          <w:lang w:val="en-GB"/>
        </w:rPr>
        <w:t xml:space="preserve"> or by application of a comparable and acceptable</w:t>
      </w:r>
      <w:r w:rsidRPr="00BE5F82">
        <w:rPr>
          <w:color w:val="FF0000"/>
          <w:lang w:val="en-GB"/>
        </w:rPr>
        <w:t xml:space="preserve"> </w:t>
      </w:r>
      <w:r w:rsidR="00F06AD4" w:rsidRPr="00BE5F82">
        <w:rPr>
          <w:color w:val="FF0000"/>
          <w:lang w:val="en-GB"/>
        </w:rPr>
        <w:t>methodology in accordance with the national regulatory requirements. The qualification re-assessment</w:t>
      </w:r>
      <w:r w:rsidRPr="00BE5F82">
        <w:rPr>
          <w:color w:val="FF0000"/>
          <w:lang w:val="en-GB"/>
        </w:rPr>
        <w:t xml:space="preserve"> usually involves assessments of the environmental effects on the life </w:t>
      </w:r>
      <w:r w:rsidRPr="00BE5F82">
        <w:rPr>
          <w:color w:val="FF0000"/>
          <w:lang w:val="en-GB"/>
        </w:rPr>
        <w:lastRenderedPageBreak/>
        <w:t>limiting items such as polymeric/elastomeric se</w:t>
      </w:r>
      <w:r w:rsidR="00F06AD4" w:rsidRPr="00BE5F82">
        <w:rPr>
          <w:color w:val="FF0000"/>
          <w:lang w:val="en-GB"/>
        </w:rPr>
        <w:t>als, gaskets or coatings</w:t>
      </w:r>
      <w:r w:rsidRPr="00BE5F82">
        <w:rPr>
          <w:color w:val="FF0000"/>
          <w:lang w:val="en-GB"/>
        </w:rPr>
        <w:t xml:space="preserve">. </w:t>
      </w:r>
    </w:p>
    <w:p w14:paraId="35589D1C" w14:textId="0106FEF0" w:rsidR="000A00A3" w:rsidRPr="000542DA" w:rsidRDefault="000A00A3" w:rsidP="00566711">
      <w:pPr>
        <w:rPr>
          <w:lang w:val="en-GB"/>
        </w:rPr>
      </w:pPr>
      <w:r w:rsidRPr="000542DA">
        <w:rPr>
          <w:lang w:val="en-GB"/>
        </w:rPr>
        <w:t>Equipment important to safety, including its interfaces, meet</w:t>
      </w:r>
      <w:r w:rsidR="000C4242" w:rsidRPr="000542DA">
        <w:rPr>
          <w:lang w:val="en-GB"/>
        </w:rPr>
        <w:t>s</w:t>
      </w:r>
      <w:r w:rsidRPr="000542DA">
        <w:rPr>
          <w:lang w:val="en-GB"/>
        </w:rPr>
        <w:t xml:space="preserve"> or exceed</w:t>
      </w:r>
      <w:r w:rsidR="000C4242" w:rsidRPr="000542DA">
        <w:rPr>
          <w:lang w:val="en-GB"/>
        </w:rPr>
        <w:t>s</w:t>
      </w:r>
      <w:r w:rsidRPr="000542DA">
        <w:rPr>
          <w:lang w:val="en-GB"/>
        </w:rPr>
        <w:t xml:space="preserve"> the equipment specification requirements. This continued capability is ensured through a programme that includes, but is not limited to, design control, quality control, qualification, installation, maintenance, periodic testing, and surveillance [1]. The focus of this AMP is on activities in </w:t>
      </w:r>
      <w:r w:rsidR="005431FE" w:rsidRPr="000542DA">
        <w:rPr>
          <w:lang w:val="en-GB"/>
        </w:rPr>
        <w:t>the</w:t>
      </w:r>
      <w:r w:rsidR="00D54E87" w:rsidRPr="000542DA">
        <w:rPr>
          <w:lang w:val="en-GB"/>
        </w:rPr>
        <w:t xml:space="preserve"> </w:t>
      </w:r>
      <w:r w:rsidR="005431FE" w:rsidRPr="000542DA">
        <w:rPr>
          <w:lang w:val="en-GB"/>
        </w:rPr>
        <w:t>q</w:t>
      </w:r>
      <w:r w:rsidR="00CB70B1" w:rsidRPr="000542DA">
        <w:rPr>
          <w:lang w:val="en-GB"/>
        </w:rPr>
        <w:t>ualification</w:t>
      </w:r>
      <w:r w:rsidRPr="000542DA">
        <w:rPr>
          <w:lang w:val="en-GB"/>
        </w:rPr>
        <w:t xml:space="preserve"> programme dedicated to re-assessment of </w:t>
      </w:r>
      <w:r w:rsidR="00D54E87">
        <w:rPr>
          <w:lang w:val="en-GB"/>
        </w:rPr>
        <w:t>equipment</w:t>
      </w:r>
      <w:r w:rsidR="00D54E87" w:rsidRPr="000542DA">
        <w:rPr>
          <w:lang w:val="en-GB"/>
        </w:rPr>
        <w:t xml:space="preserve"> </w:t>
      </w:r>
      <w:r w:rsidR="005431FE" w:rsidRPr="000542DA">
        <w:rPr>
          <w:lang w:val="en-GB"/>
        </w:rPr>
        <w:t>q</w:t>
      </w:r>
      <w:r w:rsidR="00CB70B1" w:rsidRPr="000542DA">
        <w:rPr>
          <w:lang w:val="en-GB"/>
        </w:rPr>
        <w:t>u</w:t>
      </w:r>
      <w:r w:rsidR="005431FE" w:rsidRPr="000542DA">
        <w:rPr>
          <w:lang w:val="en-GB"/>
        </w:rPr>
        <w:t>a</w:t>
      </w:r>
      <w:r w:rsidR="00CB70B1" w:rsidRPr="000542DA">
        <w:rPr>
          <w:lang w:val="en-GB"/>
        </w:rPr>
        <w:t>lification</w:t>
      </w:r>
      <w:r w:rsidRPr="000542DA">
        <w:rPr>
          <w:lang w:val="en-GB"/>
        </w:rPr>
        <w:t xml:space="preserve"> </w:t>
      </w:r>
      <w:r w:rsidR="00963AF8">
        <w:rPr>
          <w:lang w:val="en-GB"/>
        </w:rPr>
        <w:t>of</w:t>
      </w:r>
      <w:r w:rsidRPr="000542DA">
        <w:rPr>
          <w:lang w:val="en-GB"/>
        </w:rPr>
        <w:t xml:space="preserve"> </w:t>
      </w:r>
      <w:r w:rsidR="00963AF8">
        <w:rPr>
          <w:lang w:val="en-GB"/>
        </w:rPr>
        <w:t>SSCs</w:t>
      </w:r>
      <w:r w:rsidRPr="000542DA">
        <w:rPr>
          <w:lang w:val="en-GB"/>
        </w:rPr>
        <w:t xml:space="preserve"> for the intended operating period.</w:t>
      </w:r>
    </w:p>
    <w:p w14:paraId="6840F43E" w14:textId="2919D484" w:rsidR="00095CAD" w:rsidRPr="00BE5F82" w:rsidRDefault="00F76DC2" w:rsidP="00566711">
      <w:pPr>
        <w:rPr>
          <w:color w:val="FF0000"/>
          <w:lang w:val="en-GB" w:eastAsia="ja-JP"/>
        </w:rPr>
      </w:pPr>
      <w:r w:rsidRPr="00BE5F82">
        <w:rPr>
          <w:noProof/>
          <w:color w:val="FF0000"/>
        </w:rPr>
        <w:t xml:space="preserve">Qualified </w:t>
      </w:r>
      <w:r w:rsidR="00F91A2D" w:rsidRPr="00BE5F82">
        <w:rPr>
          <w:noProof/>
          <w:color w:val="FF0000"/>
        </w:rPr>
        <w:t>l</w:t>
      </w:r>
      <w:r w:rsidRPr="00BE5F82">
        <w:rPr>
          <w:noProof/>
          <w:color w:val="FF0000"/>
        </w:rPr>
        <w:t>ife,</w:t>
      </w:r>
      <w:r w:rsidR="00AE3F29" w:rsidRPr="00BE5F82">
        <w:rPr>
          <w:noProof/>
          <w:color w:val="FF0000"/>
        </w:rPr>
        <w:t xml:space="preserve"> when required, and quali</w:t>
      </w:r>
      <w:r w:rsidRPr="00BE5F82">
        <w:rPr>
          <w:noProof/>
          <w:color w:val="FF0000"/>
        </w:rPr>
        <w:t>f</w:t>
      </w:r>
      <w:r w:rsidR="00AE3F29" w:rsidRPr="00BE5F82">
        <w:rPr>
          <w:noProof/>
          <w:color w:val="FF0000"/>
        </w:rPr>
        <w:t>i</w:t>
      </w:r>
      <w:r w:rsidRPr="00BE5F82">
        <w:rPr>
          <w:noProof/>
          <w:color w:val="FF0000"/>
        </w:rPr>
        <w:t>ed condition</w:t>
      </w:r>
      <w:r w:rsidR="002B4554" w:rsidRPr="00BE5F82">
        <w:rPr>
          <w:noProof/>
          <w:color w:val="FF0000"/>
        </w:rPr>
        <w:t xml:space="preserve"> (see definition below)</w:t>
      </w:r>
      <w:r w:rsidRPr="00BE5F82">
        <w:rPr>
          <w:noProof/>
          <w:color w:val="FF0000"/>
        </w:rPr>
        <w:t xml:space="preserve"> [1] are established during the initial qualification of the in-scope equipment</w:t>
      </w:r>
      <w:r w:rsidR="002B6638" w:rsidRPr="00BE5F82">
        <w:rPr>
          <w:color w:val="FF0000"/>
          <w:lang w:val="en-GB"/>
        </w:rPr>
        <w:t>.</w:t>
      </w:r>
      <w:r w:rsidR="00396791" w:rsidRPr="00BE5F82">
        <w:rPr>
          <w:color w:val="FF0000"/>
          <w:lang w:val="en-GB"/>
        </w:rPr>
        <w:t xml:space="preserve"> </w:t>
      </w:r>
      <w:r w:rsidR="00C3505D" w:rsidRPr="00BE5F82">
        <w:rPr>
          <w:color w:val="FF0000"/>
          <w:lang w:val="en-GB"/>
        </w:rPr>
        <w:t>Q</w:t>
      </w:r>
      <w:r w:rsidR="002B6638" w:rsidRPr="00BE5F82">
        <w:rPr>
          <w:color w:val="FF0000"/>
          <w:lang w:val="en-GB"/>
        </w:rPr>
        <w:t xml:space="preserve">ualified life and qualified condition are primarily </w:t>
      </w:r>
      <w:r w:rsidR="00656839" w:rsidRPr="00BE5F82">
        <w:rPr>
          <w:color w:val="FF0000"/>
          <w:lang w:val="en-GB"/>
        </w:rPr>
        <w:t xml:space="preserve">demonstrated </w:t>
      </w:r>
      <w:r w:rsidR="00396791" w:rsidRPr="00BE5F82">
        <w:rPr>
          <w:color w:val="FF0000"/>
          <w:lang w:val="en-GB"/>
        </w:rPr>
        <w:t>by type testing</w:t>
      </w:r>
      <w:r w:rsidR="002B6638" w:rsidRPr="00BE5F82">
        <w:rPr>
          <w:color w:val="FF0000"/>
          <w:lang w:val="en-GB"/>
        </w:rPr>
        <w:t xml:space="preserve"> which may be </w:t>
      </w:r>
      <w:r w:rsidR="00DD4C6F" w:rsidRPr="00BE5F82">
        <w:rPr>
          <w:color w:val="FF0000"/>
          <w:lang w:val="en-GB"/>
        </w:rPr>
        <w:t>supplemented</w:t>
      </w:r>
      <w:r w:rsidR="002B6638" w:rsidRPr="00BE5F82">
        <w:rPr>
          <w:color w:val="FF0000"/>
          <w:lang w:val="en-GB"/>
        </w:rPr>
        <w:t xml:space="preserve"> by</w:t>
      </w:r>
      <w:r w:rsidR="00396791" w:rsidRPr="00BE5F82">
        <w:rPr>
          <w:color w:val="FF0000"/>
          <w:lang w:val="en-GB"/>
        </w:rPr>
        <w:t xml:space="preserve"> operating experience </w:t>
      </w:r>
      <w:r w:rsidR="002B6638" w:rsidRPr="00BE5F82">
        <w:rPr>
          <w:color w:val="FF0000"/>
          <w:lang w:val="en-GB"/>
        </w:rPr>
        <w:t xml:space="preserve">and </w:t>
      </w:r>
      <w:r w:rsidR="00396791" w:rsidRPr="00BE5F82">
        <w:rPr>
          <w:color w:val="FF0000"/>
          <w:lang w:val="en-GB"/>
        </w:rPr>
        <w:t>analysis</w:t>
      </w:r>
      <w:r w:rsidR="00A722E2" w:rsidRPr="00BE5F82">
        <w:rPr>
          <w:color w:val="FF0000"/>
          <w:lang w:val="en-GB"/>
        </w:rPr>
        <w:t xml:space="preserve"> </w:t>
      </w:r>
      <w:r w:rsidR="00396791" w:rsidRPr="00BE5F82">
        <w:rPr>
          <w:color w:val="FF0000"/>
          <w:lang w:val="en-GB"/>
        </w:rPr>
        <w:t>[</w:t>
      </w:r>
      <w:r w:rsidR="005F0E7F" w:rsidRPr="00BE5F82">
        <w:rPr>
          <w:color w:val="FF0000"/>
          <w:lang w:val="en-GB"/>
        </w:rPr>
        <w:t>1</w:t>
      </w:r>
      <w:r w:rsidR="00396791" w:rsidRPr="00BE5F82">
        <w:rPr>
          <w:color w:val="FF0000"/>
          <w:lang w:val="en-GB"/>
        </w:rPr>
        <w:t>]</w:t>
      </w:r>
      <w:r w:rsidR="00095CAD" w:rsidRPr="00BE5F82">
        <w:rPr>
          <w:color w:val="FF0000"/>
          <w:lang w:val="en-GB" w:eastAsia="ja-JP"/>
        </w:rPr>
        <w:t>.</w:t>
      </w:r>
      <w:r w:rsidR="000B1745" w:rsidRPr="00BE5F82">
        <w:rPr>
          <w:color w:val="FF0000"/>
          <w:lang w:val="en-GB"/>
        </w:rPr>
        <w:t xml:space="preserve"> </w:t>
      </w:r>
      <w:r w:rsidR="00541A80" w:rsidRPr="00BE5F82">
        <w:rPr>
          <w:color w:val="FF0000"/>
          <w:lang w:val="en-GB"/>
        </w:rPr>
        <w:t>In type testing, t</w:t>
      </w:r>
      <w:r w:rsidR="00095CAD" w:rsidRPr="00BE5F82">
        <w:rPr>
          <w:color w:val="FF0000"/>
          <w:lang w:val="en-GB"/>
        </w:rPr>
        <w:t xml:space="preserve">he ability of the equipment to perform its </w:t>
      </w:r>
      <w:r w:rsidR="00043FB6" w:rsidRPr="00BE5F82">
        <w:rPr>
          <w:color w:val="FF0000"/>
          <w:lang w:val="en-GB"/>
        </w:rPr>
        <w:t xml:space="preserve">safety </w:t>
      </w:r>
      <w:r w:rsidR="00095CAD" w:rsidRPr="00BE5F82">
        <w:rPr>
          <w:color w:val="FF0000"/>
          <w:lang w:val="en-GB"/>
        </w:rPr>
        <w:t xml:space="preserve">function is demonstrated </w:t>
      </w:r>
      <w:r w:rsidR="00726A9A" w:rsidRPr="00BE5F82">
        <w:rPr>
          <w:color w:val="FF0000"/>
          <w:lang w:val="en-GB"/>
        </w:rPr>
        <w:t xml:space="preserve">as required </w:t>
      </w:r>
      <w:r w:rsidR="000B1745" w:rsidRPr="00BE5F82">
        <w:rPr>
          <w:color w:val="FF0000"/>
          <w:lang w:val="en-GB"/>
        </w:rPr>
        <w:t xml:space="preserve">by </w:t>
      </w:r>
      <w:r w:rsidR="00903AEB" w:rsidRPr="00BE5F82">
        <w:rPr>
          <w:color w:val="FF0000"/>
          <w:lang w:val="en-GB"/>
        </w:rPr>
        <w:t>preconditioning</w:t>
      </w:r>
      <w:r w:rsidR="000B1745" w:rsidRPr="00BE5F82">
        <w:rPr>
          <w:color w:val="FF0000"/>
          <w:lang w:val="en-GB"/>
        </w:rPr>
        <w:t xml:space="preserve"> test sample(s) </w:t>
      </w:r>
      <w:r w:rsidR="00903AEB" w:rsidRPr="00BE5F82">
        <w:rPr>
          <w:color w:val="FF0000"/>
          <w:lang w:val="en-GB"/>
        </w:rPr>
        <w:t>to</w:t>
      </w:r>
      <w:r w:rsidR="000B1745" w:rsidRPr="00BE5F82">
        <w:rPr>
          <w:color w:val="FF0000"/>
          <w:lang w:val="en-GB"/>
        </w:rPr>
        <w:t xml:space="preserve"> the state of degradation expected at the end of the </w:t>
      </w:r>
      <w:r w:rsidR="00903AEB" w:rsidRPr="00BE5F82">
        <w:rPr>
          <w:color w:val="FF0000"/>
          <w:lang w:val="en-GB"/>
        </w:rPr>
        <w:t xml:space="preserve">assumed </w:t>
      </w:r>
      <w:r w:rsidR="000B1745" w:rsidRPr="00BE5F82">
        <w:rPr>
          <w:color w:val="FF0000"/>
          <w:lang w:val="en-GB"/>
        </w:rPr>
        <w:t>qualified life, followed by simulated DBE(s)</w:t>
      </w:r>
      <w:r w:rsidR="00DF0F78" w:rsidRPr="00BE5F82">
        <w:rPr>
          <w:color w:val="FF0000"/>
          <w:lang w:val="en-GB"/>
        </w:rPr>
        <w:t xml:space="preserve">, </w:t>
      </w:r>
      <w:r w:rsidR="00CE6AB9" w:rsidRPr="00BE5F82">
        <w:rPr>
          <w:color w:val="FF0000"/>
          <w:lang w:val="en-GB"/>
        </w:rPr>
        <w:t>DEC</w:t>
      </w:r>
      <w:r w:rsidR="00DF7EF6" w:rsidRPr="00BE5F82">
        <w:rPr>
          <w:color w:val="FF0000"/>
          <w:lang w:val="en-GB"/>
        </w:rPr>
        <w:t>(</w:t>
      </w:r>
      <w:r w:rsidR="00DF0F78" w:rsidRPr="00BE5F82">
        <w:rPr>
          <w:color w:val="FF0000"/>
          <w:lang w:val="en-GB"/>
        </w:rPr>
        <w:t>s</w:t>
      </w:r>
      <w:r w:rsidR="00DF7EF6" w:rsidRPr="00BE5F82">
        <w:rPr>
          <w:color w:val="FF0000"/>
          <w:lang w:val="en-GB"/>
        </w:rPr>
        <w:t>)</w:t>
      </w:r>
      <w:r w:rsidR="00DF0F78" w:rsidRPr="00BE5F82">
        <w:rPr>
          <w:color w:val="FF0000"/>
          <w:lang w:val="en-GB"/>
        </w:rPr>
        <w:t>,</w:t>
      </w:r>
      <w:r w:rsidR="00CF414F" w:rsidRPr="00BE5F82">
        <w:rPr>
          <w:color w:val="FF0000"/>
          <w:lang w:val="en-GB"/>
        </w:rPr>
        <w:t xml:space="preserve"> </w:t>
      </w:r>
      <w:r w:rsidR="00E4036F" w:rsidRPr="00BE5F82">
        <w:rPr>
          <w:color w:val="FF0000"/>
          <w:lang w:val="en-GB"/>
        </w:rPr>
        <w:t xml:space="preserve">and/or other environments as defined in accordance with national regulatory requirements for </w:t>
      </w:r>
      <w:r w:rsidR="00D54E87" w:rsidRPr="00BE5F82">
        <w:rPr>
          <w:color w:val="FF0000"/>
          <w:lang w:val="en-GB"/>
        </w:rPr>
        <w:t xml:space="preserve">equipment </w:t>
      </w:r>
      <w:r w:rsidR="00CA085F" w:rsidRPr="00BE5F82">
        <w:rPr>
          <w:color w:val="FF0000"/>
          <w:lang w:val="en-GB"/>
        </w:rPr>
        <w:t>qualification</w:t>
      </w:r>
      <w:r w:rsidR="00E4036F" w:rsidRPr="00BE5F82">
        <w:rPr>
          <w:color w:val="FF0000"/>
          <w:lang w:val="en-GB"/>
        </w:rPr>
        <w:t xml:space="preserve"> </w:t>
      </w:r>
      <w:r w:rsidR="00CF414F" w:rsidRPr="00BE5F82">
        <w:rPr>
          <w:color w:val="FF0000"/>
          <w:lang w:val="en-GB"/>
        </w:rPr>
        <w:t>[</w:t>
      </w:r>
      <w:r w:rsidR="00612C54" w:rsidRPr="00BE5F82">
        <w:rPr>
          <w:color w:val="FF0000"/>
          <w:lang w:val="en-GB" w:eastAsia="ja-JP"/>
        </w:rPr>
        <w:t>1</w:t>
      </w:r>
      <w:r w:rsidR="00CF414F" w:rsidRPr="00BE5F82">
        <w:rPr>
          <w:color w:val="FF0000"/>
          <w:lang w:val="en-GB"/>
        </w:rPr>
        <w:t>]</w:t>
      </w:r>
      <w:r w:rsidR="00726A9A" w:rsidRPr="00BE5F82">
        <w:rPr>
          <w:color w:val="FF0000"/>
          <w:lang w:val="en-GB"/>
        </w:rPr>
        <w:t>.</w:t>
      </w:r>
    </w:p>
    <w:p w14:paraId="1EE6EF7A" w14:textId="77777777" w:rsidR="00383955" w:rsidRPr="000542DA" w:rsidRDefault="00383955" w:rsidP="00566711">
      <w:pPr>
        <w:rPr>
          <w:lang w:val="en-GB"/>
        </w:rPr>
      </w:pPr>
      <w:r w:rsidRPr="000542DA">
        <w:rPr>
          <w:lang w:val="en-GB"/>
        </w:rPr>
        <w:t xml:space="preserve">The </w:t>
      </w:r>
      <w:r w:rsidR="00D54E87">
        <w:rPr>
          <w:lang w:val="en-GB"/>
        </w:rPr>
        <w:t>equipment</w:t>
      </w:r>
      <w:r w:rsidR="00D54E87" w:rsidRPr="000542DA">
        <w:rPr>
          <w:lang w:val="en-GB"/>
        </w:rPr>
        <w:t xml:space="preserve"> </w:t>
      </w:r>
      <w:r w:rsidR="00CA085F" w:rsidRPr="000542DA">
        <w:rPr>
          <w:lang w:val="en-GB"/>
        </w:rPr>
        <w:t>qualification</w:t>
      </w:r>
      <w:r w:rsidRPr="000542DA">
        <w:rPr>
          <w:lang w:val="en-GB"/>
        </w:rPr>
        <w:t xml:space="preserve"> programme establishes activities in order to preserve the qualification of in-service qualified equipment. These activities are implemented to assure the adequacy of the equipment, function and installation under </w:t>
      </w:r>
      <w:r w:rsidRPr="000542DA">
        <w:rPr>
          <w:lang w:val="en-GB" w:eastAsia="ja-JP"/>
        </w:rPr>
        <w:t>required</w:t>
      </w:r>
      <w:r w:rsidRPr="000542DA">
        <w:rPr>
          <w:lang w:val="en-GB"/>
        </w:rPr>
        <w:t xml:space="preserve"> conditions.</w:t>
      </w:r>
    </w:p>
    <w:p w14:paraId="1C7DE5F4" w14:textId="5EFAA185" w:rsidR="005C768A" w:rsidRPr="000542DA" w:rsidRDefault="003D6CBC" w:rsidP="00566711">
      <w:pPr>
        <w:rPr>
          <w:lang w:val="en-GB"/>
        </w:rPr>
      </w:pPr>
      <w:r>
        <w:rPr>
          <w:lang w:val="en-GB"/>
        </w:rPr>
        <w:t>In</w:t>
      </w:r>
      <w:r w:rsidR="005E4B53">
        <w:rPr>
          <w:lang w:val="en-GB"/>
        </w:rPr>
        <w:t>-</w:t>
      </w:r>
      <w:r>
        <w:rPr>
          <w:lang w:val="en-GB"/>
        </w:rPr>
        <w:t>scope</w:t>
      </w:r>
      <w:r w:rsidR="005C768A" w:rsidRPr="000542DA">
        <w:rPr>
          <w:lang w:val="en-GB"/>
        </w:rPr>
        <w:t xml:space="preserve"> equipment</w:t>
      </w:r>
      <w:r>
        <w:rPr>
          <w:lang w:val="en-GB"/>
        </w:rPr>
        <w:t>, as defined above,</w:t>
      </w:r>
      <w:r w:rsidR="005C768A" w:rsidRPr="000542DA">
        <w:rPr>
          <w:lang w:val="en-GB"/>
        </w:rPr>
        <w:t xml:space="preserve"> </w:t>
      </w:r>
      <w:r>
        <w:rPr>
          <w:lang w:val="en-GB"/>
        </w:rPr>
        <w:t xml:space="preserve">which are </w:t>
      </w:r>
      <w:r w:rsidR="005C768A" w:rsidRPr="000542DA">
        <w:rPr>
          <w:lang w:val="en-GB"/>
        </w:rPr>
        <w:t xml:space="preserve">not qualified for the current operating term </w:t>
      </w:r>
      <w:r w:rsidR="00F66A96" w:rsidRPr="000542DA">
        <w:rPr>
          <w:lang w:val="en-GB"/>
        </w:rPr>
        <w:t xml:space="preserve">or intended operating period </w:t>
      </w:r>
      <w:r>
        <w:rPr>
          <w:lang w:val="en-GB"/>
        </w:rPr>
        <w:t>are</w:t>
      </w:r>
      <w:r w:rsidRPr="000542DA">
        <w:rPr>
          <w:lang w:val="en-GB"/>
        </w:rPr>
        <w:t xml:space="preserve"> </w:t>
      </w:r>
      <w:r w:rsidR="00325927" w:rsidRPr="000542DA">
        <w:rPr>
          <w:lang w:val="en-GB"/>
        </w:rPr>
        <w:t xml:space="preserve">reassessed to extend the qualification or replaced or refurbished </w:t>
      </w:r>
      <w:r w:rsidR="005C768A" w:rsidRPr="000542DA">
        <w:rPr>
          <w:lang w:val="en-GB"/>
        </w:rPr>
        <w:t xml:space="preserve">prior to reaching the ageing limits (qualified life or qualified condition) established in the </w:t>
      </w:r>
      <w:r w:rsidR="003C4261" w:rsidRPr="000542DA">
        <w:rPr>
          <w:lang w:val="en-GB"/>
        </w:rPr>
        <w:t xml:space="preserve">previous </w:t>
      </w:r>
      <w:r w:rsidR="005C768A" w:rsidRPr="000542DA">
        <w:rPr>
          <w:lang w:val="en-GB"/>
        </w:rPr>
        <w:t>evaluation.</w:t>
      </w:r>
      <w:r w:rsidR="00325927" w:rsidRPr="000542DA">
        <w:rPr>
          <w:lang w:val="en-GB"/>
        </w:rPr>
        <w:t xml:space="preserve"> </w:t>
      </w:r>
    </w:p>
    <w:p w14:paraId="777A5742" w14:textId="3EA8ED3B" w:rsidR="00454F61" w:rsidRPr="00BE5F82" w:rsidRDefault="00454F61" w:rsidP="00566711">
      <w:pPr>
        <w:rPr>
          <w:rFonts w:eastAsia="Yu Mincho"/>
          <w:color w:val="FF0000"/>
          <w:lang w:val="en-GB"/>
        </w:rPr>
      </w:pPr>
      <w:r w:rsidRPr="00BE5F82">
        <w:rPr>
          <w:rFonts w:eastAsia="Yu Mincho"/>
          <w:color w:val="FF0000"/>
          <w:lang w:val="en-GB"/>
        </w:rPr>
        <w:t xml:space="preserve">A plant </w:t>
      </w:r>
      <w:r w:rsidRPr="00BE5F82">
        <w:rPr>
          <w:color w:val="FF0000"/>
          <w:lang w:val="en-GB"/>
        </w:rPr>
        <w:t>equipment qualification</w:t>
      </w:r>
      <w:r w:rsidRPr="00BE5F82">
        <w:rPr>
          <w:rFonts w:eastAsia="Yu Mincho"/>
          <w:color w:val="FF0000"/>
          <w:lang w:val="en-GB"/>
        </w:rPr>
        <w:t xml:space="preserve"> programme</w:t>
      </w:r>
      <w:r w:rsidR="00AE3F29" w:rsidRPr="00BE5F82">
        <w:rPr>
          <w:rFonts w:eastAsia="Yu Mincho"/>
          <w:color w:val="FF0000"/>
          <w:lang w:val="en-GB"/>
        </w:rPr>
        <w:t xml:space="preserve"> may,</w:t>
      </w:r>
      <w:r w:rsidRPr="00BE5F82">
        <w:rPr>
          <w:rFonts w:eastAsia="Yu Mincho"/>
          <w:color w:val="FF0000"/>
          <w:lang w:val="en-GB"/>
        </w:rPr>
        <w:t xml:space="preserve"> in accordance with national regulatory requirements</w:t>
      </w:r>
      <w:r w:rsidR="00AE3F29" w:rsidRPr="00BE5F82">
        <w:rPr>
          <w:rFonts w:eastAsia="Yu Mincho"/>
          <w:color w:val="FF0000"/>
          <w:lang w:val="en-GB"/>
        </w:rPr>
        <w:t>,</w:t>
      </w:r>
      <w:r w:rsidR="00DA0CDE" w:rsidRPr="00BE5F82">
        <w:rPr>
          <w:rFonts w:eastAsia="Yu Mincho"/>
          <w:color w:val="FF0000"/>
          <w:lang w:val="en-GB"/>
        </w:rPr>
        <w:t xml:space="preserve"> be</w:t>
      </w:r>
      <w:r w:rsidRPr="00BE5F82">
        <w:rPr>
          <w:rFonts w:eastAsia="Yu Mincho"/>
          <w:color w:val="FF0000"/>
          <w:lang w:val="en-GB"/>
        </w:rPr>
        <w:t xml:space="preserve"> considered an AMP for the intended operating period. </w:t>
      </w:r>
      <w:r w:rsidR="00D916FF" w:rsidRPr="00BE5F82">
        <w:rPr>
          <w:color w:val="FF0000"/>
        </w:rPr>
        <w:t>Equipment with a</w:t>
      </w:r>
      <w:r w:rsidR="00677544" w:rsidRPr="00BE5F82">
        <w:rPr>
          <w:color w:val="FF0000"/>
        </w:rPr>
        <w:t>n</w:t>
      </w:r>
      <w:r w:rsidR="00D916FF" w:rsidRPr="00BE5F82">
        <w:rPr>
          <w:color w:val="FF0000"/>
        </w:rPr>
        <w:t xml:space="preserve"> intended qualified life equal to or greater than the duration of the current operating term</w:t>
      </w:r>
      <w:r w:rsidR="00677544" w:rsidRPr="00BE5F82">
        <w:rPr>
          <w:color w:val="FF0000"/>
        </w:rPr>
        <w:t xml:space="preserve"> </w:t>
      </w:r>
      <w:r w:rsidR="00677544" w:rsidRPr="00BE5F82">
        <w:rPr>
          <w:rFonts w:eastAsia="Yu Mincho"/>
          <w:color w:val="FF0000"/>
          <w:lang w:val="en-GB"/>
        </w:rPr>
        <w:t>(</w:t>
      </w:r>
      <w:proofErr w:type="gramStart"/>
      <w:r w:rsidR="00677544" w:rsidRPr="00BE5F82">
        <w:rPr>
          <w:rFonts w:eastAsia="Yu Mincho"/>
          <w:color w:val="FF0000"/>
          <w:lang w:val="en-GB"/>
        </w:rPr>
        <w:t>e.g.</w:t>
      </w:r>
      <w:proofErr w:type="gramEnd"/>
      <w:r w:rsidR="00677544" w:rsidRPr="00BE5F82">
        <w:rPr>
          <w:rFonts w:eastAsia="Yu Mincho"/>
          <w:color w:val="FF0000"/>
          <w:lang w:val="en-GB"/>
        </w:rPr>
        <w:t xml:space="preserve"> 40 years)</w:t>
      </w:r>
      <w:r w:rsidR="00D916FF" w:rsidRPr="00BE5F82">
        <w:rPr>
          <w:color w:val="FF0000"/>
        </w:rPr>
        <w:t xml:space="preserve"> is evaluated as TLAA</w:t>
      </w:r>
      <w:r w:rsidR="00D916FF" w:rsidRPr="00BE5F82">
        <w:rPr>
          <w:color w:val="FF0000"/>
          <w:lang w:eastAsia="ja-JP"/>
        </w:rPr>
        <w:t xml:space="preserve">. </w:t>
      </w:r>
      <w:r w:rsidRPr="00BE5F82">
        <w:rPr>
          <w:rFonts w:eastAsia="Yu Mincho"/>
          <w:color w:val="FF0000"/>
          <w:lang w:val="en-GB"/>
        </w:rPr>
        <w:t>Ageing evaluations for</w:t>
      </w:r>
      <w:r w:rsidRPr="00BE5F82">
        <w:rPr>
          <w:color w:val="FF0000"/>
          <w:lang w:val="en-GB"/>
        </w:rPr>
        <w:t xml:space="preserve"> in-scope</w:t>
      </w:r>
      <w:r w:rsidRPr="00BE5F82">
        <w:rPr>
          <w:rFonts w:eastAsia="Yu Mincho"/>
          <w:color w:val="FF0000"/>
          <w:lang w:val="en-GB"/>
        </w:rPr>
        <w:t xml:space="preserve"> equipment that </w:t>
      </w:r>
      <w:r w:rsidR="00677544" w:rsidRPr="00BE5F82">
        <w:rPr>
          <w:rFonts w:eastAsia="Yu Mincho"/>
          <w:color w:val="FF0000"/>
          <w:lang w:val="en-GB"/>
        </w:rPr>
        <w:t xml:space="preserve">involve elements of the equipment qualification programme </w:t>
      </w:r>
      <w:r w:rsidR="00F82935" w:rsidRPr="00BE5F82">
        <w:rPr>
          <w:rFonts w:eastAsia="Yu Mincho"/>
          <w:color w:val="FF0000"/>
          <w:lang w:val="en-GB"/>
        </w:rPr>
        <w:t xml:space="preserve">are to </w:t>
      </w:r>
      <w:r w:rsidR="00677544" w:rsidRPr="00BE5F82">
        <w:rPr>
          <w:rFonts w:eastAsia="Yu Mincho"/>
          <w:color w:val="FF0000"/>
          <w:lang w:val="en-GB"/>
        </w:rPr>
        <w:t xml:space="preserve">give due consideration to the guidance in </w:t>
      </w:r>
      <w:r w:rsidR="00C71197" w:rsidRPr="00BE5F82">
        <w:rPr>
          <w:rFonts w:eastAsia="Yu Mincho"/>
          <w:color w:val="FF0000"/>
          <w:lang w:val="en-GB"/>
        </w:rPr>
        <w:t>Time Limited Aging Analysis (</w:t>
      </w:r>
      <w:r w:rsidR="00677544" w:rsidRPr="00BE5F82">
        <w:rPr>
          <w:rFonts w:eastAsia="Yu Mincho"/>
          <w:color w:val="FF0000"/>
          <w:lang w:val="en-GB"/>
        </w:rPr>
        <w:t>TLAA</w:t>
      </w:r>
      <w:r w:rsidR="00C71197" w:rsidRPr="00BE5F82">
        <w:rPr>
          <w:rFonts w:eastAsia="Yu Mincho"/>
          <w:color w:val="FF0000"/>
          <w:lang w:val="en-GB"/>
        </w:rPr>
        <w:t>)</w:t>
      </w:r>
      <w:r w:rsidR="00677544" w:rsidRPr="00BE5F82">
        <w:rPr>
          <w:rFonts w:eastAsia="Yu Mincho"/>
          <w:color w:val="FF0000"/>
          <w:lang w:val="en-GB"/>
        </w:rPr>
        <w:t xml:space="preserve"> 201 </w:t>
      </w:r>
      <w:r w:rsidR="003077D3" w:rsidRPr="00BE5F82">
        <w:rPr>
          <w:rFonts w:eastAsia="Yu Mincho"/>
          <w:color w:val="FF0000"/>
          <w:lang w:val="en-GB"/>
        </w:rPr>
        <w:t>(</w:t>
      </w:r>
      <w:r w:rsidR="003077D3" w:rsidRPr="00BE5F82">
        <w:rPr>
          <w:color w:val="FF0000"/>
        </w:rPr>
        <w:t>Equipment Qualification of Electrical and I&amp;C Equipment)</w:t>
      </w:r>
      <w:r w:rsidR="003077D3" w:rsidRPr="00BE5F82">
        <w:rPr>
          <w:rFonts w:eastAsia="Yu Mincho"/>
          <w:color w:val="FF0000"/>
          <w:lang w:val="en-GB"/>
        </w:rPr>
        <w:t xml:space="preserve"> </w:t>
      </w:r>
      <w:r w:rsidR="00677544" w:rsidRPr="00BE5F82">
        <w:rPr>
          <w:rFonts w:eastAsia="Yu Mincho"/>
          <w:color w:val="FF0000"/>
          <w:lang w:val="en-GB"/>
        </w:rPr>
        <w:t>[27].</w:t>
      </w:r>
      <w:r w:rsidRPr="00BE5F82">
        <w:rPr>
          <w:rFonts w:eastAsia="Yu Mincho"/>
          <w:color w:val="FF0000"/>
          <w:lang w:val="en-GB"/>
        </w:rPr>
        <w:t xml:space="preserve"> </w:t>
      </w:r>
    </w:p>
    <w:p w14:paraId="2B72743E" w14:textId="77777777" w:rsidR="00927634" w:rsidRPr="000542DA" w:rsidRDefault="00927634" w:rsidP="00566711">
      <w:pPr>
        <w:pStyle w:val="20"/>
        <w:spacing w:before="120" w:after="120"/>
        <w:ind w:leftChars="0" w:left="0"/>
        <w:rPr>
          <w:rFonts w:eastAsia="Yu Mincho"/>
          <w:sz w:val="24"/>
          <w:szCs w:val="24"/>
          <w:lang w:val="en-GB"/>
        </w:rPr>
      </w:pPr>
      <w:r w:rsidRPr="000542DA">
        <w:rPr>
          <w:rFonts w:eastAsia="Yu Mincho"/>
          <w:sz w:val="24"/>
          <w:szCs w:val="24"/>
          <w:lang w:val="en-GB"/>
        </w:rPr>
        <w:t xml:space="preserve">Note: in this AMP, </w:t>
      </w:r>
      <w:r w:rsidR="00915C33" w:rsidRPr="000542DA">
        <w:rPr>
          <w:rFonts w:eastAsia="Yu Mincho"/>
          <w:sz w:val="24"/>
          <w:szCs w:val="24"/>
          <w:lang w:val="en-GB"/>
        </w:rPr>
        <w:t xml:space="preserve">“qualified condition”, </w:t>
      </w:r>
      <w:r w:rsidRPr="000542DA">
        <w:rPr>
          <w:rFonts w:eastAsia="Yu Mincho"/>
          <w:sz w:val="24"/>
          <w:szCs w:val="24"/>
          <w:lang w:val="en-GB"/>
        </w:rPr>
        <w:t>“equipment” and “component</w:t>
      </w:r>
      <w:r w:rsidR="002A2C43" w:rsidRPr="000542DA">
        <w:rPr>
          <w:rFonts w:eastAsia="Yu Mincho"/>
          <w:sz w:val="24"/>
          <w:szCs w:val="24"/>
          <w:lang w:val="en-GB"/>
        </w:rPr>
        <w:t>s</w:t>
      </w:r>
      <w:r w:rsidRPr="000542DA">
        <w:rPr>
          <w:rFonts w:eastAsia="Yu Mincho"/>
          <w:sz w:val="24"/>
          <w:szCs w:val="24"/>
          <w:lang w:val="en-GB"/>
        </w:rPr>
        <w:t>” have the following meaning</w:t>
      </w:r>
      <w:r w:rsidR="000C4242" w:rsidRPr="000542DA">
        <w:rPr>
          <w:rFonts w:eastAsia="Yu Mincho"/>
          <w:sz w:val="24"/>
          <w:szCs w:val="24"/>
          <w:lang w:val="en-GB"/>
        </w:rPr>
        <w:t>:</w:t>
      </w:r>
    </w:p>
    <w:p w14:paraId="60E22C56" w14:textId="77777777" w:rsidR="00915C33" w:rsidRPr="000542DA" w:rsidRDefault="00915C33" w:rsidP="00566711">
      <w:pPr>
        <w:pStyle w:val="20"/>
        <w:numPr>
          <w:ilvl w:val="0"/>
          <w:numId w:val="30"/>
        </w:numPr>
        <w:spacing w:before="120" w:after="120"/>
        <w:ind w:leftChars="0" w:left="425"/>
        <w:rPr>
          <w:rFonts w:eastAsia="Yu Mincho"/>
          <w:sz w:val="24"/>
          <w:szCs w:val="24"/>
          <w:lang w:val="en-GB"/>
        </w:rPr>
      </w:pPr>
      <w:r w:rsidRPr="000542DA">
        <w:rPr>
          <w:rFonts w:eastAsia="Yu Mincho"/>
          <w:sz w:val="24"/>
          <w:szCs w:val="24"/>
          <w:lang w:val="en-GB"/>
        </w:rPr>
        <w:t>Qualified condition:</w:t>
      </w:r>
    </w:p>
    <w:p w14:paraId="5FCBD9D3" w14:textId="77777777" w:rsidR="00915C33" w:rsidRPr="000542DA" w:rsidRDefault="00D127D7" w:rsidP="00566711">
      <w:pPr>
        <w:pStyle w:val="20"/>
        <w:spacing w:before="120" w:after="120"/>
        <w:ind w:leftChars="0" w:left="425"/>
        <w:rPr>
          <w:rFonts w:eastAsia="Yu Mincho"/>
          <w:sz w:val="24"/>
          <w:szCs w:val="24"/>
          <w:lang w:val="en-GB"/>
        </w:rPr>
      </w:pPr>
      <w:r w:rsidRPr="000542DA">
        <w:rPr>
          <w:rFonts w:eastAsia="Yu Mincho"/>
          <w:sz w:val="24"/>
          <w:szCs w:val="24"/>
          <w:lang w:val="en-GB"/>
        </w:rPr>
        <w:t xml:space="preserve">Condition of equipment, prior to the start of an accident, for which the equipment was demonstrated to meet the design requirements for the specified service conditions. This </w:t>
      </w:r>
      <w:r w:rsidR="002C1D42">
        <w:rPr>
          <w:rFonts w:eastAsia="Yu Mincho"/>
          <w:sz w:val="24"/>
          <w:szCs w:val="24"/>
          <w:lang w:val="en-GB"/>
        </w:rPr>
        <w:t xml:space="preserve">equipment </w:t>
      </w:r>
      <w:r w:rsidRPr="000542DA">
        <w:rPr>
          <w:rFonts w:eastAsia="Yu Mincho"/>
          <w:sz w:val="24"/>
          <w:szCs w:val="24"/>
          <w:lang w:val="en-GB"/>
        </w:rPr>
        <w:t>could include certain post</w:t>
      </w:r>
      <w:r w:rsidR="002A2C4D" w:rsidRPr="000542DA">
        <w:rPr>
          <w:rFonts w:eastAsia="Yu Mincho"/>
          <w:sz w:val="24"/>
          <w:szCs w:val="24"/>
          <w:lang w:val="en-GB"/>
        </w:rPr>
        <w:t>-</w:t>
      </w:r>
      <w:r w:rsidRPr="000542DA">
        <w:rPr>
          <w:rFonts w:eastAsia="Yu Mincho"/>
          <w:sz w:val="24"/>
          <w:szCs w:val="24"/>
          <w:lang w:val="en-GB"/>
        </w:rPr>
        <w:t>accident cooling and monitoring systems that are expected to remain operational [1].</w:t>
      </w:r>
      <w:r w:rsidR="00CA6155" w:rsidRPr="000542DA">
        <w:rPr>
          <w:rFonts w:eastAsia="Yu Mincho"/>
          <w:sz w:val="24"/>
          <w:szCs w:val="24"/>
          <w:lang w:val="en-GB"/>
        </w:rPr>
        <w:t xml:space="preserve"> This is also called “end of qualified life parameter” or “qualified level of degradation (QLD)” [1</w:t>
      </w:r>
      <w:r w:rsidR="00B80733">
        <w:rPr>
          <w:rFonts w:eastAsia="Yu Mincho"/>
          <w:sz w:val="24"/>
          <w:szCs w:val="24"/>
          <w:lang w:val="en-GB"/>
        </w:rPr>
        <w:t>4</w:t>
      </w:r>
      <w:r w:rsidR="00CA6155" w:rsidRPr="000542DA">
        <w:rPr>
          <w:rFonts w:eastAsia="Yu Mincho"/>
          <w:sz w:val="24"/>
          <w:szCs w:val="24"/>
          <w:lang w:val="en-GB"/>
        </w:rPr>
        <w:t>]</w:t>
      </w:r>
      <w:r w:rsidR="00615485" w:rsidRPr="000542DA">
        <w:rPr>
          <w:rFonts w:eastAsia="Yu Mincho"/>
          <w:sz w:val="24"/>
          <w:szCs w:val="24"/>
          <w:lang w:val="en-GB"/>
        </w:rPr>
        <w:t>.</w:t>
      </w:r>
    </w:p>
    <w:p w14:paraId="2A7053C9" w14:textId="77777777" w:rsidR="00927634" w:rsidRPr="000542DA" w:rsidRDefault="00927634" w:rsidP="00566711">
      <w:pPr>
        <w:pStyle w:val="20"/>
        <w:numPr>
          <w:ilvl w:val="0"/>
          <w:numId w:val="30"/>
        </w:numPr>
        <w:spacing w:before="120" w:after="120"/>
        <w:ind w:leftChars="0" w:left="425"/>
        <w:rPr>
          <w:rFonts w:eastAsia="Yu Mincho"/>
          <w:sz w:val="24"/>
          <w:szCs w:val="24"/>
          <w:lang w:val="en-GB"/>
        </w:rPr>
      </w:pPr>
      <w:r w:rsidRPr="000542DA">
        <w:rPr>
          <w:rFonts w:eastAsia="Yu Mincho"/>
          <w:sz w:val="24"/>
          <w:szCs w:val="24"/>
          <w:lang w:val="en-GB"/>
        </w:rPr>
        <w:t>Equipment:</w:t>
      </w:r>
    </w:p>
    <w:p w14:paraId="324B2195" w14:textId="77777777" w:rsidR="00927634" w:rsidRPr="000542DA" w:rsidRDefault="00927634" w:rsidP="00566711">
      <w:pPr>
        <w:pStyle w:val="20"/>
        <w:spacing w:before="120" w:after="120"/>
        <w:ind w:leftChars="0" w:left="425"/>
        <w:rPr>
          <w:rFonts w:eastAsia="Yu Mincho"/>
          <w:sz w:val="24"/>
          <w:szCs w:val="24"/>
          <w:lang w:val="en-GB"/>
        </w:rPr>
      </w:pPr>
      <w:r w:rsidRPr="000542DA">
        <w:rPr>
          <w:rFonts w:eastAsia="Yu Mincho"/>
          <w:sz w:val="24"/>
          <w:szCs w:val="24"/>
          <w:lang w:val="en-GB"/>
        </w:rPr>
        <w:t xml:space="preserve">Assembly of components designed and manufactured to perform specific functions. Sensors, cables, electrically operated valves, </w:t>
      </w:r>
      <w:r w:rsidR="00C71197">
        <w:rPr>
          <w:rFonts w:eastAsia="Yu Mincho"/>
          <w:sz w:val="24"/>
          <w:szCs w:val="24"/>
          <w:lang w:val="en-GB"/>
        </w:rPr>
        <w:t>Instrumentation and Control (</w:t>
      </w:r>
      <w:r w:rsidRPr="000542DA">
        <w:rPr>
          <w:rFonts w:eastAsia="Yu Mincho"/>
          <w:sz w:val="24"/>
          <w:szCs w:val="24"/>
          <w:lang w:val="en-GB"/>
        </w:rPr>
        <w:t>I&amp;C</w:t>
      </w:r>
      <w:r w:rsidR="00C71197">
        <w:rPr>
          <w:rFonts w:eastAsia="Yu Mincho"/>
          <w:sz w:val="24"/>
          <w:szCs w:val="24"/>
          <w:lang w:val="en-GB"/>
        </w:rPr>
        <w:t>)</w:t>
      </w:r>
      <w:r w:rsidRPr="000542DA">
        <w:rPr>
          <w:rFonts w:eastAsia="Yu Mincho"/>
          <w:sz w:val="24"/>
          <w:szCs w:val="24"/>
          <w:lang w:val="en-GB"/>
        </w:rPr>
        <w:t xml:space="preserve"> cabinet or racks are examples of equipment [1].</w:t>
      </w:r>
    </w:p>
    <w:p w14:paraId="0754299F" w14:textId="77777777" w:rsidR="00D127D7" w:rsidRPr="000542DA" w:rsidRDefault="00927634" w:rsidP="00566711">
      <w:pPr>
        <w:pStyle w:val="20"/>
        <w:numPr>
          <w:ilvl w:val="0"/>
          <w:numId w:val="30"/>
        </w:numPr>
        <w:spacing w:before="120" w:after="120"/>
        <w:ind w:leftChars="0" w:left="425"/>
        <w:rPr>
          <w:rFonts w:eastAsia="Yu Mincho"/>
          <w:sz w:val="24"/>
          <w:szCs w:val="24"/>
          <w:lang w:val="en-GB"/>
        </w:rPr>
      </w:pPr>
      <w:r w:rsidRPr="000542DA">
        <w:rPr>
          <w:rFonts w:eastAsia="Yu Mincho"/>
          <w:sz w:val="24"/>
          <w:szCs w:val="24"/>
          <w:lang w:val="en-GB"/>
        </w:rPr>
        <w:t>Components:</w:t>
      </w:r>
    </w:p>
    <w:p w14:paraId="42CD8018" w14:textId="77777777" w:rsidR="00A27E6E" w:rsidRPr="000542DA" w:rsidRDefault="00927634" w:rsidP="00566711">
      <w:pPr>
        <w:pStyle w:val="20"/>
        <w:spacing w:before="120" w:after="120"/>
        <w:ind w:leftChars="0" w:left="425"/>
        <w:rPr>
          <w:rFonts w:eastAsia="Yu Mincho"/>
          <w:sz w:val="24"/>
          <w:szCs w:val="24"/>
          <w:lang w:val="en-GB"/>
        </w:rPr>
      </w:pPr>
      <w:r w:rsidRPr="000542DA">
        <w:rPr>
          <w:rFonts w:eastAsia="Yu Mincho"/>
          <w:sz w:val="24"/>
          <w:szCs w:val="24"/>
          <w:lang w:val="en-GB"/>
        </w:rPr>
        <w:t xml:space="preserve">Parts of the “equipment”. Discrete elements of a system. Examples of components are wires, </w:t>
      </w:r>
      <w:r w:rsidRPr="000542DA">
        <w:rPr>
          <w:rFonts w:eastAsia="Yu Mincho"/>
          <w:sz w:val="24"/>
          <w:szCs w:val="24"/>
          <w:lang w:val="en-GB"/>
        </w:rPr>
        <w:lastRenderedPageBreak/>
        <w:t>transistors, integrated circuits, motors, relays, solenoids, pipes, fittings, pumps, tanks and valves [</w:t>
      </w:r>
      <w:r w:rsidR="00B80733">
        <w:rPr>
          <w:rFonts w:eastAsia="Yu Mincho"/>
          <w:sz w:val="24"/>
          <w:szCs w:val="24"/>
          <w:lang w:val="en-GB"/>
        </w:rPr>
        <w:t>10</w:t>
      </w:r>
      <w:r w:rsidRPr="000542DA">
        <w:rPr>
          <w:rFonts w:eastAsia="Yu Mincho"/>
          <w:sz w:val="24"/>
          <w:szCs w:val="24"/>
          <w:lang w:val="en-GB"/>
        </w:rPr>
        <w:t>].</w:t>
      </w:r>
    </w:p>
    <w:p w14:paraId="60B7EF8F" w14:textId="71A1BA29" w:rsidR="005E1600" w:rsidRPr="000542DA" w:rsidRDefault="005E1600" w:rsidP="00566711">
      <w:pPr>
        <w:rPr>
          <w:b/>
          <w:lang w:val="en-GB"/>
        </w:rPr>
      </w:pPr>
      <w:r w:rsidRPr="000542DA">
        <w:rPr>
          <w:b/>
          <w:lang w:val="en-GB"/>
        </w:rPr>
        <w:t>Reassess</w:t>
      </w:r>
      <w:r w:rsidR="00E143D5">
        <w:rPr>
          <w:b/>
          <w:lang w:val="en-GB"/>
        </w:rPr>
        <w:t>ment</w:t>
      </w:r>
      <w:r w:rsidRPr="000542DA">
        <w:rPr>
          <w:b/>
          <w:lang w:val="en-GB"/>
        </w:rPr>
        <w:t xml:space="preserve"> of qualified life</w:t>
      </w:r>
    </w:p>
    <w:p w14:paraId="0B6E2ECC" w14:textId="56BE2567" w:rsidR="00CC4103" w:rsidRPr="000542DA" w:rsidRDefault="00652E93" w:rsidP="00566711">
      <w:pPr>
        <w:rPr>
          <w:lang w:val="en-GB"/>
        </w:rPr>
      </w:pPr>
      <w:bookmarkStart w:id="2" w:name="_Hlk10480976"/>
      <w:r w:rsidRPr="000542DA">
        <w:rPr>
          <w:lang w:val="en-GB"/>
        </w:rPr>
        <w:t xml:space="preserve">Current </w:t>
      </w:r>
      <w:r w:rsidR="006D06BF" w:rsidRPr="000542DA">
        <w:rPr>
          <w:lang w:val="en-GB"/>
        </w:rPr>
        <w:t xml:space="preserve">qualified life </w:t>
      </w:r>
      <w:r w:rsidR="00274C8C" w:rsidRPr="000542DA">
        <w:rPr>
          <w:lang w:val="en-GB"/>
        </w:rPr>
        <w:t>may be less than the</w:t>
      </w:r>
      <w:r w:rsidR="00B54FE7" w:rsidRPr="000542DA">
        <w:rPr>
          <w:lang w:val="en-GB"/>
        </w:rPr>
        <w:t xml:space="preserve"> anticipated service life </w:t>
      </w:r>
      <w:r w:rsidR="0084724A" w:rsidRPr="000542DA">
        <w:rPr>
          <w:lang w:val="en-GB"/>
        </w:rPr>
        <w:t>for the</w:t>
      </w:r>
      <w:r w:rsidR="00274C8C" w:rsidRPr="000542DA">
        <w:rPr>
          <w:lang w:val="en-GB"/>
        </w:rPr>
        <w:t xml:space="preserve"> intended operating period. </w:t>
      </w:r>
      <w:r w:rsidR="00B54FE7" w:rsidRPr="000542DA">
        <w:rPr>
          <w:lang w:val="en-GB"/>
        </w:rPr>
        <w:t xml:space="preserve">In </w:t>
      </w:r>
      <w:r w:rsidR="00DB722B" w:rsidRPr="000542DA">
        <w:rPr>
          <w:lang w:val="en-GB"/>
        </w:rPr>
        <w:t xml:space="preserve">this </w:t>
      </w:r>
      <w:r w:rsidR="00B54FE7" w:rsidRPr="000542DA">
        <w:rPr>
          <w:lang w:val="en-GB"/>
        </w:rPr>
        <w:t>case, t</w:t>
      </w:r>
      <w:r w:rsidR="00B43C7B" w:rsidRPr="000542DA">
        <w:rPr>
          <w:lang w:val="en-GB"/>
        </w:rPr>
        <w:t xml:space="preserve">he </w:t>
      </w:r>
      <w:r w:rsidR="003D6CBC">
        <w:rPr>
          <w:lang w:val="en-GB"/>
        </w:rPr>
        <w:t>equipment</w:t>
      </w:r>
      <w:r w:rsidR="003D6CBC" w:rsidRPr="000542DA">
        <w:rPr>
          <w:lang w:val="en-GB"/>
        </w:rPr>
        <w:t xml:space="preserve"> </w:t>
      </w:r>
      <w:r w:rsidR="00CB70B1" w:rsidRPr="000542DA">
        <w:rPr>
          <w:lang w:val="en-GB"/>
        </w:rPr>
        <w:t>qualification</w:t>
      </w:r>
      <w:r w:rsidR="00B43C7B" w:rsidRPr="000542DA">
        <w:rPr>
          <w:lang w:val="en-GB"/>
        </w:rPr>
        <w:t xml:space="preserve"> </w:t>
      </w:r>
      <w:r w:rsidR="00162F9B" w:rsidRPr="000542DA">
        <w:rPr>
          <w:lang w:val="en-GB"/>
        </w:rPr>
        <w:t xml:space="preserve">programme </w:t>
      </w:r>
      <w:r w:rsidR="00F054D3" w:rsidRPr="000542DA">
        <w:rPr>
          <w:lang w:val="en-GB"/>
        </w:rPr>
        <w:t xml:space="preserve">requires </w:t>
      </w:r>
      <w:r w:rsidR="00CD16E3" w:rsidRPr="000542DA">
        <w:rPr>
          <w:lang w:val="en-GB"/>
        </w:rPr>
        <w:t>reassess</w:t>
      </w:r>
      <w:r w:rsidR="008B2B3C" w:rsidRPr="000542DA">
        <w:rPr>
          <w:lang w:val="en-GB"/>
        </w:rPr>
        <w:t>ing</w:t>
      </w:r>
      <w:r w:rsidR="00CD16E3" w:rsidRPr="000542DA">
        <w:rPr>
          <w:lang w:val="en-GB"/>
        </w:rPr>
        <w:t xml:space="preserve"> quali</w:t>
      </w:r>
      <w:r w:rsidR="008B2B3C" w:rsidRPr="000542DA">
        <w:rPr>
          <w:lang w:val="en-GB"/>
        </w:rPr>
        <w:t xml:space="preserve">fied life </w:t>
      </w:r>
      <w:r w:rsidR="00F054D3" w:rsidRPr="000542DA">
        <w:rPr>
          <w:lang w:val="en-GB"/>
        </w:rPr>
        <w:t xml:space="preserve">of </w:t>
      </w:r>
      <w:r w:rsidR="003F314F" w:rsidRPr="000542DA">
        <w:rPr>
          <w:lang w:val="en-GB"/>
        </w:rPr>
        <w:t>equipment</w:t>
      </w:r>
      <w:r w:rsidR="00E143D5">
        <w:rPr>
          <w:lang w:val="en-GB"/>
        </w:rPr>
        <w:t>, replacement or refurbishment</w:t>
      </w:r>
      <w:r w:rsidR="003F314F" w:rsidRPr="000542DA">
        <w:rPr>
          <w:lang w:val="en-GB"/>
        </w:rPr>
        <w:t xml:space="preserve"> </w:t>
      </w:r>
      <w:r w:rsidR="00CC4103" w:rsidRPr="000542DA">
        <w:rPr>
          <w:lang w:val="en-GB"/>
        </w:rPr>
        <w:t xml:space="preserve">prior to reaching the </w:t>
      </w:r>
      <w:r w:rsidR="008B2B3C" w:rsidRPr="000542DA">
        <w:rPr>
          <w:lang w:val="en-GB"/>
        </w:rPr>
        <w:t xml:space="preserve">limit of the </w:t>
      </w:r>
      <w:r w:rsidRPr="000542DA">
        <w:rPr>
          <w:lang w:val="en-GB"/>
        </w:rPr>
        <w:t xml:space="preserve">current </w:t>
      </w:r>
      <w:r w:rsidR="00CC4103" w:rsidRPr="000542DA">
        <w:rPr>
          <w:lang w:val="en-GB"/>
        </w:rPr>
        <w:t>qualified life.</w:t>
      </w:r>
      <w:r w:rsidR="00AA0A8F" w:rsidRPr="000542DA">
        <w:rPr>
          <w:lang w:val="en-GB"/>
        </w:rPr>
        <w:t xml:space="preserve"> </w:t>
      </w:r>
      <w:r w:rsidR="00E143D5">
        <w:rPr>
          <w:lang w:val="en-GB"/>
        </w:rPr>
        <w:t>The f</w:t>
      </w:r>
      <w:r w:rsidR="00AA0A8F" w:rsidRPr="000542DA">
        <w:rPr>
          <w:lang w:val="en-GB"/>
        </w:rPr>
        <w:t xml:space="preserve">ollowing methods </w:t>
      </w:r>
      <w:r w:rsidR="00E143D5">
        <w:rPr>
          <w:lang w:val="en-GB"/>
        </w:rPr>
        <w:t xml:space="preserve">are </w:t>
      </w:r>
      <w:r w:rsidR="00AA0A8F" w:rsidRPr="000542DA">
        <w:rPr>
          <w:lang w:val="en-GB"/>
        </w:rPr>
        <w:t xml:space="preserve">used for reassess </w:t>
      </w:r>
      <w:r w:rsidR="00C47FDE" w:rsidRPr="000542DA">
        <w:rPr>
          <w:lang w:val="en-GB"/>
        </w:rPr>
        <w:t xml:space="preserve">the </w:t>
      </w:r>
      <w:r w:rsidR="00AA0A8F" w:rsidRPr="000542DA">
        <w:rPr>
          <w:lang w:val="en-GB"/>
        </w:rPr>
        <w:t>qualified life</w:t>
      </w:r>
      <w:r w:rsidR="00655B2A" w:rsidRPr="000542DA">
        <w:rPr>
          <w:lang w:val="en-GB"/>
        </w:rPr>
        <w:t xml:space="preserve"> [</w:t>
      </w:r>
      <w:r w:rsidR="00612C54" w:rsidRPr="000542DA">
        <w:rPr>
          <w:lang w:val="en-GB"/>
        </w:rPr>
        <w:t>1</w:t>
      </w:r>
      <w:r w:rsidR="00655B2A" w:rsidRPr="000542DA">
        <w:rPr>
          <w:lang w:val="en-GB"/>
        </w:rPr>
        <w:t>]</w:t>
      </w:r>
      <w:r w:rsidR="00AA0A8F" w:rsidRPr="000542DA">
        <w:rPr>
          <w:lang w:val="en-GB"/>
        </w:rPr>
        <w:t>.</w:t>
      </w:r>
      <w:r w:rsidR="0040682C" w:rsidRPr="000542DA">
        <w:rPr>
          <w:lang w:val="en-GB"/>
        </w:rPr>
        <w:t xml:space="preserve"> </w:t>
      </w:r>
      <w:r w:rsidR="004B7C88" w:rsidRPr="000542DA">
        <w:rPr>
          <w:lang w:val="en-GB"/>
        </w:rPr>
        <w:t xml:space="preserve">If </w:t>
      </w:r>
      <w:r w:rsidR="00242604" w:rsidRPr="000542DA">
        <w:rPr>
          <w:lang w:val="en-GB"/>
        </w:rPr>
        <w:t>qualification cannot be extended by the reassessment</w:t>
      </w:r>
      <w:r w:rsidR="004B7C88" w:rsidRPr="000542DA">
        <w:rPr>
          <w:lang w:val="en-GB"/>
        </w:rPr>
        <w:t xml:space="preserve"> through these methods, c</w:t>
      </w:r>
      <w:r w:rsidR="0040682C" w:rsidRPr="000542DA">
        <w:rPr>
          <w:lang w:val="en-GB"/>
        </w:rPr>
        <w:t xml:space="preserve">omplete replacement </w:t>
      </w:r>
      <w:r w:rsidR="00EC6AF9" w:rsidRPr="000542DA">
        <w:rPr>
          <w:lang w:val="en-GB"/>
        </w:rPr>
        <w:t>of equipment</w:t>
      </w:r>
      <w:r w:rsidR="0040682C" w:rsidRPr="000542DA">
        <w:rPr>
          <w:lang w:val="en-GB"/>
        </w:rPr>
        <w:t xml:space="preserve"> </w:t>
      </w:r>
      <w:r w:rsidR="004B7C88" w:rsidRPr="000542DA">
        <w:rPr>
          <w:lang w:val="en-GB"/>
        </w:rPr>
        <w:t>may be</w:t>
      </w:r>
      <w:r w:rsidR="0040682C" w:rsidRPr="000542DA">
        <w:rPr>
          <w:lang w:val="en-GB"/>
        </w:rPr>
        <w:t xml:space="preserve"> required.</w:t>
      </w:r>
      <w:bookmarkEnd w:id="2"/>
      <w:r w:rsidR="001E47C9" w:rsidRPr="000542DA">
        <w:rPr>
          <w:lang w:val="en-GB"/>
        </w:rPr>
        <w:t xml:space="preserve"> The reassessment is performed in a timely manner (that is, sufficient time is available to replace, refurbish or requalify the </w:t>
      </w:r>
      <w:r w:rsidR="00C26F42" w:rsidRPr="000542DA">
        <w:rPr>
          <w:lang w:val="en-GB"/>
        </w:rPr>
        <w:t>equipment</w:t>
      </w:r>
      <w:r w:rsidR="001E47C9" w:rsidRPr="000542DA">
        <w:rPr>
          <w:lang w:val="en-GB"/>
        </w:rPr>
        <w:t xml:space="preserve"> if extension of qualification is unsuccessful).</w:t>
      </w:r>
    </w:p>
    <w:p w14:paraId="1D060687" w14:textId="77777777" w:rsidR="007806C9" w:rsidRPr="000542DA" w:rsidRDefault="007806C9" w:rsidP="00566711">
      <w:pPr>
        <w:pStyle w:val="3"/>
        <w:spacing w:before="120" w:after="120"/>
        <w:ind w:leftChars="0" w:left="0"/>
        <w:rPr>
          <w:sz w:val="24"/>
          <w:szCs w:val="24"/>
          <w:u w:val="single"/>
          <w:lang w:val="en-GB"/>
        </w:rPr>
      </w:pPr>
      <w:r w:rsidRPr="000542DA">
        <w:rPr>
          <w:sz w:val="24"/>
          <w:szCs w:val="24"/>
          <w:u w:val="single"/>
          <w:lang w:val="en-GB"/>
        </w:rPr>
        <w:t>Method 1: Using conservatism</w:t>
      </w:r>
    </w:p>
    <w:p w14:paraId="0B352849" w14:textId="77777777" w:rsidR="003A2427" w:rsidRPr="000542DA" w:rsidRDefault="007806C9" w:rsidP="00566711">
      <w:pPr>
        <w:pStyle w:val="30"/>
        <w:spacing w:before="120" w:afterLines="0" w:after="120" w:line="240" w:lineRule="auto"/>
        <w:ind w:leftChars="0" w:left="0" w:firstLineChars="0" w:firstLine="0"/>
        <w:rPr>
          <w:sz w:val="24"/>
          <w:szCs w:val="24"/>
          <w:lang w:val="en-GB"/>
        </w:rPr>
      </w:pPr>
      <w:r w:rsidRPr="000542DA">
        <w:rPr>
          <w:sz w:val="24"/>
          <w:szCs w:val="24"/>
          <w:lang w:val="en-GB"/>
        </w:rPr>
        <w:t xml:space="preserve">Evaluation of conservatisms in original assumptions for environmental conditions, failure criteria, and acceleration factors may identify that actual conditions are less severe, and the qualified life may be adjusted accordingly with due consideration of the required margins. </w:t>
      </w:r>
      <w:r w:rsidR="0070039D" w:rsidRPr="000542DA">
        <w:rPr>
          <w:rFonts w:eastAsia="Yu Mincho"/>
          <w:sz w:val="24"/>
          <w:szCs w:val="24"/>
          <w:lang w:val="en-GB"/>
        </w:rPr>
        <w:t>L</w:t>
      </w:r>
      <w:r w:rsidR="003A2427" w:rsidRPr="000542DA">
        <w:rPr>
          <w:rFonts w:eastAsia="Yu Mincho"/>
          <w:sz w:val="24"/>
          <w:szCs w:val="24"/>
          <w:lang w:val="en-GB"/>
        </w:rPr>
        <w:t xml:space="preserve">imitation of use of accelerating factors </w:t>
      </w:r>
      <w:r w:rsidR="003A2427" w:rsidRPr="000542DA">
        <w:rPr>
          <w:sz w:val="24"/>
          <w:szCs w:val="24"/>
          <w:lang w:val="en-GB"/>
        </w:rPr>
        <w:t>(</w:t>
      </w:r>
      <w:r w:rsidR="00DD0510">
        <w:rPr>
          <w:sz w:val="24"/>
          <w:szCs w:val="24"/>
          <w:lang w:val="en-GB"/>
        </w:rPr>
        <w:t>e.g.</w:t>
      </w:r>
      <w:r w:rsidR="003A2427" w:rsidRPr="000542DA">
        <w:rPr>
          <w:sz w:val="24"/>
          <w:szCs w:val="24"/>
          <w:lang w:val="en-GB"/>
        </w:rPr>
        <w:t xml:space="preserve"> time period extrapolation, synergy between effect of temperature and radiation, dose rate effect)</w:t>
      </w:r>
      <w:r w:rsidR="003A2427" w:rsidRPr="000542DA">
        <w:rPr>
          <w:rFonts w:eastAsia="Yu Mincho"/>
          <w:sz w:val="24"/>
          <w:szCs w:val="24"/>
          <w:lang w:val="en-GB"/>
        </w:rPr>
        <w:t>, verification of ageing models, and proper assessment of environmental conditions</w:t>
      </w:r>
      <w:r w:rsidR="0070039D" w:rsidRPr="000542DA">
        <w:rPr>
          <w:rFonts w:eastAsia="Yu Mincho"/>
          <w:sz w:val="24"/>
          <w:szCs w:val="24"/>
          <w:lang w:val="en-GB"/>
        </w:rPr>
        <w:t xml:space="preserve"> are considered</w:t>
      </w:r>
      <w:r w:rsidR="003A2427" w:rsidRPr="000542DA">
        <w:rPr>
          <w:rFonts w:eastAsia="Yu Mincho"/>
          <w:sz w:val="24"/>
          <w:szCs w:val="24"/>
          <w:lang w:val="en-GB"/>
        </w:rPr>
        <w:t xml:space="preserve"> [1].</w:t>
      </w:r>
    </w:p>
    <w:p w14:paraId="115737B0" w14:textId="77777777" w:rsidR="00C2124B" w:rsidRPr="000542DA" w:rsidRDefault="00D24D26" w:rsidP="00566711">
      <w:pPr>
        <w:pStyle w:val="30"/>
        <w:spacing w:before="120" w:afterLines="0" w:after="120" w:line="240" w:lineRule="auto"/>
        <w:ind w:leftChars="0" w:left="0" w:firstLineChars="0" w:firstLine="0"/>
        <w:rPr>
          <w:sz w:val="24"/>
          <w:szCs w:val="24"/>
          <w:lang w:val="en-GB"/>
        </w:rPr>
      </w:pPr>
      <w:r w:rsidRPr="000542DA">
        <w:rPr>
          <w:sz w:val="24"/>
          <w:szCs w:val="24"/>
          <w:lang w:val="en-GB"/>
        </w:rPr>
        <w:t xml:space="preserve">While </w:t>
      </w:r>
      <w:r w:rsidR="00927634" w:rsidRPr="000542DA">
        <w:rPr>
          <w:sz w:val="24"/>
          <w:szCs w:val="24"/>
          <w:lang w:val="en-GB"/>
        </w:rPr>
        <w:t xml:space="preserve">equipment </w:t>
      </w:r>
      <w:r w:rsidRPr="000542DA">
        <w:rPr>
          <w:sz w:val="24"/>
          <w:szCs w:val="24"/>
          <w:lang w:val="en-GB"/>
        </w:rPr>
        <w:t xml:space="preserve">life limiting condition may be due to thermal, radiation or cyclical ageing, the majority of </w:t>
      </w:r>
      <w:r w:rsidR="00927634" w:rsidRPr="000542DA">
        <w:rPr>
          <w:sz w:val="24"/>
          <w:szCs w:val="24"/>
          <w:lang w:val="en-GB"/>
        </w:rPr>
        <w:t>equipment</w:t>
      </w:r>
      <w:r w:rsidRPr="000542DA">
        <w:rPr>
          <w:sz w:val="24"/>
          <w:szCs w:val="24"/>
          <w:lang w:val="en-GB"/>
        </w:rPr>
        <w:t xml:space="preserve"> ageing limits are based on thermal conditions.</w:t>
      </w:r>
    </w:p>
    <w:p w14:paraId="5A001322" w14:textId="77777777" w:rsidR="0032142B" w:rsidRPr="000542DA" w:rsidRDefault="00D24D26" w:rsidP="00566711">
      <w:pPr>
        <w:pStyle w:val="30"/>
        <w:spacing w:before="120" w:afterLines="0" w:after="120" w:line="240" w:lineRule="auto"/>
        <w:ind w:leftChars="0" w:left="0" w:firstLineChars="0" w:firstLine="0"/>
        <w:rPr>
          <w:rFonts w:eastAsia="Yu Mincho"/>
          <w:sz w:val="24"/>
          <w:szCs w:val="24"/>
          <w:lang w:val="en-GB"/>
        </w:rPr>
      </w:pPr>
      <w:r w:rsidRPr="000542DA">
        <w:rPr>
          <w:sz w:val="24"/>
          <w:szCs w:val="24"/>
          <w:lang w:val="en-GB"/>
        </w:rPr>
        <w:t xml:space="preserve">The Arrhenius methodology is an acceptable thermal model </w:t>
      </w:r>
      <w:r w:rsidR="00F346F2" w:rsidRPr="000542DA">
        <w:rPr>
          <w:sz w:val="24"/>
          <w:szCs w:val="24"/>
          <w:lang w:val="en-GB"/>
        </w:rPr>
        <w:t xml:space="preserve">which may be used for </w:t>
      </w:r>
      <w:r w:rsidRPr="000542DA">
        <w:rPr>
          <w:sz w:val="24"/>
          <w:szCs w:val="24"/>
          <w:lang w:val="en-GB"/>
        </w:rPr>
        <w:t>performing a thermal ageing evaluation. The analytical method used for a radiation evaluation is to demonstrate qualification for the total integrated dose (</w:t>
      </w:r>
      <w:r w:rsidR="002C1D42">
        <w:rPr>
          <w:sz w:val="24"/>
          <w:szCs w:val="24"/>
          <w:lang w:val="en-GB"/>
        </w:rPr>
        <w:t xml:space="preserve">i.e. </w:t>
      </w:r>
      <w:r w:rsidRPr="000542DA">
        <w:rPr>
          <w:sz w:val="24"/>
          <w:szCs w:val="24"/>
          <w:lang w:val="en-GB"/>
        </w:rPr>
        <w:t xml:space="preserve">normal radiation </w:t>
      </w:r>
      <w:r w:rsidR="004B5592" w:rsidRPr="000542DA">
        <w:rPr>
          <w:sz w:val="24"/>
          <w:szCs w:val="24"/>
          <w:lang w:val="en-GB"/>
        </w:rPr>
        <w:t xml:space="preserve">ageing </w:t>
      </w:r>
      <w:r w:rsidRPr="000542DA">
        <w:rPr>
          <w:sz w:val="24"/>
          <w:szCs w:val="24"/>
          <w:lang w:val="en-GB"/>
        </w:rPr>
        <w:t>dose for the projected installed life plus accident radiation dose). As an example, for the intended operating period of 60 years, one acceptable method of establishing the 60-year normal radiation dose is to multiply the current operating term (</w:t>
      </w:r>
      <w:r w:rsidR="00DD0510">
        <w:rPr>
          <w:sz w:val="24"/>
          <w:szCs w:val="24"/>
          <w:lang w:val="en-GB"/>
        </w:rPr>
        <w:t>e.g.</w:t>
      </w:r>
      <w:r w:rsidRPr="000542DA">
        <w:rPr>
          <w:sz w:val="24"/>
          <w:szCs w:val="24"/>
          <w:lang w:val="en-GB"/>
        </w:rPr>
        <w:t xml:space="preserve"> 40 years) normal radiation dose by 1.5 (the intended period of operation divided by the current operating term, i.e. 60 years/40 years). The result is added to the accident radiation dose to obtain the total integrated dose for the equipment. For cyclic ageing</w:t>
      </w:r>
      <w:r w:rsidR="00B73003" w:rsidRPr="000542DA">
        <w:rPr>
          <w:sz w:val="24"/>
          <w:szCs w:val="24"/>
          <w:lang w:val="en-GB"/>
        </w:rPr>
        <w:t xml:space="preserve"> (</w:t>
      </w:r>
      <w:r w:rsidR="00DD0510">
        <w:rPr>
          <w:sz w:val="24"/>
          <w:szCs w:val="24"/>
          <w:lang w:val="en-GB"/>
        </w:rPr>
        <w:t>e.g.</w:t>
      </w:r>
      <w:r w:rsidR="00B73003" w:rsidRPr="000542DA">
        <w:rPr>
          <w:sz w:val="24"/>
          <w:szCs w:val="24"/>
          <w:lang w:val="en-GB"/>
        </w:rPr>
        <w:t xml:space="preserve"> thermal loading, mechanical loading)</w:t>
      </w:r>
      <w:r w:rsidRPr="000542DA">
        <w:rPr>
          <w:sz w:val="24"/>
          <w:szCs w:val="24"/>
          <w:lang w:val="en-GB"/>
        </w:rPr>
        <w:t>, a similar approach may be used. Other models may be justified on a case-by-case basis.</w:t>
      </w:r>
      <w:r w:rsidR="0032142B" w:rsidRPr="000542DA">
        <w:rPr>
          <w:sz w:val="24"/>
          <w:szCs w:val="24"/>
          <w:lang w:val="en-GB"/>
        </w:rPr>
        <w:t xml:space="preserve"> </w:t>
      </w:r>
    </w:p>
    <w:p w14:paraId="4FEAE208" w14:textId="77777777" w:rsidR="0031011A" w:rsidRPr="000542DA" w:rsidRDefault="009C3B89" w:rsidP="00566711">
      <w:pPr>
        <w:pStyle w:val="30"/>
        <w:spacing w:before="120" w:afterLines="0" w:after="120" w:line="240" w:lineRule="auto"/>
        <w:ind w:leftChars="0" w:left="0" w:firstLineChars="0" w:firstLine="0"/>
        <w:rPr>
          <w:sz w:val="24"/>
          <w:szCs w:val="24"/>
          <w:lang w:val="en-GB"/>
        </w:rPr>
      </w:pPr>
      <w:r w:rsidRPr="000542DA">
        <w:rPr>
          <w:sz w:val="24"/>
          <w:szCs w:val="24"/>
          <w:lang w:val="en-GB"/>
        </w:rPr>
        <w:t xml:space="preserve">Reducing excess conservatism in the </w:t>
      </w:r>
      <w:r w:rsidR="00927634" w:rsidRPr="000542DA">
        <w:rPr>
          <w:sz w:val="24"/>
          <w:szCs w:val="24"/>
          <w:lang w:val="en-GB"/>
        </w:rPr>
        <w:t>equipment</w:t>
      </w:r>
      <w:r w:rsidRPr="000542DA">
        <w:rPr>
          <w:sz w:val="24"/>
          <w:szCs w:val="24"/>
          <w:lang w:val="en-GB"/>
        </w:rPr>
        <w:t xml:space="preserve"> service conditions (for example, temperature, radiation, and cycles) used in the prior ageing evaluation is the </w:t>
      </w:r>
      <w:r w:rsidR="00121844" w:rsidRPr="000542DA">
        <w:rPr>
          <w:sz w:val="24"/>
          <w:szCs w:val="24"/>
          <w:lang w:val="en-GB"/>
        </w:rPr>
        <w:t xml:space="preserve">primary </w:t>
      </w:r>
      <w:r w:rsidRPr="000542DA">
        <w:rPr>
          <w:sz w:val="24"/>
          <w:szCs w:val="24"/>
          <w:lang w:val="en-GB"/>
        </w:rPr>
        <w:t xml:space="preserve">method used for a reanalysis. </w:t>
      </w:r>
      <w:r w:rsidR="004B3534" w:rsidRPr="000542DA">
        <w:rPr>
          <w:sz w:val="24"/>
          <w:szCs w:val="24"/>
          <w:lang w:val="en-GB"/>
        </w:rPr>
        <w:t xml:space="preserve">For example, temperature data, associated margins, and uncertainties used in an equipment </w:t>
      </w:r>
      <w:r w:rsidR="00CB70B1" w:rsidRPr="000542DA">
        <w:rPr>
          <w:sz w:val="24"/>
          <w:lang w:val="en-GB"/>
        </w:rPr>
        <w:t>qualification</w:t>
      </w:r>
      <w:r w:rsidR="004B3534" w:rsidRPr="000542DA">
        <w:rPr>
          <w:sz w:val="24"/>
          <w:szCs w:val="24"/>
          <w:lang w:val="en-GB"/>
        </w:rPr>
        <w:t xml:space="preserve"> evaluation may be based on anticipated plant design temperatures found to be conservative when compared to actual plant temperature data.</w:t>
      </w:r>
      <w:r w:rsidRPr="000542DA">
        <w:rPr>
          <w:sz w:val="24"/>
          <w:szCs w:val="24"/>
          <w:lang w:val="en-GB"/>
        </w:rPr>
        <w:t xml:space="preserve"> </w:t>
      </w:r>
      <w:r w:rsidR="00C60D31" w:rsidRPr="000542DA">
        <w:rPr>
          <w:sz w:val="24"/>
          <w:szCs w:val="24"/>
          <w:lang w:val="en-GB"/>
        </w:rPr>
        <w:t>This method requires monitoring the specific environmental conditions during normal operation of the plant.</w:t>
      </w:r>
      <w:r w:rsidRPr="000542DA">
        <w:rPr>
          <w:sz w:val="24"/>
          <w:szCs w:val="24"/>
          <w:lang w:val="en-GB"/>
        </w:rPr>
        <w:t xml:space="preserve"> </w:t>
      </w:r>
      <w:r w:rsidR="00C60D31" w:rsidRPr="000542DA">
        <w:rPr>
          <w:sz w:val="24"/>
          <w:szCs w:val="24"/>
          <w:lang w:val="en-GB"/>
        </w:rPr>
        <w:t>P</w:t>
      </w:r>
      <w:r w:rsidRPr="000542DA">
        <w:rPr>
          <w:sz w:val="24"/>
          <w:szCs w:val="24"/>
          <w:lang w:val="en-GB"/>
        </w:rPr>
        <w:t xml:space="preserve">lant temperature data can be obtained in several ways, including monitors used for technical specification compliance, other installed monitors, measurements made by plant operators during rounds, and dedicated monitoring equipment for </w:t>
      </w:r>
      <w:r w:rsidR="003D6CBC">
        <w:rPr>
          <w:sz w:val="24"/>
          <w:lang w:val="en-GB"/>
        </w:rPr>
        <w:t>equipment</w:t>
      </w:r>
      <w:r w:rsidR="003D6CBC" w:rsidRPr="000542DA">
        <w:rPr>
          <w:sz w:val="24"/>
          <w:lang w:val="en-GB"/>
        </w:rPr>
        <w:t xml:space="preserve"> </w:t>
      </w:r>
      <w:r w:rsidR="00CB70B1" w:rsidRPr="000542DA">
        <w:rPr>
          <w:sz w:val="24"/>
          <w:lang w:val="en-GB"/>
        </w:rPr>
        <w:t>qualification</w:t>
      </w:r>
      <w:r w:rsidRPr="000542DA">
        <w:rPr>
          <w:sz w:val="24"/>
          <w:szCs w:val="24"/>
          <w:lang w:val="en-GB"/>
        </w:rPr>
        <w:t xml:space="preserve">. A representative number of temperature measurements are conservatively evaluated to establish the temperatures used in an ageing evaluation. Plant temperature data may be used in an ageing evaluation in different ways, such as (a) directly applying the plant temperature data in the evaluation, or (b) using the plant temperature data to demonstrate conservatism when using plant design temperatures for an evaluation. </w:t>
      </w:r>
    </w:p>
    <w:p w14:paraId="00EE2F37" w14:textId="77777777" w:rsidR="0031011A" w:rsidRPr="000542DA" w:rsidRDefault="0031011A" w:rsidP="00566711">
      <w:pPr>
        <w:pStyle w:val="30"/>
        <w:spacing w:before="120" w:afterLines="0" w:after="120" w:line="240" w:lineRule="auto"/>
        <w:ind w:leftChars="0" w:left="0" w:firstLineChars="0" w:firstLine="0"/>
        <w:rPr>
          <w:rFonts w:eastAsia="Yu Mincho"/>
          <w:sz w:val="24"/>
          <w:szCs w:val="24"/>
          <w:lang w:val="en-GB"/>
        </w:rPr>
      </w:pPr>
      <w:r w:rsidRPr="000542DA">
        <w:rPr>
          <w:sz w:val="24"/>
          <w:szCs w:val="24"/>
          <w:lang w:val="en-GB"/>
        </w:rPr>
        <w:t>Some M</w:t>
      </w:r>
      <w:r w:rsidR="00CB54FE">
        <w:rPr>
          <w:sz w:val="24"/>
          <w:szCs w:val="24"/>
          <w:lang w:val="en-GB"/>
        </w:rPr>
        <w:t xml:space="preserve">ember </w:t>
      </w:r>
      <w:r w:rsidRPr="000542DA">
        <w:rPr>
          <w:sz w:val="24"/>
          <w:szCs w:val="24"/>
          <w:lang w:val="en-GB"/>
        </w:rPr>
        <w:t>S</w:t>
      </w:r>
      <w:r w:rsidR="00CB54FE">
        <w:rPr>
          <w:sz w:val="24"/>
          <w:szCs w:val="24"/>
          <w:lang w:val="en-GB"/>
        </w:rPr>
        <w:t>tates</w:t>
      </w:r>
      <w:r w:rsidRPr="000542DA">
        <w:rPr>
          <w:sz w:val="24"/>
          <w:szCs w:val="24"/>
          <w:lang w:val="en-GB"/>
        </w:rPr>
        <w:t xml:space="preserve"> perform a pre-analysis to identify how to implement the most efficient environmental monitoring programme. In this way monitoring may not be performed in a generic </w:t>
      </w:r>
      <w:r w:rsidRPr="000542DA">
        <w:rPr>
          <w:sz w:val="24"/>
          <w:szCs w:val="24"/>
          <w:lang w:val="en-GB"/>
        </w:rPr>
        <w:lastRenderedPageBreak/>
        <w:t>and systematic manner. Environment is measured in sensitive spots, there where conditions are envelope for given types of equipment which are used in numerous locations or even in different plants if these are of similar design.</w:t>
      </w:r>
    </w:p>
    <w:p w14:paraId="4C961072" w14:textId="77777777" w:rsidR="007C2DA7" w:rsidRPr="000542DA" w:rsidRDefault="009C3B89" w:rsidP="00566711">
      <w:pPr>
        <w:pStyle w:val="30"/>
        <w:spacing w:before="120" w:afterLines="0" w:after="120" w:line="240" w:lineRule="auto"/>
        <w:ind w:leftChars="0" w:left="0" w:firstLineChars="0" w:firstLine="0"/>
        <w:rPr>
          <w:rFonts w:eastAsia="Yu Mincho"/>
          <w:sz w:val="24"/>
          <w:szCs w:val="24"/>
          <w:lang w:val="en-GB"/>
        </w:rPr>
      </w:pPr>
      <w:r w:rsidRPr="000542DA">
        <w:rPr>
          <w:sz w:val="24"/>
          <w:szCs w:val="24"/>
          <w:lang w:val="en-GB"/>
        </w:rPr>
        <w:t xml:space="preserve">Any changes to material activation energy values as part of a reanalysis </w:t>
      </w:r>
      <w:r w:rsidR="009753D5" w:rsidRPr="000542DA">
        <w:rPr>
          <w:sz w:val="24"/>
          <w:szCs w:val="24"/>
          <w:lang w:val="en-GB"/>
        </w:rPr>
        <w:t xml:space="preserve">can be made </w:t>
      </w:r>
      <w:r w:rsidRPr="000542DA">
        <w:rPr>
          <w:sz w:val="24"/>
          <w:szCs w:val="24"/>
          <w:lang w:val="en-GB"/>
        </w:rPr>
        <w:t xml:space="preserve">on </w:t>
      </w:r>
      <w:r w:rsidR="00FD1A1D" w:rsidRPr="000542DA">
        <w:rPr>
          <w:sz w:val="24"/>
          <w:szCs w:val="24"/>
          <w:lang w:val="en-GB"/>
        </w:rPr>
        <w:t>a component</w:t>
      </w:r>
      <w:r w:rsidR="00D3652F" w:rsidRPr="000542DA">
        <w:rPr>
          <w:sz w:val="24"/>
          <w:szCs w:val="24"/>
          <w:lang w:val="en-GB"/>
        </w:rPr>
        <w:t>/</w:t>
      </w:r>
      <w:r w:rsidR="00FD1A1D" w:rsidRPr="000542DA">
        <w:rPr>
          <w:sz w:val="24"/>
          <w:szCs w:val="24"/>
          <w:lang w:val="en-GB"/>
        </w:rPr>
        <w:t xml:space="preserve">material </w:t>
      </w:r>
      <w:r w:rsidRPr="000542DA">
        <w:rPr>
          <w:sz w:val="24"/>
          <w:szCs w:val="24"/>
          <w:lang w:val="en-GB"/>
        </w:rPr>
        <w:t>specific basis</w:t>
      </w:r>
      <w:r w:rsidR="00267B0E" w:rsidRPr="000542DA">
        <w:rPr>
          <w:sz w:val="24"/>
          <w:szCs w:val="24"/>
          <w:lang w:val="en-GB"/>
        </w:rPr>
        <w:t xml:space="preserve"> </w:t>
      </w:r>
      <w:r w:rsidR="00267B0E" w:rsidRPr="000542DA">
        <w:rPr>
          <w:sz w:val="24"/>
          <w:lang w:val="en-GB"/>
        </w:rPr>
        <w:t>provided that sufficient technical justification is defined and documented</w:t>
      </w:r>
      <w:r w:rsidRPr="000542DA">
        <w:rPr>
          <w:sz w:val="24"/>
          <w:szCs w:val="24"/>
          <w:lang w:val="en-GB"/>
        </w:rPr>
        <w:t xml:space="preserve">. Similar methods of reducing excess conservatism in the </w:t>
      </w:r>
      <w:r w:rsidR="00927634" w:rsidRPr="000542DA">
        <w:rPr>
          <w:sz w:val="24"/>
          <w:szCs w:val="24"/>
          <w:lang w:val="en-GB"/>
        </w:rPr>
        <w:t>equipment</w:t>
      </w:r>
      <w:r w:rsidRPr="000542DA">
        <w:rPr>
          <w:sz w:val="24"/>
          <w:szCs w:val="24"/>
          <w:lang w:val="en-GB"/>
        </w:rPr>
        <w:t xml:space="preserve"> service conditions used in prior ageing evaluations can be used for </w:t>
      </w:r>
      <w:r w:rsidR="004D6FE1" w:rsidRPr="000542DA">
        <w:rPr>
          <w:sz w:val="24"/>
          <w:szCs w:val="24"/>
          <w:lang w:val="en-GB"/>
        </w:rPr>
        <w:t xml:space="preserve">other identified </w:t>
      </w:r>
      <w:r w:rsidRPr="000542DA">
        <w:rPr>
          <w:sz w:val="24"/>
          <w:szCs w:val="24"/>
          <w:lang w:val="en-GB"/>
        </w:rPr>
        <w:t>ageing</w:t>
      </w:r>
      <w:r w:rsidR="004D6FE1" w:rsidRPr="000542DA">
        <w:rPr>
          <w:sz w:val="24"/>
          <w:szCs w:val="24"/>
          <w:lang w:val="en-GB"/>
        </w:rPr>
        <w:t xml:space="preserve"> stressors</w:t>
      </w:r>
      <w:r w:rsidRPr="000542DA">
        <w:rPr>
          <w:sz w:val="24"/>
          <w:szCs w:val="24"/>
          <w:lang w:val="en-GB"/>
        </w:rPr>
        <w:t>.</w:t>
      </w:r>
    </w:p>
    <w:p w14:paraId="3401B97C" w14:textId="77777777" w:rsidR="008A0EAA" w:rsidRPr="000542DA" w:rsidRDefault="00A06647" w:rsidP="00566711">
      <w:pPr>
        <w:pStyle w:val="30"/>
        <w:spacing w:before="120" w:afterLines="0" w:after="120" w:line="240" w:lineRule="auto"/>
        <w:ind w:leftChars="0" w:left="0" w:firstLineChars="0" w:firstLine="0"/>
        <w:rPr>
          <w:rFonts w:eastAsia="Yu Mincho"/>
          <w:sz w:val="24"/>
          <w:szCs w:val="24"/>
          <w:lang w:val="en-GB"/>
        </w:rPr>
      </w:pPr>
      <w:r>
        <w:rPr>
          <w:sz w:val="24"/>
          <w:lang w:val="en-GB"/>
        </w:rPr>
        <w:t>In</w:t>
      </w:r>
      <w:r w:rsidR="005E4B53">
        <w:rPr>
          <w:sz w:val="24"/>
          <w:lang w:val="en-GB"/>
        </w:rPr>
        <w:t>-</w:t>
      </w:r>
      <w:r>
        <w:rPr>
          <w:sz w:val="24"/>
          <w:lang w:val="en-GB"/>
        </w:rPr>
        <w:t>scope</w:t>
      </w:r>
      <w:r w:rsidR="008A0EAA" w:rsidRPr="000542DA">
        <w:rPr>
          <w:rFonts w:eastAsia="Yu Mincho"/>
          <w:sz w:val="24"/>
          <w:szCs w:val="24"/>
          <w:lang w:val="en-GB"/>
        </w:rPr>
        <w:t xml:space="preserve"> equipment ageing evaluations contain sufficient conservatism to account for environmental changes occurring due to plant modifications, seasonal changes and events. A reanalysis demonstrates that adequate conservatism is maintained, consistent with the original analysis, accounting for uncertainties established in the </w:t>
      </w:r>
      <w:r w:rsidR="00CA085F" w:rsidRPr="000542DA">
        <w:rPr>
          <w:sz w:val="24"/>
          <w:lang w:val="en-GB"/>
        </w:rPr>
        <w:t>qualification</w:t>
      </w:r>
      <w:r w:rsidR="008A0EAA" w:rsidRPr="000542DA">
        <w:rPr>
          <w:rFonts w:eastAsia="Yu Mincho"/>
          <w:sz w:val="24"/>
          <w:szCs w:val="24"/>
          <w:lang w:val="en-GB"/>
        </w:rPr>
        <w:t xml:space="preserve"> ageing evaluation for the equipment (</w:t>
      </w:r>
      <w:r w:rsidR="00DD0510">
        <w:rPr>
          <w:rFonts w:eastAsia="Yu Mincho"/>
          <w:sz w:val="24"/>
          <w:szCs w:val="24"/>
          <w:lang w:val="en-GB"/>
        </w:rPr>
        <w:t>e.g.</w:t>
      </w:r>
      <w:r w:rsidR="008A0EAA" w:rsidRPr="000542DA">
        <w:rPr>
          <w:rFonts w:eastAsia="Yu Mincho"/>
          <w:sz w:val="24"/>
          <w:szCs w:val="24"/>
          <w:lang w:val="en-GB"/>
        </w:rPr>
        <w:t xml:space="preserve"> diffusion limited oxidation, activation energy, synergistic effects, inverse temperature, and dose rate effects.). Reanalysis that </w:t>
      </w:r>
      <w:r>
        <w:rPr>
          <w:rFonts w:eastAsia="Yu Mincho"/>
          <w:sz w:val="24"/>
          <w:szCs w:val="24"/>
          <w:lang w:val="en-GB"/>
        </w:rPr>
        <w:t>uses</w:t>
      </w:r>
      <w:r w:rsidRPr="000542DA">
        <w:rPr>
          <w:rFonts w:eastAsia="Yu Mincho"/>
          <w:sz w:val="24"/>
          <w:szCs w:val="24"/>
          <w:lang w:val="en-GB"/>
        </w:rPr>
        <w:t xml:space="preserve"> </w:t>
      </w:r>
      <w:r w:rsidR="008A0EAA" w:rsidRPr="000542DA">
        <w:rPr>
          <w:rFonts w:eastAsia="Yu Mincho"/>
          <w:sz w:val="24"/>
          <w:szCs w:val="24"/>
          <w:lang w:val="en-GB"/>
        </w:rPr>
        <w:t>initial qualification conservatisms and/or in</w:t>
      </w:r>
      <w:r w:rsidR="00D52EFF" w:rsidRPr="000542DA">
        <w:rPr>
          <w:rFonts w:eastAsia="Yu Mincho"/>
          <w:sz w:val="24"/>
          <w:szCs w:val="24"/>
          <w:lang w:val="en-GB"/>
        </w:rPr>
        <w:t>-</w:t>
      </w:r>
      <w:r w:rsidR="008A0EAA" w:rsidRPr="000542DA">
        <w:rPr>
          <w:rFonts w:eastAsia="Yu Mincho"/>
          <w:sz w:val="24"/>
          <w:szCs w:val="24"/>
          <w:lang w:val="en-GB"/>
        </w:rPr>
        <w:t>service environmental conditions (</w:t>
      </w:r>
      <w:r w:rsidR="00DD0510">
        <w:rPr>
          <w:rFonts w:eastAsia="Yu Mincho"/>
          <w:sz w:val="24"/>
          <w:szCs w:val="24"/>
          <w:lang w:val="en-GB"/>
        </w:rPr>
        <w:t>e.g.</w:t>
      </w:r>
      <w:r w:rsidR="008A0EAA" w:rsidRPr="000542DA">
        <w:rPr>
          <w:rFonts w:eastAsia="Yu Mincho"/>
          <w:sz w:val="24"/>
          <w:szCs w:val="24"/>
          <w:lang w:val="en-GB"/>
        </w:rPr>
        <w:t xml:space="preserve"> actual temperature and radiation conditions) are part of </w:t>
      </w:r>
      <w:r w:rsidR="005431FE" w:rsidRPr="000542DA">
        <w:rPr>
          <w:rFonts w:eastAsia="Yu Mincho"/>
          <w:sz w:val="24"/>
          <w:szCs w:val="24"/>
          <w:lang w:val="en-GB"/>
        </w:rPr>
        <w:t xml:space="preserve">the </w:t>
      </w:r>
      <w:r>
        <w:rPr>
          <w:sz w:val="24"/>
          <w:lang w:val="en-GB"/>
        </w:rPr>
        <w:t>equipment</w:t>
      </w:r>
      <w:r w:rsidRPr="000542DA">
        <w:rPr>
          <w:sz w:val="24"/>
          <w:lang w:val="en-GB"/>
        </w:rPr>
        <w:t xml:space="preserve"> </w:t>
      </w:r>
      <w:r w:rsidR="00CB70B1" w:rsidRPr="000542DA">
        <w:rPr>
          <w:sz w:val="24"/>
          <w:lang w:val="en-GB"/>
        </w:rPr>
        <w:t>qualification</w:t>
      </w:r>
      <w:r w:rsidR="008A0EAA" w:rsidRPr="000542DA">
        <w:rPr>
          <w:rFonts w:eastAsia="Yu Mincho"/>
          <w:sz w:val="24"/>
          <w:szCs w:val="24"/>
          <w:lang w:val="en-GB"/>
        </w:rPr>
        <w:t xml:space="preserve"> program</w:t>
      </w:r>
      <w:r w:rsidR="000C4242" w:rsidRPr="000542DA">
        <w:rPr>
          <w:rFonts w:eastAsia="Yu Mincho"/>
          <w:sz w:val="24"/>
          <w:szCs w:val="24"/>
          <w:lang w:val="en-GB"/>
        </w:rPr>
        <w:t>me</w:t>
      </w:r>
      <w:r w:rsidR="008A0EAA" w:rsidRPr="000542DA">
        <w:rPr>
          <w:rFonts w:eastAsia="Yu Mincho"/>
          <w:sz w:val="24"/>
          <w:szCs w:val="24"/>
          <w:lang w:val="en-GB"/>
        </w:rPr>
        <w:t>.</w:t>
      </w:r>
    </w:p>
    <w:p w14:paraId="4135A7B5" w14:textId="77777777" w:rsidR="008A0EAA" w:rsidRPr="000542DA" w:rsidRDefault="00B86883" w:rsidP="00566711">
      <w:pPr>
        <w:pStyle w:val="30"/>
        <w:spacing w:before="120" w:afterLines="0" w:after="120" w:line="240" w:lineRule="auto"/>
        <w:ind w:leftChars="0" w:left="0" w:firstLineChars="0" w:firstLine="0"/>
        <w:rPr>
          <w:rFonts w:eastAsia="Yu Mincho"/>
          <w:sz w:val="24"/>
          <w:szCs w:val="24"/>
          <w:lang w:val="en-GB"/>
        </w:rPr>
      </w:pPr>
      <w:r w:rsidRPr="000542DA">
        <w:rPr>
          <w:sz w:val="24"/>
          <w:szCs w:val="24"/>
          <w:lang w:val="en-GB"/>
        </w:rPr>
        <w:t xml:space="preserve">In </w:t>
      </w:r>
      <w:r w:rsidR="005431FE" w:rsidRPr="000542DA">
        <w:rPr>
          <w:sz w:val="24"/>
          <w:szCs w:val="24"/>
          <w:lang w:val="en-GB"/>
        </w:rPr>
        <w:t xml:space="preserve">the </w:t>
      </w:r>
      <w:r w:rsidR="00A06647">
        <w:rPr>
          <w:sz w:val="24"/>
          <w:lang w:val="en-GB"/>
        </w:rPr>
        <w:t>equipment</w:t>
      </w:r>
      <w:r w:rsidR="00A06647" w:rsidRPr="000542DA">
        <w:rPr>
          <w:sz w:val="24"/>
          <w:lang w:val="en-GB"/>
        </w:rPr>
        <w:t xml:space="preserve"> </w:t>
      </w:r>
      <w:r w:rsidR="00CA085F" w:rsidRPr="000542DA">
        <w:rPr>
          <w:sz w:val="24"/>
          <w:lang w:val="en-GB"/>
        </w:rPr>
        <w:t>qualification</w:t>
      </w:r>
      <w:r w:rsidRPr="000542DA">
        <w:rPr>
          <w:sz w:val="24"/>
          <w:szCs w:val="24"/>
          <w:lang w:val="en-GB"/>
        </w:rPr>
        <w:t xml:space="preserve"> programme, </w:t>
      </w:r>
      <w:r w:rsidR="00C23BE4" w:rsidRPr="000542DA">
        <w:rPr>
          <w:sz w:val="24"/>
          <w:szCs w:val="24"/>
          <w:lang w:val="en-GB"/>
        </w:rPr>
        <w:t>e</w:t>
      </w:r>
      <w:r w:rsidR="00970E0A" w:rsidRPr="000542DA">
        <w:rPr>
          <w:sz w:val="24"/>
          <w:szCs w:val="24"/>
          <w:lang w:val="en-GB"/>
        </w:rPr>
        <w:t>nvironmental conditions in normal operation of the plants are monitored</w:t>
      </w:r>
      <w:r w:rsidR="00970E0A" w:rsidRPr="000542DA">
        <w:rPr>
          <w:rFonts w:eastAsia="Yu Mincho"/>
          <w:sz w:val="24"/>
          <w:szCs w:val="24"/>
          <w:lang w:val="en-GB"/>
        </w:rPr>
        <w:t xml:space="preserve"> </w:t>
      </w:r>
      <w:r w:rsidR="007C2DA7" w:rsidRPr="000542DA">
        <w:rPr>
          <w:sz w:val="24"/>
          <w:szCs w:val="24"/>
          <w:lang w:val="en-GB"/>
        </w:rPr>
        <w:t xml:space="preserve">with particular emphasis on the identification of adverse localized environments that may impact equipment’s </w:t>
      </w:r>
      <w:r w:rsidR="00CA085F" w:rsidRPr="000542DA">
        <w:rPr>
          <w:sz w:val="24"/>
          <w:lang w:val="en-GB"/>
        </w:rPr>
        <w:t>qualification</w:t>
      </w:r>
      <w:r w:rsidR="000A5254" w:rsidRPr="000542DA">
        <w:rPr>
          <w:sz w:val="24"/>
          <w:szCs w:val="24"/>
          <w:lang w:val="en-GB"/>
        </w:rPr>
        <w:t xml:space="preserve"> [</w:t>
      </w:r>
      <w:r w:rsidR="008B04A9" w:rsidRPr="000542DA">
        <w:rPr>
          <w:sz w:val="24"/>
          <w:szCs w:val="24"/>
          <w:lang w:val="en-GB"/>
        </w:rPr>
        <w:t>1</w:t>
      </w:r>
      <w:r w:rsidR="00B80733">
        <w:rPr>
          <w:sz w:val="24"/>
          <w:szCs w:val="24"/>
          <w:lang w:val="en-GB"/>
        </w:rPr>
        <w:t>1</w:t>
      </w:r>
      <w:r w:rsidR="008B04A9" w:rsidRPr="000542DA">
        <w:rPr>
          <w:sz w:val="24"/>
          <w:szCs w:val="24"/>
          <w:lang w:val="en-GB"/>
        </w:rPr>
        <w:t xml:space="preserve">, </w:t>
      </w:r>
      <w:r w:rsidR="00863388" w:rsidRPr="000542DA">
        <w:rPr>
          <w:sz w:val="24"/>
          <w:szCs w:val="24"/>
          <w:lang w:val="en-GB"/>
        </w:rPr>
        <w:t>1</w:t>
      </w:r>
      <w:r w:rsidR="00B80733">
        <w:rPr>
          <w:sz w:val="24"/>
          <w:szCs w:val="24"/>
          <w:lang w:val="en-GB"/>
        </w:rPr>
        <w:t>4</w:t>
      </w:r>
      <w:r w:rsidR="00863388" w:rsidRPr="000542DA">
        <w:rPr>
          <w:sz w:val="24"/>
          <w:szCs w:val="24"/>
          <w:lang w:val="en-GB"/>
        </w:rPr>
        <w:t>-1</w:t>
      </w:r>
      <w:r w:rsidR="00B80733">
        <w:rPr>
          <w:sz w:val="24"/>
          <w:szCs w:val="24"/>
          <w:lang w:val="en-GB"/>
        </w:rPr>
        <w:t>8</w:t>
      </w:r>
      <w:r w:rsidR="000A5254" w:rsidRPr="000542DA">
        <w:rPr>
          <w:sz w:val="24"/>
          <w:szCs w:val="24"/>
          <w:lang w:val="en-GB"/>
        </w:rPr>
        <w:t>]</w:t>
      </w:r>
      <w:r w:rsidR="00131686" w:rsidRPr="000542DA">
        <w:rPr>
          <w:sz w:val="24"/>
          <w:szCs w:val="24"/>
          <w:lang w:val="en-GB"/>
        </w:rPr>
        <w:t>.</w:t>
      </w:r>
      <w:r w:rsidR="00131686" w:rsidRPr="000542DA">
        <w:rPr>
          <w:rFonts w:eastAsia="Yu Mincho"/>
          <w:sz w:val="24"/>
          <w:szCs w:val="24"/>
          <w:lang w:val="en-GB"/>
        </w:rPr>
        <w:t xml:space="preserve"> </w:t>
      </w:r>
      <w:r w:rsidR="0097218F" w:rsidRPr="000542DA">
        <w:rPr>
          <w:sz w:val="24"/>
          <w:szCs w:val="24"/>
          <w:lang w:val="en-GB"/>
        </w:rPr>
        <w:t xml:space="preserve">When unexpected adverse </w:t>
      </w:r>
      <w:r w:rsidR="000C7E95" w:rsidRPr="000542DA">
        <w:rPr>
          <w:sz w:val="24"/>
          <w:szCs w:val="24"/>
          <w:lang w:val="en-GB"/>
        </w:rPr>
        <w:t xml:space="preserve">localized </w:t>
      </w:r>
      <w:r w:rsidR="0097218F" w:rsidRPr="000542DA">
        <w:rPr>
          <w:sz w:val="24"/>
          <w:szCs w:val="24"/>
          <w:lang w:val="en-GB"/>
        </w:rPr>
        <w:t xml:space="preserve">conditions </w:t>
      </w:r>
      <w:r w:rsidR="00960E78" w:rsidRPr="000542DA">
        <w:rPr>
          <w:sz w:val="24"/>
          <w:szCs w:val="24"/>
          <w:lang w:val="en-GB"/>
        </w:rPr>
        <w:t xml:space="preserve">that affect the environment of a qualified equipment </w:t>
      </w:r>
      <w:r w:rsidR="0097218F" w:rsidRPr="000542DA">
        <w:rPr>
          <w:sz w:val="24"/>
          <w:szCs w:val="24"/>
          <w:lang w:val="en-GB"/>
        </w:rPr>
        <w:t xml:space="preserve">are identified, the affected </w:t>
      </w:r>
      <w:r w:rsidR="00927634" w:rsidRPr="000542DA">
        <w:rPr>
          <w:sz w:val="24"/>
          <w:szCs w:val="24"/>
          <w:lang w:val="en-GB"/>
        </w:rPr>
        <w:t>equipment</w:t>
      </w:r>
      <w:r w:rsidR="00A06647">
        <w:rPr>
          <w:sz w:val="24"/>
          <w:szCs w:val="24"/>
          <w:lang w:val="en-GB"/>
        </w:rPr>
        <w:t>’s qualification</w:t>
      </w:r>
      <w:r w:rsidR="0097218F" w:rsidRPr="000542DA">
        <w:rPr>
          <w:sz w:val="24"/>
          <w:szCs w:val="24"/>
          <w:lang w:val="en-GB"/>
        </w:rPr>
        <w:t xml:space="preserve"> is </w:t>
      </w:r>
      <w:r w:rsidR="00B36147" w:rsidRPr="000542DA">
        <w:rPr>
          <w:sz w:val="24"/>
          <w:szCs w:val="24"/>
          <w:lang w:val="en-GB"/>
        </w:rPr>
        <w:t>evaluated,</w:t>
      </w:r>
      <w:r w:rsidR="0097218F" w:rsidRPr="000542DA">
        <w:rPr>
          <w:sz w:val="24"/>
          <w:szCs w:val="24"/>
          <w:lang w:val="en-GB"/>
        </w:rPr>
        <w:t xml:space="preserve"> and appropriate corrective actions are taken, which may include changes to the qualification </w:t>
      </w:r>
      <w:r w:rsidR="00F52994" w:rsidRPr="000542DA">
        <w:rPr>
          <w:sz w:val="24"/>
          <w:szCs w:val="24"/>
          <w:lang w:val="en-GB"/>
        </w:rPr>
        <w:t>bas</w:t>
      </w:r>
      <w:r w:rsidR="00F52994">
        <w:rPr>
          <w:sz w:val="24"/>
          <w:szCs w:val="24"/>
          <w:lang w:val="en-GB"/>
        </w:rPr>
        <w:t>i</w:t>
      </w:r>
      <w:r w:rsidR="00F52994" w:rsidRPr="000542DA">
        <w:rPr>
          <w:sz w:val="24"/>
          <w:szCs w:val="24"/>
          <w:lang w:val="en-GB"/>
        </w:rPr>
        <w:t xml:space="preserve">s </w:t>
      </w:r>
      <w:r w:rsidR="0097218F" w:rsidRPr="000542DA">
        <w:rPr>
          <w:sz w:val="24"/>
          <w:szCs w:val="24"/>
          <w:lang w:val="en-GB"/>
        </w:rPr>
        <w:t xml:space="preserve">and conclusions. A reanalysis demonstrates that adequate conservatism is maintained, consistent with the original analysis, accounting for uncertainties established in the </w:t>
      </w:r>
      <w:r w:rsidR="00CA085F" w:rsidRPr="000542DA">
        <w:rPr>
          <w:sz w:val="24"/>
          <w:lang w:val="en-GB"/>
        </w:rPr>
        <w:t>qualification</w:t>
      </w:r>
      <w:r w:rsidR="0097218F" w:rsidRPr="000542DA">
        <w:rPr>
          <w:sz w:val="24"/>
          <w:szCs w:val="24"/>
          <w:lang w:val="en-GB"/>
        </w:rPr>
        <w:t xml:space="preserve"> ageing evaluation for the </w:t>
      </w:r>
      <w:r w:rsidR="00927634" w:rsidRPr="000542DA">
        <w:rPr>
          <w:sz w:val="24"/>
          <w:szCs w:val="24"/>
          <w:lang w:val="en-GB"/>
        </w:rPr>
        <w:t>equipment</w:t>
      </w:r>
      <w:r w:rsidR="0097218F" w:rsidRPr="000542DA">
        <w:rPr>
          <w:sz w:val="24"/>
          <w:szCs w:val="24"/>
          <w:lang w:val="en-GB"/>
        </w:rPr>
        <w:t>.</w:t>
      </w:r>
    </w:p>
    <w:p w14:paraId="426FA68B" w14:textId="77777777" w:rsidR="007806C9" w:rsidRPr="000542DA" w:rsidRDefault="00952D45" w:rsidP="00566711">
      <w:pPr>
        <w:pStyle w:val="30"/>
        <w:spacing w:before="120" w:afterLines="0" w:after="120" w:line="240" w:lineRule="auto"/>
        <w:ind w:leftChars="0" w:left="0" w:firstLineChars="0" w:firstLine="0"/>
        <w:rPr>
          <w:sz w:val="24"/>
          <w:szCs w:val="24"/>
          <w:lang w:val="en-GB"/>
        </w:rPr>
      </w:pPr>
      <w:r w:rsidRPr="000542DA">
        <w:rPr>
          <w:sz w:val="24"/>
          <w:szCs w:val="24"/>
          <w:lang w:val="en-GB"/>
        </w:rPr>
        <w:t xml:space="preserve">Some </w:t>
      </w:r>
      <w:r w:rsidR="00C85F4C" w:rsidRPr="000542DA">
        <w:rPr>
          <w:sz w:val="24"/>
          <w:szCs w:val="24"/>
          <w:lang w:val="en-GB"/>
        </w:rPr>
        <w:t>M</w:t>
      </w:r>
      <w:r w:rsidR="006F067B">
        <w:rPr>
          <w:sz w:val="24"/>
          <w:szCs w:val="24"/>
          <w:lang w:val="en-GB"/>
        </w:rPr>
        <w:t xml:space="preserve">ember States </w:t>
      </w:r>
      <w:r w:rsidRPr="000542DA">
        <w:rPr>
          <w:sz w:val="24"/>
          <w:szCs w:val="24"/>
          <w:lang w:val="en-GB"/>
        </w:rPr>
        <w:t>take measures</w:t>
      </w:r>
      <w:r w:rsidR="00E105C9" w:rsidRPr="000542DA">
        <w:rPr>
          <w:sz w:val="24"/>
          <w:szCs w:val="24"/>
          <w:lang w:val="en-GB"/>
        </w:rPr>
        <w:t xml:space="preserve"> </w:t>
      </w:r>
      <w:r w:rsidRPr="000542DA">
        <w:rPr>
          <w:sz w:val="24"/>
          <w:szCs w:val="24"/>
          <w:lang w:val="en-GB"/>
        </w:rPr>
        <w:t xml:space="preserve">to </w:t>
      </w:r>
      <w:r w:rsidR="00DB4F86" w:rsidRPr="000542DA">
        <w:rPr>
          <w:sz w:val="24"/>
          <w:szCs w:val="24"/>
          <w:lang w:val="en-GB"/>
        </w:rPr>
        <w:t>mitigate</w:t>
      </w:r>
      <w:r w:rsidR="00E105C9" w:rsidRPr="000542DA">
        <w:rPr>
          <w:sz w:val="24"/>
          <w:szCs w:val="24"/>
          <w:lang w:val="en-GB"/>
        </w:rPr>
        <w:t xml:space="preserve"> the effects of ambient conditions on the equipment</w:t>
      </w:r>
      <w:r w:rsidR="00F860DC" w:rsidRPr="000542DA">
        <w:rPr>
          <w:sz w:val="24"/>
          <w:szCs w:val="24"/>
          <w:lang w:val="en-GB"/>
        </w:rPr>
        <w:t>,</w:t>
      </w:r>
      <w:r w:rsidR="00E105C9" w:rsidRPr="000542DA">
        <w:rPr>
          <w:sz w:val="24"/>
          <w:szCs w:val="24"/>
          <w:lang w:val="en-GB"/>
        </w:rPr>
        <w:t xml:space="preserve"> </w:t>
      </w:r>
      <w:r w:rsidR="00F860DC" w:rsidRPr="000542DA">
        <w:rPr>
          <w:sz w:val="24"/>
          <w:szCs w:val="24"/>
          <w:lang w:val="en-GB"/>
        </w:rPr>
        <w:t xml:space="preserve">in order </w:t>
      </w:r>
      <w:r w:rsidR="00E105C9" w:rsidRPr="000542DA">
        <w:rPr>
          <w:sz w:val="24"/>
          <w:szCs w:val="24"/>
          <w:lang w:val="en-GB"/>
        </w:rPr>
        <w:t xml:space="preserve">to assure additional conservatism. </w:t>
      </w:r>
      <w:r w:rsidR="00F860DC" w:rsidRPr="000542DA">
        <w:rPr>
          <w:sz w:val="24"/>
          <w:szCs w:val="24"/>
          <w:lang w:val="en-GB"/>
        </w:rPr>
        <w:t>These measures include</w:t>
      </w:r>
      <w:r w:rsidR="00E105C9" w:rsidRPr="000542DA">
        <w:rPr>
          <w:sz w:val="24"/>
          <w:szCs w:val="24"/>
          <w:lang w:val="en-GB"/>
        </w:rPr>
        <w:t xml:space="preserve"> modification of the ambient conditions by air conditioning</w:t>
      </w:r>
      <w:r w:rsidR="004125A9" w:rsidRPr="000542DA">
        <w:rPr>
          <w:sz w:val="24"/>
          <w:szCs w:val="24"/>
          <w:lang w:val="en-GB"/>
        </w:rPr>
        <w:t xml:space="preserve"> to decrease the ambient temperature</w:t>
      </w:r>
      <w:r w:rsidR="00E105C9" w:rsidRPr="000542DA">
        <w:rPr>
          <w:sz w:val="24"/>
          <w:szCs w:val="24"/>
          <w:lang w:val="en-GB"/>
        </w:rPr>
        <w:t xml:space="preserve"> and shielding or </w:t>
      </w:r>
      <w:r w:rsidR="00F860DC" w:rsidRPr="000542DA">
        <w:rPr>
          <w:sz w:val="24"/>
          <w:szCs w:val="24"/>
          <w:lang w:val="en-GB"/>
        </w:rPr>
        <w:t xml:space="preserve">relocation </w:t>
      </w:r>
      <w:r w:rsidR="00F860DC" w:rsidRPr="000542DA">
        <w:rPr>
          <w:sz w:val="24"/>
          <w:szCs w:val="24"/>
          <w:lang w:val="en-GB"/>
        </w:rPr>
        <w:t>of the equipment</w:t>
      </w:r>
      <w:r w:rsidR="004125A9" w:rsidRPr="000542DA">
        <w:rPr>
          <w:sz w:val="24"/>
          <w:szCs w:val="24"/>
          <w:lang w:val="en-GB"/>
        </w:rPr>
        <w:t xml:space="preserve"> to decrease radiation stemming from a hot spot</w:t>
      </w:r>
      <w:r w:rsidR="00F860DC" w:rsidRPr="000542DA">
        <w:rPr>
          <w:sz w:val="24"/>
          <w:szCs w:val="24"/>
          <w:lang w:val="en-GB"/>
        </w:rPr>
        <w:t>.</w:t>
      </w:r>
      <w:r w:rsidR="00C115ED" w:rsidRPr="000542DA">
        <w:rPr>
          <w:sz w:val="24"/>
          <w:szCs w:val="24"/>
          <w:lang w:val="en-GB"/>
        </w:rPr>
        <w:t xml:space="preserve"> Such </w:t>
      </w:r>
      <w:r w:rsidR="007B2FFB" w:rsidRPr="000542DA">
        <w:rPr>
          <w:sz w:val="24"/>
          <w:szCs w:val="24"/>
          <w:lang w:val="en-GB"/>
        </w:rPr>
        <w:t>reductions</w:t>
      </w:r>
      <w:r w:rsidR="007B2FFB" w:rsidRPr="000542DA">
        <w:rPr>
          <w:sz w:val="24"/>
          <w:szCs w:val="24"/>
          <w:lang w:val="en-GB" w:eastAsia="zh-CN"/>
        </w:rPr>
        <w:t xml:space="preserve"> </w:t>
      </w:r>
      <w:r w:rsidR="00C115ED" w:rsidRPr="000542DA">
        <w:rPr>
          <w:sz w:val="24"/>
          <w:szCs w:val="24"/>
          <w:lang w:val="en-GB" w:eastAsia="zh-CN"/>
        </w:rPr>
        <w:t>in exposure to the stressor’s intensity (</w:t>
      </w:r>
      <w:r w:rsidR="00DD0510">
        <w:rPr>
          <w:sz w:val="24"/>
          <w:szCs w:val="24"/>
          <w:lang w:val="en-GB" w:eastAsia="zh-CN"/>
        </w:rPr>
        <w:t>e.g.</w:t>
      </w:r>
      <w:r w:rsidR="00C115ED" w:rsidRPr="000542DA">
        <w:rPr>
          <w:sz w:val="24"/>
          <w:szCs w:val="24"/>
          <w:lang w:val="en-GB" w:eastAsia="zh-CN"/>
        </w:rPr>
        <w:t xml:space="preserve"> lowering temperature, radiation) with proper justification, can be used to extend the qualified life.</w:t>
      </w:r>
    </w:p>
    <w:p w14:paraId="5054E987" w14:textId="77777777" w:rsidR="007806C9" w:rsidRPr="000542DA" w:rsidRDefault="007806C9" w:rsidP="00566711">
      <w:pPr>
        <w:pStyle w:val="3"/>
        <w:spacing w:before="120" w:after="120"/>
        <w:ind w:leftChars="0" w:left="0"/>
        <w:rPr>
          <w:sz w:val="24"/>
          <w:szCs w:val="24"/>
          <w:u w:val="single"/>
          <w:lang w:val="en-GB"/>
        </w:rPr>
      </w:pPr>
      <w:r w:rsidRPr="000542DA">
        <w:rPr>
          <w:sz w:val="24"/>
          <w:szCs w:val="24"/>
          <w:u w:val="single"/>
          <w:lang w:val="en-GB"/>
        </w:rPr>
        <w:t>Method 2: Type test on aged samples from the plant</w:t>
      </w:r>
    </w:p>
    <w:p w14:paraId="648FC15F" w14:textId="5ACCD906" w:rsidR="009E22A1" w:rsidRPr="000542DA" w:rsidRDefault="00E143D5" w:rsidP="00566711">
      <w:pPr>
        <w:pStyle w:val="30"/>
        <w:spacing w:before="120" w:afterLines="0" w:after="120" w:line="240" w:lineRule="auto"/>
        <w:ind w:leftChars="0" w:left="0" w:firstLineChars="0" w:firstLine="0"/>
        <w:rPr>
          <w:rFonts w:eastAsia="Yu Mincho"/>
          <w:sz w:val="24"/>
          <w:szCs w:val="24"/>
          <w:lang w:val="en-GB"/>
        </w:rPr>
      </w:pPr>
      <w:r>
        <w:rPr>
          <w:sz w:val="24"/>
          <w:szCs w:val="24"/>
          <w:lang w:val="en-GB"/>
        </w:rPr>
        <w:t xml:space="preserve">This method could include </w:t>
      </w:r>
      <w:r w:rsidR="00007351">
        <w:rPr>
          <w:sz w:val="24"/>
          <w:szCs w:val="24"/>
          <w:lang w:val="en-GB"/>
        </w:rPr>
        <w:t>i</w:t>
      </w:r>
      <w:r w:rsidR="007806C9" w:rsidRPr="000542DA">
        <w:rPr>
          <w:sz w:val="24"/>
          <w:szCs w:val="24"/>
          <w:lang w:val="en-GB"/>
        </w:rPr>
        <w:t>nstall</w:t>
      </w:r>
      <w:r w:rsidR="00007351">
        <w:rPr>
          <w:sz w:val="24"/>
          <w:szCs w:val="24"/>
          <w:lang w:val="en-GB"/>
        </w:rPr>
        <w:t>ation of</w:t>
      </w:r>
      <w:r w:rsidR="007806C9" w:rsidRPr="000542DA">
        <w:rPr>
          <w:sz w:val="24"/>
          <w:szCs w:val="24"/>
          <w:lang w:val="en-GB"/>
        </w:rPr>
        <w:t xml:space="preserve"> additional qualified equipment in identical service conditions or use qualified equipment aged in the plant. </w:t>
      </w:r>
      <w:r w:rsidR="00007351">
        <w:rPr>
          <w:sz w:val="24"/>
          <w:szCs w:val="24"/>
          <w:lang w:val="en-GB"/>
        </w:rPr>
        <w:t>In addition, this method could r</w:t>
      </w:r>
      <w:r w:rsidR="007806C9" w:rsidRPr="000542DA">
        <w:rPr>
          <w:sz w:val="24"/>
          <w:szCs w:val="24"/>
          <w:lang w:val="en-GB"/>
        </w:rPr>
        <w:t xml:space="preserve">emove </w:t>
      </w:r>
      <w:r w:rsidR="00397082" w:rsidRPr="000542DA">
        <w:rPr>
          <w:sz w:val="24"/>
          <w:szCs w:val="24"/>
          <w:lang w:val="en-GB"/>
        </w:rPr>
        <w:t xml:space="preserve">in-service equipment </w:t>
      </w:r>
      <w:r w:rsidR="007806C9" w:rsidRPr="000542DA">
        <w:rPr>
          <w:sz w:val="24"/>
          <w:szCs w:val="24"/>
          <w:lang w:val="en-GB"/>
        </w:rPr>
        <w:t>before the end of the qualified life and demonstrate its safety function performance during</w:t>
      </w:r>
      <w:r w:rsidR="003C4261" w:rsidRPr="000542DA">
        <w:rPr>
          <w:sz w:val="24"/>
          <w:szCs w:val="24"/>
          <w:lang w:val="en-GB"/>
        </w:rPr>
        <w:t xml:space="preserve"> and after</w:t>
      </w:r>
      <w:r w:rsidR="007806C9" w:rsidRPr="000542DA">
        <w:rPr>
          <w:sz w:val="24"/>
          <w:szCs w:val="24"/>
          <w:lang w:val="en-GB"/>
        </w:rPr>
        <w:t xml:space="preserve"> DBE(s)</w:t>
      </w:r>
      <w:r w:rsidR="005F225A" w:rsidRPr="000542DA">
        <w:rPr>
          <w:sz w:val="24"/>
          <w:szCs w:val="24"/>
          <w:lang w:val="en-GB"/>
        </w:rPr>
        <w:t xml:space="preserve"> or other environments as defined in accordance with national regulatory requirements for </w:t>
      </w:r>
      <w:r w:rsidR="00A06647">
        <w:rPr>
          <w:sz w:val="24"/>
          <w:lang w:val="en-GB"/>
        </w:rPr>
        <w:t>equipment</w:t>
      </w:r>
      <w:r w:rsidR="00A06647" w:rsidRPr="000542DA">
        <w:rPr>
          <w:sz w:val="24"/>
          <w:lang w:val="en-GB"/>
        </w:rPr>
        <w:t xml:space="preserve"> </w:t>
      </w:r>
      <w:r w:rsidR="00CA085F" w:rsidRPr="000542DA">
        <w:rPr>
          <w:sz w:val="24"/>
          <w:lang w:val="en-GB"/>
        </w:rPr>
        <w:t>qualification</w:t>
      </w:r>
      <w:r w:rsidR="007806C9" w:rsidRPr="000542DA">
        <w:rPr>
          <w:sz w:val="24"/>
          <w:szCs w:val="24"/>
          <w:lang w:val="en-GB"/>
        </w:rPr>
        <w:t xml:space="preserve"> after further</w:t>
      </w:r>
      <w:r w:rsidR="00397082" w:rsidRPr="000542DA">
        <w:rPr>
          <w:sz w:val="24"/>
          <w:szCs w:val="24"/>
          <w:lang w:val="en-GB"/>
        </w:rPr>
        <w:t xml:space="preserve"> </w:t>
      </w:r>
      <w:r w:rsidR="00D10C95" w:rsidRPr="000542DA">
        <w:rPr>
          <w:sz w:val="24"/>
          <w:szCs w:val="24"/>
          <w:lang w:val="en-GB"/>
        </w:rPr>
        <w:t>artificial</w:t>
      </w:r>
      <w:r w:rsidR="00397082" w:rsidRPr="000542DA">
        <w:rPr>
          <w:sz w:val="24"/>
          <w:szCs w:val="24"/>
          <w:lang w:val="en-GB"/>
        </w:rPr>
        <w:t xml:space="preserve"> ageing</w:t>
      </w:r>
      <w:r w:rsidR="007806C9" w:rsidRPr="000542DA">
        <w:rPr>
          <w:sz w:val="24"/>
          <w:szCs w:val="24"/>
          <w:lang w:val="en-GB"/>
        </w:rPr>
        <w:t xml:space="preserve"> to establish additional qualified life</w:t>
      </w:r>
      <w:r w:rsidR="00206BCE" w:rsidRPr="000542DA">
        <w:rPr>
          <w:sz w:val="24"/>
          <w:szCs w:val="24"/>
          <w:lang w:val="en-GB"/>
        </w:rPr>
        <w:t xml:space="preserve"> [1]</w:t>
      </w:r>
      <w:r w:rsidR="007806C9" w:rsidRPr="000542DA">
        <w:rPr>
          <w:sz w:val="24"/>
          <w:szCs w:val="24"/>
          <w:lang w:val="en-GB"/>
        </w:rPr>
        <w:t>.</w:t>
      </w:r>
    </w:p>
    <w:p w14:paraId="79FA57D6" w14:textId="77777777" w:rsidR="007806C9" w:rsidRPr="000542DA" w:rsidRDefault="007806C9" w:rsidP="00566711">
      <w:pPr>
        <w:pStyle w:val="3"/>
        <w:spacing w:before="120" w:after="120"/>
        <w:ind w:leftChars="0" w:left="0"/>
        <w:rPr>
          <w:sz w:val="24"/>
          <w:szCs w:val="24"/>
          <w:u w:val="single"/>
          <w:lang w:val="en-GB"/>
        </w:rPr>
      </w:pPr>
      <w:r w:rsidRPr="000542DA">
        <w:rPr>
          <w:sz w:val="24"/>
          <w:szCs w:val="24"/>
          <w:u w:val="single"/>
          <w:lang w:val="en-GB"/>
        </w:rPr>
        <w:t>Method 3: Performing type test for longer qualified life</w:t>
      </w:r>
    </w:p>
    <w:p w14:paraId="1408B663" w14:textId="77777777" w:rsidR="007806C9" w:rsidRPr="000542DA" w:rsidRDefault="007806C9" w:rsidP="00566711">
      <w:pPr>
        <w:pStyle w:val="30"/>
        <w:spacing w:before="120" w:afterLines="0" w:after="120" w:line="240" w:lineRule="auto"/>
        <w:ind w:leftChars="0" w:left="0" w:firstLineChars="0" w:firstLine="0"/>
        <w:rPr>
          <w:sz w:val="24"/>
          <w:szCs w:val="24"/>
          <w:lang w:val="en-GB"/>
        </w:rPr>
      </w:pPr>
      <w:r w:rsidRPr="000542DA">
        <w:rPr>
          <w:sz w:val="24"/>
          <w:szCs w:val="24"/>
          <w:lang w:val="en-GB"/>
        </w:rPr>
        <w:t xml:space="preserve">A longer qualified life can be achieved by either </w:t>
      </w:r>
      <w:r w:rsidR="00397082" w:rsidRPr="000542DA">
        <w:rPr>
          <w:sz w:val="24"/>
          <w:szCs w:val="24"/>
          <w:lang w:val="en-GB"/>
        </w:rPr>
        <w:t xml:space="preserve">performing </w:t>
      </w:r>
      <w:r w:rsidR="00D10C95" w:rsidRPr="000542DA">
        <w:rPr>
          <w:sz w:val="24"/>
          <w:szCs w:val="24"/>
          <w:lang w:val="en-GB"/>
        </w:rPr>
        <w:t xml:space="preserve">additional </w:t>
      </w:r>
      <w:r w:rsidR="00ED74C4" w:rsidRPr="000542DA">
        <w:rPr>
          <w:sz w:val="24"/>
          <w:szCs w:val="24"/>
          <w:lang w:val="en-GB"/>
        </w:rPr>
        <w:t xml:space="preserve">artificial </w:t>
      </w:r>
      <w:r w:rsidRPr="000542DA">
        <w:rPr>
          <w:sz w:val="24"/>
          <w:szCs w:val="24"/>
          <w:lang w:val="en-GB"/>
        </w:rPr>
        <w:t>ageing</w:t>
      </w:r>
      <w:r w:rsidR="00397082" w:rsidRPr="000542DA">
        <w:rPr>
          <w:sz w:val="24"/>
          <w:szCs w:val="24"/>
          <w:lang w:val="en-GB"/>
        </w:rPr>
        <w:t xml:space="preserve"> on</w:t>
      </w:r>
      <w:r w:rsidRPr="000542DA">
        <w:rPr>
          <w:sz w:val="24"/>
          <w:szCs w:val="24"/>
          <w:lang w:val="en-GB"/>
        </w:rPr>
        <w:t xml:space="preserve"> the test sample from the initial </w:t>
      </w:r>
      <w:r w:rsidR="00ED74C4" w:rsidRPr="000542DA">
        <w:rPr>
          <w:sz w:val="24"/>
          <w:szCs w:val="24"/>
          <w:lang w:val="en-GB"/>
        </w:rPr>
        <w:t xml:space="preserve">qualification </w:t>
      </w:r>
      <w:r w:rsidRPr="000542DA">
        <w:rPr>
          <w:sz w:val="24"/>
          <w:szCs w:val="24"/>
          <w:lang w:val="en-GB"/>
        </w:rPr>
        <w:t xml:space="preserve">for additional duration or begin ageing </w:t>
      </w:r>
      <w:r w:rsidR="00397082" w:rsidRPr="000542DA">
        <w:rPr>
          <w:sz w:val="24"/>
          <w:szCs w:val="24"/>
          <w:lang w:val="en-GB"/>
        </w:rPr>
        <w:t xml:space="preserve">on </w:t>
      </w:r>
      <w:r w:rsidRPr="000542DA">
        <w:rPr>
          <w:sz w:val="24"/>
          <w:szCs w:val="24"/>
          <w:lang w:val="en-GB"/>
        </w:rPr>
        <w:t xml:space="preserve">a new sample </w:t>
      </w:r>
      <w:r w:rsidRPr="000542DA">
        <w:rPr>
          <w:sz w:val="24"/>
          <w:szCs w:val="24"/>
          <w:lang w:val="en-GB"/>
        </w:rPr>
        <w:t>while the qualified equipment is in service. Equipment safety function is then demonstrated by successfully passing accident condition test</w:t>
      </w:r>
      <w:r w:rsidR="00E92A4A" w:rsidRPr="000542DA">
        <w:rPr>
          <w:sz w:val="24"/>
          <w:szCs w:val="24"/>
          <w:lang w:val="en-GB"/>
        </w:rPr>
        <w:t xml:space="preserve"> [1]</w:t>
      </w:r>
      <w:r w:rsidRPr="000542DA">
        <w:rPr>
          <w:sz w:val="24"/>
          <w:szCs w:val="24"/>
          <w:lang w:val="en-GB"/>
        </w:rPr>
        <w:t>.</w:t>
      </w:r>
    </w:p>
    <w:p w14:paraId="2D49C15E" w14:textId="77777777" w:rsidR="007806C9" w:rsidRPr="000542DA" w:rsidRDefault="007806C9" w:rsidP="00566711">
      <w:pPr>
        <w:pStyle w:val="30"/>
        <w:spacing w:before="120" w:afterLines="0" w:after="120" w:line="240" w:lineRule="auto"/>
        <w:ind w:leftChars="0" w:left="0" w:firstLineChars="0" w:firstLine="0"/>
        <w:rPr>
          <w:sz w:val="24"/>
          <w:szCs w:val="24"/>
          <w:u w:val="single"/>
          <w:lang w:val="en-GB"/>
        </w:rPr>
      </w:pPr>
      <w:r w:rsidRPr="000542DA">
        <w:rPr>
          <w:sz w:val="24"/>
          <w:szCs w:val="24"/>
          <w:u w:val="single"/>
          <w:lang w:val="en-GB"/>
        </w:rPr>
        <w:t>Method 4: Component replacement</w:t>
      </w:r>
    </w:p>
    <w:p w14:paraId="018BFEFB" w14:textId="77777777" w:rsidR="007806C9" w:rsidRPr="000542DA" w:rsidRDefault="007806C9" w:rsidP="00566711">
      <w:pPr>
        <w:pStyle w:val="30"/>
        <w:spacing w:before="120" w:afterLines="0" w:after="120" w:line="240" w:lineRule="auto"/>
        <w:ind w:leftChars="0" w:left="0" w:firstLineChars="0" w:firstLine="0"/>
        <w:rPr>
          <w:sz w:val="24"/>
          <w:szCs w:val="24"/>
          <w:lang w:val="en-GB"/>
        </w:rPr>
      </w:pPr>
      <w:r w:rsidRPr="000542DA">
        <w:rPr>
          <w:sz w:val="24"/>
          <w:szCs w:val="24"/>
          <w:lang w:val="en-GB"/>
        </w:rPr>
        <w:t>Identify age-sensitive components</w:t>
      </w:r>
      <w:r w:rsidR="00814E3D" w:rsidRPr="000542DA">
        <w:rPr>
          <w:sz w:val="24"/>
          <w:szCs w:val="24"/>
          <w:lang w:val="en-GB"/>
        </w:rPr>
        <w:t xml:space="preserve"> of equipment</w:t>
      </w:r>
      <w:r w:rsidRPr="000542DA">
        <w:rPr>
          <w:sz w:val="24"/>
          <w:szCs w:val="24"/>
          <w:lang w:val="en-GB"/>
        </w:rPr>
        <w:t xml:space="preserve"> and replace them with new, identical components</w:t>
      </w:r>
      <w:r w:rsidR="00432715" w:rsidRPr="000542DA">
        <w:rPr>
          <w:sz w:val="24"/>
          <w:szCs w:val="24"/>
          <w:lang w:val="en-GB"/>
        </w:rPr>
        <w:t xml:space="preserve"> or with less sensitive components</w:t>
      </w:r>
      <w:r w:rsidRPr="000542DA">
        <w:rPr>
          <w:sz w:val="24"/>
          <w:szCs w:val="24"/>
          <w:lang w:val="en-GB"/>
        </w:rPr>
        <w:t xml:space="preserve"> to extend qualification. Consideration </w:t>
      </w:r>
      <w:r w:rsidR="003D1468" w:rsidRPr="000542DA">
        <w:rPr>
          <w:sz w:val="24"/>
          <w:szCs w:val="24"/>
          <w:lang w:val="en-GB"/>
        </w:rPr>
        <w:t>is</w:t>
      </w:r>
      <w:r w:rsidRPr="000542DA">
        <w:rPr>
          <w:sz w:val="24"/>
          <w:szCs w:val="24"/>
          <w:lang w:val="en-GB"/>
        </w:rPr>
        <w:t xml:space="preserve"> given to </w:t>
      </w:r>
      <w:r w:rsidR="00FA7930">
        <w:rPr>
          <w:sz w:val="24"/>
          <w:szCs w:val="24"/>
          <w:lang w:val="en-GB"/>
        </w:rPr>
        <w:t xml:space="preserve">the </w:t>
      </w:r>
      <w:r w:rsidRPr="000542DA">
        <w:rPr>
          <w:sz w:val="24"/>
          <w:szCs w:val="24"/>
          <w:lang w:val="en-GB"/>
        </w:rPr>
        <w:t>time required to have the component accessible for the replacement.</w:t>
      </w:r>
      <w:r w:rsidR="003D1468" w:rsidRPr="000542DA">
        <w:rPr>
          <w:rFonts w:eastAsia="Yu Mincho"/>
          <w:sz w:val="24"/>
          <w:szCs w:val="24"/>
          <w:lang w:val="en-GB"/>
        </w:rPr>
        <w:t xml:space="preserve"> </w:t>
      </w:r>
      <w:r w:rsidRPr="000542DA">
        <w:rPr>
          <w:sz w:val="24"/>
          <w:szCs w:val="24"/>
          <w:lang w:val="en-GB"/>
        </w:rPr>
        <w:t xml:space="preserve">This method </w:t>
      </w:r>
      <w:r w:rsidR="003D1468" w:rsidRPr="000542DA">
        <w:rPr>
          <w:sz w:val="24"/>
          <w:szCs w:val="24"/>
          <w:lang w:val="en-GB"/>
        </w:rPr>
        <w:t>is</w:t>
      </w:r>
      <w:r w:rsidRPr="000542DA">
        <w:rPr>
          <w:sz w:val="24"/>
          <w:szCs w:val="24"/>
          <w:lang w:val="en-GB"/>
        </w:rPr>
        <w:t xml:space="preserve"> not used </w:t>
      </w:r>
      <w:r w:rsidRPr="000542DA">
        <w:rPr>
          <w:sz w:val="24"/>
          <w:szCs w:val="24"/>
          <w:lang w:val="en-GB"/>
        </w:rPr>
        <w:lastRenderedPageBreak/>
        <w:t>if the disassembly of the equipment can alter its performance in service conditions (including accident conditions)</w:t>
      </w:r>
      <w:r w:rsidR="00E92A4A" w:rsidRPr="000542DA">
        <w:rPr>
          <w:sz w:val="24"/>
          <w:szCs w:val="24"/>
          <w:lang w:val="en-GB"/>
        </w:rPr>
        <w:t xml:space="preserve"> [1]</w:t>
      </w:r>
      <w:r w:rsidRPr="000542DA">
        <w:rPr>
          <w:sz w:val="24"/>
          <w:szCs w:val="24"/>
          <w:lang w:val="en-GB"/>
        </w:rPr>
        <w:t>.</w:t>
      </w:r>
    </w:p>
    <w:p w14:paraId="72C18FC3" w14:textId="77777777" w:rsidR="007806C9" w:rsidRPr="000542DA" w:rsidRDefault="007806C9" w:rsidP="00566711">
      <w:pPr>
        <w:pStyle w:val="20"/>
        <w:spacing w:before="120" w:after="120"/>
        <w:ind w:leftChars="0" w:left="0"/>
        <w:rPr>
          <w:b/>
          <w:sz w:val="24"/>
          <w:szCs w:val="24"/>
          <w:lang w:val="en-GB"/>
        </w:rPr>
      </w:pPr>
      <w:r w:rsidRPr="000542DA">
        <w:rPr>
          <w:b/>
          <w:sz w:val="24"/>
          <w:szCs w:val="24"/>
          <w:lang w:val="en-GB"/>
        </w:rPr>
        <w:t>Condition monitoring</w:t>
      </w:r>
    </w:p>
    <w:p w14:paraId="06B52EF8" w14:textId="77777777" w:rsidR="00853374" w:rsidRPr="000542DA" w:rsidRDefault="003C4CF0" w:rsidP="00566711">
      <w:pPr>
        <w:pStyle w:val="2"/>
        <w:spacing w:before="120" w:afterLines="0" w:after="120" w:line="240" w:lineRule="auto"/>
        <w:ind w:leftChars="0" w:left="0" w:firstLineChars="0" w:firstLine="0"/>
        <w:rPr>
          <w:sz w:val="24"/>
          <w:szCs w:val="24"/>
          <w:lang w:val="en-GB"/>
        </w:rPr>
      </w:pPr>
      <w:r w:rsidRPr="000542DA">
        <w:rPr>
          <w:rFonts w:eastAsia="Yu Mincho"/>
          <w:sz w:val="24"/>
          <w:szCs w:val="24"/>
          <w:lang w:val="en-GB"/>
        </w:rPr>
        <w:t>Condition monitoring</w:t>
      </w:r>
      <w:r w:rsidR="00397082" w:rsidRPr="000542DA">
        <w:rPr>
          <w:rFonts w:eastAsia="Yu Mincho"/>
          <w:sz w:val="24"/>
          <w:szCs w:val="24"/>
          <w:lang w:val="en-GB"/>
        </w:rPr>
        <w:t>,</w:t>
      </w:r>
      <w:r w:rsidRPr="000542DA">
        <w:rPr>
          <w:rFonts w:eastAsia="Yu Mincho"/>
          <w:sz w:val="24"/>
          <w:szCs w:val="24"/>
          <w:lang w:val="en-GB"/>
        </w:rPr>
        <w:t xml:space="preserve"> for </w:t>
      </w:r>
      <w:r w:rsidR="00353A03">
        <w:rPr>
          <w:rFonts w:eastAsia="Yu Mincho"/>
          <w:sz w:val="24"/>
          <w:szCs w:val="24"/>
          <w:lang w:val="en-GB"/>
        </w:rPr>
        <w:t xml:space="preserve">condition based </w:t>
      </w:r>
      <w:r w:rsidRPr="000542DA">
        <w:rPr>
          <w:rFonts w:eastAsia="Yu Mincho"/>
          <w:sz w:val="24"/>
          <w:szCs w:val="24"/>
          <w:lang w:val="en-GB"/>
        </w:rPr>
        <w:t>qualification purposes</w:t>
      </w:r>
      <w:r w:rsidR="00397082" w:rsidRPr="000542DA">
        <w:rPr>
          <w:rFonts w:eastAsia="Yu Mincho"/>
          <w:sz w:val="24"/>
          <w:szCs w:val="24"/>
          <w:lang w:val="en-GB"/>
        </w:rPr>
        <w:t>,</w:t>
      </w:r>
      <w:r w:rsidRPr="000542DA">
        <w:rPr>
          <w:rFonts w:eastAsia="Yu Mincho"/>
          <w:sz w:val="24"/>
          <w:szCs w:val="24"/>
          <w:lang w:val="en-GB"/>
        </w:rPr>
        <w:t xml:space="preserve"> monitors one or more condition indicators to determine whether equipment remains in a qualified condition.</w:t>
      </w:r>
      <w:r w:rsidR="00711DD8" w:rsidRPr="000542DA">
        <w:rPr>
          <w:rFonts w:eastAsia="Yu Mincho"/>
          <w:sz w:val="24"/>
          <w:szCs w:val="24"/>
          <w:lang w:val="en-GB"/>
        </w:rPr>
        <w:t xml:space="preserve"> </w:t>
      </w:r>
      <w:r w:rsidR="00BB6209" w:rsidRPr="000542DA">
        <w:rPr>
          <w:rFonts w:eastAsia="Yu Mincho"/>
          <w:sz w:val="24"/>
          <w:szCs w:val="24"/>
          <w:lang w:val="en-GB"/>
        </w:rPr>
        <w:t>Condition indicators are measurable, change monotonically with time</w:t>
      </w:r>
      <w:r w:rsidR="009867A8" w:rsidRPr="000542DA">
        <w:rPr>
          <w:rFonts w:eastAsia="Yu Mincho"/>
          <w:sz w:val="24"/>
          <w:szCs w:val="24"/>
          <w:lang w:val="en-GB"/>
        </w:rPr>
        <w:t xml:space="preserve"> and need to </w:t>
      </w:r>
      <w:r w:rsidR="00BB6209" w:rsidRPr="000542DA">
        <w:rPr>
          <w:rFonts w:eastAsia="Yu Mincho"/>
          <w:sz w:val="24"/>
          <w:szCs w:val="24"/>
          <w:lang w:val="en-GB"/>
        </w:rPr>
        <w:t>correlate with safety function performance under DBE</w:t>
      </w:r>
      <w:r w:rsidR="0037257D" w:rsidRPr="000542DA">
        <w:rPr>
          <w:sz w:val="24"/>
          <w:szCs w:val="24"/>
          <w:lang w:val="en-GB"/>
        </w:rPr>
        <w:t xml:space="preserve">(s) or other environments as defined in accordance with national regulatory requirements for </w:t>
      </w:r>
      <w:r w:rsidR="00F54418">
        <w:rPr>
          <w:sz w:val="24"/>
          <w:lang w:val="en-GB"/>
        </w:rPr>
        <w:t>equipment</w:t>
      </w:r>
      <w:r w:rsidR="00F54418" w:rsidRPr="000542DA">
        <w:rPr>
          <w:sz w:val="24"/>
          <w:lang w:val="en-GB"/>
        </w:rPr>
        <w:t xml:space="preserve"> </w:t>
      </w:r>
      <w:r w:rsidR="00CA085F" w:rsidRPr="000542DA">
        <w:rPr>
          <w:sz w:val="24"/>
          <w:lang w:val="en-GB"/>
        </w:rPr>
        <w:t>qualification</w:t>
      </w:r>
      <w:r w:rsidR="0037257D" w:rsidRPr="000542DA">
        <w:rPr>
          <w:sz w:val="24"/>
          <w:szCs w:val="24"/>
          <w:lang w:val="en-GB"/>
        </w:rPr>
        <w:t>.</w:t>
      </w:r>
      <w:r w:rsidR="00C0337B" w:rsidRPr="000542DA">
        <w:rPr>
          <w:sz w:val="24"/>
          <w:szCs w:val="24"/>
          <w:lang w:val="en-GB"/>
        </w:rPr>
        <w:t xml:space="preserve"> </w:t>
      </w:r>
      <w:r w:rsidR="00C34E02" w:rsidRPr="000542DA">
        <w:rPr>
          <w:sz w:val="24"/>
          <w:szCs w:val="24"/>
          <w:lang w:val="en-GB"/>
        </w:rPr>
        <w:t xml:space="preserve">The trend of the condition indicator is determined during age conditioning of the test specimen for qualification testing to establish data for comparison with observations of the same indicators during service. It is required to establish the condition of the </w:t>
      </w:r>
      <w:r w:rsidR="00C45FA9">
        <w:rPr>
          <w:sz w:val="24"/>
          <w:szCs w:val="24"/>
          <w:lang w:val="en-GB"/>
        </w:rPr>
        <w:t xml:space="preserve">equipment’s </w:t>
      </w:r>
      <w:r w:rsidR="00C34E02" w:rsidRPr="000542DA">
        <w:rPr>
          <w:sz w:val="24"/>
          <w:szCs w:val="24"/>
          <w:lang w:val="en-GB"/>
        </w:rPr>
        <w:t>condition indicator(s) at the conclusion of age conditioning, prior to testing to accident conditions</w:t>
      </w:r>
      <w:r w:rsidR="00EB287C" w:rsidRPr="000542DA">
        <w:rPr>
          <w:sz w:val="24"/>
          <w:szCs w:val="24"/>
          <w:lang w:val="en-GB"/>
        </w:rPr>
        <w:t xml:space="preserve">, which is </w:t>
      </w:r>
      <w:r w:rsidR="00EB287C" w:rsidRPr="000542DA">
        <w:rPr>
          <w:rFonts w:eastAsia="Yu Mincho"/>
          <w:sz w:val="24"/>
          <w:szCs w:val="24"/>
          <w:lang w:val="en-GB"/>
        </w:rPr>
        <w:t xml:space="preserve">called “qualified condition”. </w:t>
      </w:r>
      <w:r w:rsidR="00853374" w:rsidRPr="00353A03">
        <w:rPr>
          <w:rFonts w:eastAsia="Yu Mincho"/>
          <w:sz w:val="24"/>
          <w:szCs w:val="24"/>
          <w:lang w:val="en-GB"/>
        </w:rPr>
        <w:t>When condition-based qualification is</w:t>
      </w:r>
      <w:r w:rsidR="00853374" w:rsidRPr="000542DA">
        <w:rPr>
          <w:rFonts w:eastAsia="Yu Mincho"/>
          <w:sz w:val="24"/>
          <w:szCs w:val="24"/>
          <w:lang w:val="en-GB"/>
        </w:rPr>
        <w:t xml:space="preserve"> used, the equipment remains qualified until it reaches a point prior to the end condition that </w:t>
      </w:r>
      <w:r w:rsidR="00C45FA9" w:rsidRPr="000542DA">
        <w:rPr>
          <w:rFonts w:eastAsia="Yu Mincho"/>
          <w:sz w:val="24"/>
          <w:szCs w:val="24"/>
          <w:lang w:val="en-GB"/>
        </w:rPr>
        <w:t>considers</w:t>
      </w:r>
      <w:r w:rsidR="00853374" w:rsidRPr="000542DA">
        <w:rPr>
          <w:rFonts w:eastAsia="Yu Mincho"/>
          <w:sz w:val="24"/>
          <w:szCs w:val="24"/>
          <w:lang w:val="en-GB"/>
        </w:rPr>
        <w:t xml:space="preserve"> margin</w:t>
      </w:r>
      <w:r w:rsidR="00A0022E" w:rsidRPr="000542DA">
        <w:rPr>
          <w:rFonts w:eastAsia="Yu Mincho"/>
          <w:sz w:val="24"/>
          <w:szCs w:val="24"/>
          <w:lang w:val="en-GB"/>
        </w:rPr>
        <w:t xml:space="preserve"> [</w:t>
      </w:r>
      <w:r w:rsidR="002358BB" w:rsidRPr="000542DA">
        <w:rPr>
          <w:rFonts w:eastAsia="Yu Mincho"/>
          <w:sz w:val="24"/>
          <w:szCs w:val="24"/>
          <w:lang w:val="en-GB"/>
        </w:rPr>
        <w:t>1</w:t>
      </w:r>
      <w:r w:rsidR="00A0022E" w:rsidRPr="000542DA">
        <w:rPr>
          <w:rFonts w:eastAsia="Yu Mincho"/>
          <w:sz w:val="24"/>
          <w:szCs w:val="24"/>
          <w:lang w:val="en-GB"/>
        </w:rPr>
        <w:t>]</w:t>
      </w:r>
      <w:r w:rsidR="00853374" w:rsidRPr="000542DA">
        <w:rPr>
          <w:rFonts w:eastAsia="Yu Mincho"/>
          <w:sz w:val="24"/>
          <w:szCs w:val="24"/>
          <w:lang w:val="en-GB"/>
        </w:rPr>
        <w:t>.</w:t>
      </w:r>
      <w:r w:rsidR="0094433D" w:rsidRPr="000542DA">
        <w:rPr>
          <w:rFonts w:eastAsia="Yu Mincho"/>
          <w:sz w:val="24"/>
          <w:szCs w:val="24"/>
          <w:lang w:val="en-GB"/>
        </w:rPr>
        <w:t xml:space="preserve"> </w:t>
      </w:r>
    </w:p>
    <w:p w14:paraId="6FD79A29" w14:textId="77777777" w:rsidR="00D62271" w:rsidRPr="000542DA" w:rsidRDefault="00906816" w:rsidP="00566711">
      <w:pPr>
        <w:pStyle w:val="2"/>
        <w:spacing w:before="120" w:afterLines="0" w:after="120" w:line="240" w:lineRule="auto"/>
        <w:ind w:leftChars="0" w:left="0" w:firstLineChars="0" w:firstLine="0"/>
        <w:rPr>
          <w:rFonts w:eastAsia="Yu Mincho"/>
          <w:sz w:val="24"/>
          <w:szCs w:val="24"/>
          <w:lang w:val="en-GB"/>
        </w:rPr>
      </w:pPr>
      <w:r w:rsidRPr="000542DA">
        <w:rPr>
          <w:rFonts w:eastAsia="Yu Mincho"/>
          <w:sz w:val="24"/>
          <w:szCs w:val="24"/>
          <w:lang w:val="en-GB"/>
        </w:rPr>
        <w:t>Condition monitoring is performed during the whole operating life by adapting periodicity. As the qualified equipment approaches the qualified condition, periodic condition monitoring may be implemented at an increased rate to determine if actual ageing is occurring at a slower rate, and if further qualified service is possible based on the condition monitoring results</w:t>
      </w:r>
      <w:r w:rsidR="00C0639A" w:rsidRPr="000542DA">
        <w:rPr>
          <w:rFonts w:eastAsia="Yu Mincho"/>
          <w:sz w:val="24"/>
          <w:szCs w:val="24"/>
          <w:lang w:val="en-GB"/>
        </w:rPr>
        <w:t xml:space="preserve"> [</w:t>
      </w:r>
      <w:r w:rsidR="002358BB" w:rsidRPr="000542DA">
        <w:rPr>
          <w:rFonts w:eastAsia="Yu Mincho"/>
          <w:sz w:val="24"/>
          <w:szCs w:val="24"/>
          <w:lang w:val="en-GB"/>
        </w:rPr>
        <w:t>1</w:t>
      </w:r>
      <w:r w:rsidR="00C0639A" w:rsidRPr="000542DA">
        <w:rPr>
          <w:rFonts w:eastAsia="Yu Mincho"/>
          <w:sz w:val="24"/>
          <w:szCs w:val="24"/>
          <w:lang w:val="en-GB"/>
        </w:rPr>
        <w:t>]</w:t>
      </w:r>
      <w:r w:rsidRPr="000542DA">
        <w:rPr>
          <w:rFonts w:eastAsia="Yu Mincho"/>
          <w:sz w:val="24"/>
          <w:szCs w:val="24"/>
          <w:lang w:val="en-GB"/>
        </w:rPr>
        <w:t>.</w:t>
      </w:r>
    </w:p>
    <w:p w14:paraId="3D420E55" w14:textId="77777777" w:rsidR="00D62271" w:rsidRPr="000542DA" w:rsidRDefault="005E0119" w:rsidP="00566711">
      <w:pPr>
        <w:pStyle w:val="2"/>
        <w:spacing w:before="120" w:afterLines="0" w:after="120" w:line="240" w:lineRule="auto"/>
        <w:ind w:leftChars="0" w:left="0" w:firstLineChars="0" w:firstLine="0"/>
        <w:rPr>
          <w:rFonts w:eastAsia="Yu Mincho"/>
          <w:sz w:val="24"/>
          <w:szCs w:val="24"/>
          <w:lang w:val="en-GB"/>
        </w:rPr>
      </w:pPr>
      <w:r w:rsidRPr="000542DA">
        <w:rPr>
          <w:rFonts w:eastAsia="Yu Mincho"/>
          <w:sz w:val="24"/>
          <w:szCs w:val="24"/>
          <w:lang w:val="en-GB"/>
        </w:rPr>
        <w:t>Further information on requirement</w:t>
      </w:r>
      <w:r w:rsidR="00497688" w:rsidRPr="000542DA">
        <w:rPr>
          <w:rFonts w:eastAsia="Yu Mincho"/>
          <w:sz w:val="24"/>
          <w:szCs w:val="24"/>
          <w:lang w:val="en-GB"/>
        </w:rPr>
        <w:t>s</w:t>
      </w:r>
      <w:r w:rsidRPr="000542DA">
        <w:rPr>
          <w:rFonts w:eastAsia="Yu Mincho"/>
          <w:sz w:val="24"/>
          <w:szCs w:val="24"/>
          <w:lang w:val="en-GB"/>
        </w:rPr>
        <w:t xml:space="preserve"> for the condition indicators and methodologies to establish condition-based qualification are provided in [</w:t>
      </w:r>
      <w:r w:rsidR="002358BB" w:rsidRPr="000542DA">
        <w:rPr>
          <w:rFonts w:eastAsia="Yu Mincho"/>
          <w:sz w:val="24"/>
          <w:szCs w:val="24"/>
          <w:lang w:val="en-GB"/>
        </w:rPr>
        <w:t>1</w:t>
      </w:r>
      <w:r w:rsidR="00F4107F" w:rsidRPr="000542DA">
        <w:rPr>
          <w:rFonts w:eastAsia="Yu Mincho"/>
          <w:sz w:val="24"/>
          <w:szCs w:val="24"/>
          <w:lang w:val="en-GB"/>
        </w:rPr>
        <w:t>,</w:t>
      </w:r>
      <w:r w:rsidR="00EA1C57" w:rsidRPr="000542DA">
        <w:rPr>
          <w:rFonts w:eastAsia="Yu Mincho"/>
          <w:sz w:val="24"/>
          <w:szCs w:val="24"/>
          <w:lang w:val="en-GB"/>
        </w:rPr>
        <w:t xml:space="preserve"> </w:t>
      </w:r>
      <w:r w:rsidR="008F0206" w:rsidRPr="000542DA">
        <w:rPr>
          <w:rFonts w:eastAsia="Yu Mincho"/>
          <w:sz w:val="24"/>
          <w:szCs w:val="24"/>
          <w:lang w:val="en-GB"/>
        </w:rPr>
        <w:t>1</w:t>
      </w:r>
      <w:r w:rsidR="00B80733">
        <w:rPr>
          <w:rFonts w:eastAsia="Yu Mincho"/>
          <w:sz w:val="24"/>
          <w:szCs w:val="24"/>
          <w:lang w:val="en-GB"/>
        </w:rPr>
        <w:t>9</w:t>
      </w:r>
      <w:r w:rsidRPr="000542DA">
        <w:rPr>
          <w:rFonts w:eastAsia="Yu Mincho"/>
          <w:sz w:val="24"/>
          <w:szCs w:val="24"/>
          <w:lang w:val="en-GB"/>
        </w:rPr>
        <w:t>].</w:t>
      </w:r>
    </w:p>
    <w:p w14:paraId="2A2C9B09" w14:textId="77777777" w:rsidR="000C4242" w:rsidRPr="000542DA" w:rsidRDefault="000C4242" w:rsidP="00566711">
      <w:pPr>
        <w:pStyle w:val="2"/>
        <w:spacing w:before="120" w:after="72" w:line="240" w:lineRule="auto"/>
        <w:ind w:leftChars="0" w:left="0" w:firstLineChars="0" w:firstLine="0"/>
        <w:rPr>
          <w:rFonts w:eastAsia="Yu Mincho"/>
          <w:sz w:val="24"/>
          <w:szCs w:val="24"/>
          <w:lang w:val="en-GB"/>
        </w:rPr>
      </w:pPr>
    </w:p>
    <w:p w14:paraId="0C447F0A" w14:textId="77777777" w:rsidR="005E3DAC" w:rsidRPr="000542DA" w:rsidRDefault="005E3DAC" w:rsidP="00566711">
      <w:pPr>
        <w:pStyle w:val="IGALLTitle2"/>
      </w:pPr>
      <w:r w:rsidRPr="000542DA">
        <w:t>Evaluation and Technical Basis</w:t>
      </w:r>
    </w:p>
    <w:p w14:paraId="3ACA6326" w14:textId="77777777" w:rsidR="004D73AD" w:rsidRPr="000542DA" w:rsidRDefault="004D73AD" w:rsidP="00566711">
      <w:pPr>
        <w:pStyle w:val="Body"/>
        <w:numPr>
          <w:ilvl w:val="0"/>
          <w:numId w:val="10"/>
        </w:numPr>
        <w:spacing w:before="120" w:after="120"/>
        <w:ind w:left="567" w:hanging="567"/>
        <w:jc w:val="both"/>
        <w:rPr>
          <w:rFonts w:ascii="Times New Roman" w:hAnsi="Times New Roman"/>
          <w:b/>
          <w:i/>
          <w:sz w:val="24"/>
          <w:szCs w:val="24"/>
          <w:lang w:val="en-GB" w:eastAsia="x-none"/>
        </w:rPr>
      </w:pPr>
      <w:r w:rsidRPr="000542DA">
        <w:rPr>
          <w:rFonts w:ascii="Times New Roman" w:hAnsi="Times New Roman"/>
          <w:b/>
          <w:i/>
          <w:sz w:val="24"/>
          <w:szCs w:val="24"/>
          <w:lang w:val="en-GB" w:eastAsia="x-none"/>
        </w:rPr>
        <w:t>Scope of the ageing management programme based on understanding ageing:</w:t>
      </w:r>
    </w:p>
    <w:p w14:paraId="014A6B58" w14:textId="77777777" w:rsidR="00BC60B2" w:rsidRPr="000542DA" w:rsidRDefault="006C160F" w:rsidP="00566711">
      <w:pPr>
        <w:rPr>
          <w:lang w:val="en-GB" w:eastAsia="ja-JP"/>
        </w:rPr>
      </w:pPr>
      <w:r w:rsidRPr="000542DA">
        <w:rPr>
          <w:lang w:val="en-GB"/>
        </w:rPr>
        <w:t xml:space="preserve">The focus of this AMP is on activities in </w:t>
      </w:r>
      <w:r w:rsidR="005431FE" w:rsidRPr="000542DA">
        <w:rPr>
          <w:lang w:val="en-GB"/>
        </w:rPr>
        <w:t xml:space="preserve">the </w:t>
      </w:r>
      <w:r w:rsidR="00A06647">
        <w:rPr>
          <w:lang w:val="en-GB"/>
        </w:rPr>
        <w:t>equipment</w:t>
      </w:r>
      <w:r w:rsidR="00A06647" w:rsidRPr="000542DA">
        <w:rPr>
          <w:lang w:val="en-GB"/>
        </w:rPr>
        <w:t xml:space="preserve"> </w:t>
      </w:r>
      <w:r w:rsidR="00CA085F" w:rsidRPr="000542DA">
        <w:rPr>
          <w:lang w:val="en-GB"/>
        </w:rPr>
        <w:t>qualification</w:t>
      </w:r>
      <w:r w:rsidRPr="000542DA">
        <w:rPr>
          <w:lang w:val="en-GB"/>
        </w:rPr>
        <w:t xml:space="preserve"> programme dedicated to re-assessment of </w:t>
      </w:r>
      <w:r w:rsidR="00A06647">
        <w:rPr>
          <w:lang w:val="en-GB"/>
        </w:rPr>
        <w:t>equipment</w:t>
      </w:r>
      <w:r w:rsidR="00A06647" w:rsidRPr="000542DA">
        <w:rPr>
          <w:lang w:val="en-GB"/>
        </w:rPr>
        <w:t xml:space="preserve"> </w:t>
      </w:r>
      <w:r w:rsidR="00CA085F" w:rsidRPr="000542DA">
        <w:rPr>
          <w:lang w:val="en-GB"/>
        </w:rPr>
        <w:t>qualification</w:t>
      </w:r>
      <w:r w:rsidRPr="000542DA">
        <w:rPr>
          <w:lang w:val="en-GB"/>
        </w:rPr>
        <w:t xml:space="preserve"> </w:t>
      </w:r>
      <w:r w:rsidR="00BB25A5">
        <w:rPr>
          <w:lang w:val="en-GB"/>
        </w:rPr>
        <w:t>of</w:t>
      </w:r>
      <w:r w:rsidRPr="000542DA">
        <w:rPr>
          <w:lang w:val="en-GB"/>
        </w:rPr>
        <w:t xml:space="preserve"> </w:t>
      </w:r>
      <w:r w:rsidR="001126ED">
        <w:rPr>
          <w:lang w:val="en-GB"/>
        </w:rPr>
        <w:t>in</w:t>
      </w:r>
      <w:r w:rsidR="005E4B53">
        <w:rPr>
          <w:lang w:val="en-GB"/>
        </w:rPr>
        <w:t>-</w:t>
      </w:r>
      <w:r w:rsidR="001126ED">
        <w:rPr>
          <w:lang w:val="en-GB"/>
        </w:rPr>
        <w:t xml:space="preserve">scope </w:t>
      </w:r>
      <w:r w:rsidRPr="000542DA">
        <w:rPr>
          <w:lang w:val="en-GB"/>
        </w:rPr>
        <w:t>equipment for the intended period</w:t>
      </w:r>
      <w:r w:rsidR="00C115ED" w:rsidRPr="000542DA">
        <w:rPr>
          <w:lang w:val="en-GB"/>
        </w:rPr>
        <w:t xml:space="preserve"> of operation</w:t>
      </w:r>
      <w:r w:rsidRPr="000542DA">
        <w:rPr>
          <w:lang w:val="en-GB"/>
        </w:rPr>
        <w:t xml:space="preserve">. Therefore, </w:t>
      </w:r>
      <w:r w:rsidRPr="000542DA">
        <w:rPr>
          <w:lang w:val="en-GB" w:eastAsia="ja-JP"/>
        </w:rPr>
        <w:t>t</w:t>
      </w:r>
      <w:r w:rsidR="008D039B" w:rsidRPr="000542DA">
        <w:rPr>
          <w:lang w:val="en-GB" w:eastAsia="ja-JP"/>
        </w:rPr>
        <w:t xml:space="preserve">his AMP applies to certain equipment </w:t>
      </w:r>
      <w:r w:rsidR="00497688" w:rsidRPr="000542DA">
        <w:rPr>
          <w:lang w:val="en-GB" w:eastAsia="ja-JP"/>
        </w:rPr>
        <w:t>that are required to be</w:t>
      </w:r>
      <w:r w:rsidRPr="000542DA">
        <w:rPr>
          <w:rFonts w:eastAsia="Yu Mincho"/>
          <w:lang w:val="en-GB" w:eastAsia="ja-JP"/>
        </w:rPr>
        <w:t xml:space="preserve"> </w:t>
      </w:r>
      <w:r w:rsidR="00CA085F" w:rsidRPr="000542DA">
        <w:rPr>
          <w:lang w:val="en-GB"/>
        </w:rPr>
        <w:t>qualifi</w:t>
      </w:r>
      <w:r w:rsidR="00497688" w:rsidRPr="000542DA">
        <w:rPr>
          <w:lang w:val="en-GB"/>
        </w:rPr>
        <w:t>ed</w:t>
      </w:r>
      <w:r w:rsidR="00B0385C" w:rsidRPr="000542DA">
        <w:rPr>
          <w:lang w:val="en-GB"/>
        </w:rPr>
        <w:t xml:space="preserve"> </w:t>
      </w:r>
      <w:r w:rsidR="00F76DC2">
        <w:rPr>
          <w:lang w:val="en-GB"/>
        </w:rPr>
        <w:t xml:space="preserve">and </w:t>
      </w:r>
      <w:r w:rsidRPr="000542DA">
        <w:rPr>
          <w:lang w:val="en-GB" w:eastAsia="ja-JP"/>
        </w:rPr>
        <w:t xml:space="preserve">whose ageing </w:t>
      </w:r>
      <w:r w:rsidR="00E87ECA" w:rsidRPr="000542DA">
        <w:rPr>
          <w:lang w:val="en-GB" w:eastAsia="ja-JP"/>
        </w:rPr>
        <w:t>degradation</w:t>
      </w:r>
      <w:r w:rsidRPr="000542DA">
        <w:rPr>
          <w:lang w:val="en-GB" w:eastAsia="ja-JP"/>
        </w:rPr>
        <w:t xml:space="preserve"> </w:t>
      </w:r>
      <w:r w:rsidR="00431A6F" w:rsidRPr="000542DA">
        <w:rPr>
          <w:lang w:val="en-GB" w:eastAsia="ja-JP"/>
        </w:rPr>
        <w:t xml:space="preserve">in service </w:t>
      </w:r>
      <w:r w:rsidR="00FA7930">
        <w:rPr>
          <w:lang w:val="en-GB" w:eastAsia="ja-JP"/>
        </w:rPr>
        <w:t>is</w:t>
      </w:r>
      <w:r w:rsidRPr="000542DA">
        <w:rPr>
          <w:lang w:val="en-GB" w:eastAsia="ja-JP"/>
        </w:rPr>
        <w:t xml:space="preserve"> managed by </w:t>
      </w:r>
      <w:r w:rsidR="00497688" w:rsidRPr="000542DA">
        <w:rPr>
          <w:lang w:val="en-GB" w:eastAsia="ja-JP"/>
        </w:rPr>
        <w:t xml:space="preserve">the </w:t>
      </w:r>
      <w:r w:rsidR="00A84CD9" w:rsidRPr="000542DA">
        <w:rPr>
          <w:lang w:val="en-GB" w:eastAsia="ja-JP"/>
        </w:rPr>
        <w:t xml:space="preserve">traditional </w:t>
      </w:r>
      <w:r w:rsidRPr="000542DA">
        <w:rPr>
          <w:lang w:val="en-GB" w:eastAsia="ja-JP"/>
        </w:rPr>
        <w:t>qualified life</w:t>
      </w:r>
      <w:r w:rsidR="002A7280" w:rsidRPr="000542DA">
        <w:rPr>
          <w:lang w:val="en-GB" w:eastAsia="ja-JP"/>
        </w:rPr>
        <w:t xml:space="preserve"> </w:t>
      </w:r>
      <w:r w:rsidR="00A84CD9" w:rsidRPr="000542DA">
        <w:rPr>
          <w:lang w:val="en-GB" w:eastAsia="ja-JP"/>
        </w:rPr>
        <w:t xml:space="preserve">approach </w:t>
      </w:r>
      <w:r w:rsidRPr="000542DA">
        <w:rPr>
          <w:lang w:val="en-GB" w:eastAsia="ja-JP"/>
        </w:rPr>
        <w:t>or condition-based qualification methodology.</w:t>
      </w:r>
    </w:p>
    <w:p w14:paraId="1F04CDD6" w14:textId="77777777" w:rsidR="000C4242" w:rsidRPr="000542DA" w:rsidRDefault="000C4242" w:rsidP="00566711">
      <w:pPr>
        <w:rPr>
          <w:bCs/>
          <w:lang w:val="en-GB"/>
        </w:rPr>
      </w:pPr>
    </w:p>
    <w:p w14:paraId="16594D6F" w14:textId="77777777" w:rsidR="005E3DAC" w:rsidRPr="000542DA" w:rsidRDefault="005E3DAC" w:rsidP="00566711">
      <w:pPr>
        <w:pStyle w:val="Body"/>
        <w:numPr>
          <w:ilvl w:val="0"/>
          <w:numId w:val="10"/>
        </w:numPr>
        <w:spacing w:before="120" w:after="120"/>
        <w:ind w:left="567" w:hanging="567"/>
        <w:jc w:val="both"/>
        <w:rPr>
          <w:rFonts w:ascii="Times New Roman" w:hAnsi="Times New Roman"/>
          <w:b/>
          <w:i/>
          <w:sz w:val="24"/>
          <w:szCs w:val="24"/>
          <w:lang w:val="en-GB" w:eastAsia="x-none"/>
        </w:rPr>
      </w:pPr>
      <w:r w:rsidRPr="000542DA">
        <w:rPr>
          <w:rFonts w:ascii="Times New Roman" w:hAnsi="Times New Roman"/>
          <w:b/>
          <w:i/>
          <w:sz w:val="24"/>
          <w:szCs w:val="24"/>
          <w:lang w:val="en-GB" w:eastAsia="x-none"/>
        </w:rPr>
        <w:t>Preventive actions to minimize and control ageing degradation</w:t>
      </w:r>
      <w:r w:rsidR="004D73AD" w:rsidRPr="000542DA">
        <w:rPr>
          <w:rFonts w:ascii="Times New Roman" w:hAnsi="Times New Roman"/>
          <w:b/>
          <w:i/>
          <w:sz w:val="24"/>
          <w:szCs w:val="24"/>
          <w:lang w:val="en-GB" w:eastAsia="x-none"/>
        </w:rPr>
        <w:t>:</w:t>
      </w:r>
    </w:p>
    <w:p w14:paraId="7AFC4D43" w14:textId="77777777" w:rsidR="00CB7259" w:rsidRPr="000542DA" w:rsidRDefault="00D5480A" w:rsidP="00566711">
      <w:pPr>
        <w:rPr>
          <w:lang w:val="en-GB"/>
        </w:rPr>
      </w:pPr>
      <w:r w:rsidRPr="000542DA">
        <w:rPr>
          <w:lang w:val="en-GB"/>
        </w:rPr>
        <w:t>A</w:t>
      </w:r>
      <w:r w:rsidR="0034134B" w:rsidRPr="000542DA">
        <w:rPr>
          <w:lang w:val="en-GB"/>
        </w:rPr>
        <w:t>ctions</w:t>
      </w:r>
      <w:r w:rsidRPr="000542DA">
        <w:rPr>
          <w:lang w:val="en-GB"/>
        </w:rPr>
        <w:t xml:space="preserve"> in reassessment of </w:t>
      </w:r>
      <w:r w:rsidR="00A06647">
        <w:rPr>
          <w:lang w:val="en-GB"/>
        </w:rPr>
        <w:t>equipment</w:t>
      </w:r>
      <w:r w:rsidR="00A06647" w:rsidRPr="000542DA">
        <w:rPr>
          <w:lang w:val="en-GB"/>
        </w:rPr>
        <w:t xml:space="preserve"> </w:t>
      </w:r>
      <w:r w:rsidRPr="000542DA">
        <w:rPr>
          <w:lang w:val="en-GB"/>
        </w:rPr>
        <w:t>qualification</w:t>
      </w:r>
      <w:r w:rsidR="00AA5748" w:rsidRPr="000542DA">
        <w:rPr>
          <w:lang w:val="en-GB"/>
        </w:rPr>
        <w:t xml:space="preserve"> of equipment</w:t>
      </w:r>
      <w:r w:rsidR="0034134B" w:rsidRPr="000542DA">
        <w:rPr>
          <w:lang w:val="en-GB"/>
        </w:rPr>
        <w:t xml:space="preserve"> that could be viewed as preventive actions </w:t>
      </w:r>
      <w:r w:rsidR="002D6403" w:rsidRPr="000542DA">
        <w:rPr>
          <w:lang w:val="en-GB"/>
        </w:rPr>
        <w:t xml:space="preserve">may </w:t>
      </w:r>
      <w:r w:rsidR="0034134B" w:rsidRPr="000542DA">
        <w:rPr>
          <w:lang w:val="en-GB"/>
        </w:rPr>
        <w:t>include</w:t>
      </w:r>
      <w:r w:rsidR="00DB3FDC" w:rsidRPr="000542DA">
        <w:rPr>
          <w:lang w:val="en-GB"/>
        </w:rPr>
        <w:t xml:space="preserve"> </w:t>
      </w:r>
    </w:p>
    <w:p w14:paraId="3C2CF2CC" w14:textId="77777777" w:rsidR="00CB7259" w:rsidRPr="000542DA" w:rsidRDefault="00DB3FDC" w:rsidP="00566711">
      <w:pPr>
        <w:rPr>
          <w:lang w:val="en-GB"/>
        </w:rPr>
      </w:pPr>
      <w:r w:rsidRPr="000542DA">
        <w:rPr>
          <w:lang w:val="en-GB"/>
        </w:rPr>
        <w:t xml:space="preserve">(a) </w:t>
      </w:r>
      <w:r w:rsidR="00CC5108" w:rsidRPr="000542DA">
        <w:rPr>
          <w:lang w:val="en-GB"/>
        </w:rPr>
        <w:t>performing</w:t>
      </w:r>
      <w:r w:rsidR="00700ECE" w:rsidRPr="000542DA">
        <w:rPr>
          <w:lang w:val="en-GB"/>
        </w:rPr>
        <w:t xml:space="preserve"> a preliminary </w:t>
      </w:r>
      <w:r w:rsidR="00CC5108" w:rsidRPr="000542DA">
        <w:rPr>
          <w:lang w:val="en-GB"/>
        </w:rPr>
        <w:t xml:space="preserve">analysis to identify the </w:t>
      </w:r>
      <w:r w:rsidR="001126ED">
        <w:rPr>
          <w:lang w:val="en-GB"/>
        </w:rPr>
        <w:t>in</w:t>
      </w:r>
      <w:r w:rsidR="005E4B53">
        <w:rPr>
          <w:lang w:val="en-GB"/>
        </w:rPr>
        <w:t>-</w:t>
      </w:r>
      <w:r w:rsidR="001126ED">
        <w:rPr>
          <w:lang w:val="en-GB"/>
        </w:rPr>
        <w:t xml:space="preserve">scope </w:t>
      </w:r>
      <w:r w:rsidR="00CC5108" w:rsidRPr="000542DA">
        <w:rPr>
          <w:lang w:val="en-GB"/>
        </w:rPr>
        <w:t xml:space="preserve">equipment’s </w:t>
      </w:r>
      <w:r w:rsidR="00A06647" w:rsidRPr="000542DA">
        <w:rPr>
          <w:lang w:val="en-GB"/>
        </w:rPr>
        <w:t xml:space="preserve">environmental </w:t>
      </w:r>
      <w:r w:rsidR="00CC5108" w:rsidRPr="000542DA">
        <w:rPr>
          <w:lang w:val="en-GB"/>
        </w:rPr>
        <w:t>sensitivity</w:t>
      </w:r>
      <w:r w:rsidR="00700ECE" w:rsidRPr="000542DA">
        <w:rPr>
          <w:lang w:val="en-GB"/>
        </w:rPr>
        <w:t xml:space="preserve"> and </w:t>
      </w:r>
      <w:r w:rsidRPr="000542DA">
        <w:rPr>
          <w:lang w:val="en-GB"/>
        </w:rPr>
        <w:t>establishing the equipment service condition tolerance and ageing limits</w:t>
      </w:r>
      <w:r w:rsidR="006F067B">
        <w:rPr>
          <w:lang w:val="en-GB"/>
        </w:rPr>
        <w:t>;</w:t>
      </w:r>
    </w:p>
    <w:p w14:paraId="236B4A1D" w14:textId="77777777" w:rsidR="00CB7259" w:rsidRPr="000542DA" w:rsidRDefault="006D1E6D" w:rsidP="00566711">
      <w:pPr>
        <w:rPr>
          <w:lang w:val="en-GB"/>
        </w:rPr>
      </w:pPr>
      <w:r w:rsidRPr="000542DA">
        <w:rPr>
          <w:lang w:val="en-GB"/>
        </w:rPr>
        <w:t>(</w:t>
      </w:r>
      <w:r w:rsidR="00700ECE" w:rsidRPr="000542DA">
        <w:rPr>
          <w:lang w:val="en-GB"/>
        </w:rPr>
        <w:t>b</w:t>
      </w:r>
      <w:r w:rsidRPr="000542DA">
        <w:rPr>
          <w:lang w:val="en-GB"/>
        </w:rPr>
        <w:t xml:space="preserve">) monitoring of environmental conditions in normal operation of the plant with particular emphasis on the identification of adverse localized environments that may impact </w:t>
      </w:r>
      <w:r w:rsidR="001126ED">
        <w:rPr>
          <w:lang w:val="en-GB"/>
        </w:rPr>
        <w:t>in</w:t>
      </w:r>
      <w:r w:rsidR="005E4B53">
        <w:rPr>
          <w:lang w:val="en-GB"/>
        </w:rPr>
        <w:t>-</w:t>
      </w:r>
      <w:r w:rsidR="001126ED">
        <w:rPr>
          <w:lang w:val="en-GB"/>
        </w:rPr>
        <w:t xml:space="preserve">scope </w:t>
      </w:r>
      <w:r w:rsidRPr="000542DA">
        <w:rPr>
          <w:lang w:val="en-GB"/>
        </w:rPr>
        <w:t>equipment’s qualified life [</w:t>
      </w:r>
      <w:r w:rsidR="005C6F04" w:rsidRPr="000542DA">
        <w:rPr>
          <w:lang w:val="en-GB"/>
        </w:rPr>
        <w:t>1</w:t>
      </w:r>
      <w:r w:rsidR="00B80733">
        <w:rPr>
          <w:lang w:val="en-GB"/>
        </w:rPr>
        <w:t>1</w:t>
      </w:r>
      <w:r w:rsidR="005C6F04" w:rsidRPr="000542DA">
        <w:rPr>
          <w:lang w:val="en-GB"/>
        </w:rPr>
        <w:t xml:space="preserve">, </w:t>
      </w:r>
      <w:r w:rsidR="00753A5F" w:rsidRPr="000542DA">
        <w:rPr>
          <w:lang w:val="en-GB"/>
        </w:rPr>
        <w:t>1</w:t>
      </w:r>
      <w:r w:rsidR="00B80733">
        <w:rPr>
          <w:lang w:val="en-GB"/>
        </w:rPr>
        <w:t>4</w:t>
      </w:r>
      <w:r w:rsidR="00753A5F" w:rsidRPr="000542DA">
        <w:rPr>
          <w:lang w:val="en-GB"/>
        </w:rPr>
        <w:t>-1</w:t>
      </w:r>
      <w:r w:rsidR="00B80733">
        <w:rPr>
          <w:lang w:val="en-GB"/>
        </w:rPr>
        <w:t>8]</w:t>
      </w:r>
      <w:r w:rsidRPr="000542DA">
        <w:rPr>
          <w:lang w:val="en-GB"/>
        </w:rPr>
        <w:t xml:space="preserve"> (see Method 1)</w:t>
      </w:r>
      <w:r w:rsidR="006F067B">
        <w:rPr>
          <w:lang w:val="en-GB"/>
        </w:rPr>
        <w:t>;</w:t>
      </w:r>
    </w:p>
    <w:p w14:paraId="6606F161" w14:textId="77777777" w:rsidR="00CB7259" w:rsidRPr="000542DA" w:rsidRDefault="00BE0D2F" w:rsidP="00566711">
      <w:pPr>
        <w:rPr>
          <w:lang w:val="en-GB"/>
        </w:rPr>
      </w:pPr>
      <w:r w:rsidRPr="000542DA">
        <w:rPr>
          <w:lang w:val="en-GB"/>
        </w:rPr>
        <w:t>(c) mitigation of the ageing effects by modification of the ambient conditions</w:t>
      </w:r>
      <w:r w:rsidR="00963807" w:rsidRPr="000542DA">
        <w:rPr>
          <w:lang w:val="en-GB"/>
        </w:rPr>
        <w:t xml:space="preserve"> </w:t>
      </w:r>
      <w:r w:rsidR="000D6F9A" w:rsidRPr="000542DA">
        <w:rPr>
          <w:lang w:val="en-GB"/>
        </w:rPr>
        <w:t>(t</w:t>
      </w:r>
      <w:r w:rsidRPr="000542DA">
        <w:rPr>
          <w:lang w:val="en-GB"/>
        </w:rPr>
        <w:t xml:space="preserve">his can be achieved by air conditioning to decrease the ambient temperature and shielding or relocation of the </w:t>
      </w:r>
      <w:r w:rsidR="001126ED">
        <w:rPr>
          <w:lang w:val="en-GB"/>
        </w:rPr>
        <w:t>in</w:t>
      </w:r>
      <w:r w:rsidR="005E4B53">
        <w:rPr>
          <w:lang w:val="en-GB"/>
        </w:rPr>
        <w:t>-</w:t>
      </w:r>
      <w:r w:rsidR="001126ED">
        <w:rPr>
          <w:lang w:val="en-GB"/>
        </w:rPr>
        <w:t xml:space="preserve">scope </w:t>
      </w:r>
      <w:r w:rsidRPr="000542DA">
        <w:rPr>
          <w:lang w:val="en-GB"/>
        </w:rPr>
        <w:t>equipment to decrease radiation stemming from a hot spot</w:t>
      </w:r>
      <w:r w:rsidR="00FC5DE4" w:rsidRPr="000542DA">
        <w:rPr>
          <w:lang w:val="en-GB"/>
        </w:rPr>
        <w:t xml:space="preserve"> </w:t>
      </w:r>
      <w:r w:rsidRPr="000542DA">
        <w:rPr>
          <w:lang w:val="en-GB"/>
        </w:rPr>
        <w:t>(see Method 1)</w:t>
      </w:r>
      <w:r w:rsidR="000D6F9A" w:rsidRPr="000542DA">
        <w:rPr>
          <w:lang w:val="en-GB"/>
        </w:rPr>
        <w:t>)</w:t>
      </w:r>
      <w:r w:rsidR="006F067B">
        <w:rPr>
          <w:lang w:val="en-GB"/>
        </w:rPr>
        <w:t>;</w:t>
      </w:r>
    </w:p>
    <w:p w14:paraId="336714F1" w14:textId="77777777" w:rsidR="00CB7259" w:rsidRPr="000542DA" w:rsidRDefault="006B3721" w:rsidP="00566711">
      <w:pPr>
        <w:rPr>
          <w:lang w:val="en-GB"/>
        </w:rPr>
      </w:pPr>
      <w:r w:rsidRPr="000542DA">
        <w:rPr>
          <w:lang w:val="en-GB"/>
        </w:rPr>
        <w:t xml:space="preserve">(d) </w:t>
      </w:r>
      <w:r w:rsidR="00F55FFF" w:rsidRPr="000542DA">
        <w:rPr>
          <w:lang w:val="en-GB"/>
        </w:rPr>
        <w:t xml:space="preserve">identifying age-sensitive components of </w:t>
      </w:r>
      <w:r w:rsidR="001126ED">
        <w:rPr>
          <w:lang w:val="en-GB"/>
        </w:rPr>
        <w:t>in</w:t>
      </w:r>
      <w:r w:rsidR="005E4B53">
        <w:rPr>
          <w:lang w:val="en-GB"/>
        </w:rPr>
        <w:t>-</w:t>
      </w:r>
      <w:r w:rsidR="001126ED">
        <w:rPr>
          <w:lang w:val="en-GB"/>
        </w:rPr>
        <w:t xml:space="preserve">scope </w:t>
      </w:r>
      <w:r w:rsidR="00F55FFF" w:rsidRPr="000542DA">
        <w:rPr>
          <w:lang w:val="en-GB"/>
        </w:rPr>
        <w:t>equipment and replacing them with less sensitive components (see Method 4)</w:t>
      </w:r>
      <w:r w:rsidR="006F067B">
        <w:rPr>
          <w:lang w:val="en-GB"/>
        </w:rPr>
        <w:t>;</w:t>
      </w:r>
      <w:r w:rsidRPr="000542DA">
        <w:rPr>
          <w:lang w:val="en-GB"/>
        </w:rPr>
        <w:t xml:space="preserve"> </w:t>
      </w:r>
      <w:r w:rsidR="00BE0D2F" w:rsidRPr="000542DA">
        <w:rPr>
          <w:lang w:val="en-GB"/>
        </w:rPr>
        <w:t xml:space="preserve">and </w:t>
      </w:r>
    </w:p>
    <w:p w14:paraId="149B4150" w14:textId="77777777" w:rsidR="00300F60" w:rsidRPr="000542DA" w:rsidRDefault="00D13F84" w:rsidP="00566711">
      <w:pPr>
        <w:rPr>
          <w:lang w:val="en-GB"/>
        </w:rPr>
      </w:pPr>
      <w:r w:rsidRPr="000542DA">
        <w:rPr>
          <w:lang w:val="en-GB"/>
        </w:rPr>
        <w:lastRenderedPageBreak/>
        <w:t>(</w:t>
      </w:r>
      <w:r w:rsidR="006B3721" w:rsidRPr="000542DA">
        <w:rPr>
          <w:lang w:val="en-GB"/>
        </w:rPr>
        <w:t>e</w:t>
      </w:r>
      <w:r w:rsidRPr="000542DA">
        <w:rPr>
          <w:lang w:val="en-GB"/>
        </w:rPr>
        <w:t xml:space="preserve">) </w:t>
      </w:r>
      <w:r w:rsidR="00250178" w:rsidRPr="000542DA">
        <w:rPr>
          <w:lang w:val="en-GB"/>
        </w:rPr>
        <w:t xml:space="preserve">identification of </w:t>
      </w:r>
      <w:r w:rsidR="001126ED">
        <w:rPr>
          <w:lang w:val="en-GB"/>
        </w:rPr>
        <w:t>in</w:t>
      </w:r>
      <w:r w:rsidR="005E4B53">
        <w:rPr>
          <w:lang w:val="en-GB"/>
        </w:rPr>
        <w:t>-</w:t>
      </w:r>
      <w:r w:rsidR="001126ED">
        <w:rPr>
          <w:lang w:val="en-GB"/>
        </w:rPr>
        <w:t xml:space="preserve">scope </w:t>
      </w:r>
      <w:r w:rsidR="00FD046E" w:rsidRPr="000542DA">
        <w:rPr>
          <w:lang w:val="en-GB"/>
        </w:rPr>
        <w:t xml:space="preserve">equipment </w:t>
      </w:r>
      <w:r w:rsidR="0021038C" w:rsidRPr="000542DA">
        <w:rPr>
          <w:lang w:val="en-GB"/>
        </w:rPr>
        <w:t>condition indicators</w:t>
      </w:r>
      <w:r w:rsidR="00250178" w:rsidRPr="000542DA">
        <w:rPr>
          <w:lang w:val="en-GB"/>
        </w:rPr>
        <w:t xml:space="preserve"> to be monitored </w:t>
      </w:r>
      <w:r w:rsidR="003E5DD9" w:rsidRPr="000542DA">
        <w:rPr>
          <w:lang w:val="en-GB"/>
        </w:rPr>
        <w:t>and qualified</w:t>
      </w:r>
      <w:r w:rsidR="00DB3FDC" w:rsidRPr="000542DA">
        <w:rPr>
          <w:lang w:val="en-GB"/>
        </w:rPr>
        <w:t xml:space="preserve"> condition</w:t>
      </w:r>
      <w:r w:rsidR="003E5DD9" w:rsidRPr="000542DA">
        <w:rPr>
          <w:lang w:val="en-GB"/>
        </w:rPr>
        <w:t xml:space="preserve"> </w:t>
      </w:r>
      <w:r w:rsidR="001B23C4" w:rsidRPr="000542DA">
        <w:rPr>
          <w:lang w:val="en-GB"/>
        </w:rPr>
        <w:t xml:space="preserve">for </w:t>
      </w:r>
      <w:r w:rsidR="00F923DE" w:rsidRPr="000542DA">
        <w:rPr>
          <w:lang w:val="en-GB"/>
        </w:rPr>
        <w:t xml:space="preserve">the application of </w:t>
      </w:r>
      <w:r w:rsidR="001B23C4" w:rsidRPr="000542DA">
        <w:rPr>
          <w:lang w:val="en-GB"/>
        </w:rPr>
        <w:t>condition-based qualification</w:t>
      </w:r>
      <w:r w:rsidR="00F923DE" w:rsidRPr="000542DA">
        <w:rPr>
          <w:lang w:val="en-GB"/>
        </w:rPr>
        <w:t xml:space="preserve"> methodology</w:t>
      </w:r>
      <w:r w:rsidR="00AB7584" w:rsidRPr="000542DA">
        <w:rPr>
          <w:lang w:val="en-GB"/>
        </w:rPr>
        <w:t xml:space="preserve"> (see </w:t>
      </w:r>
      <w:r w:rsidR="00E434DE" w:rsidRPr="000542DA">
        <w:rPr>
          <w:lang w:val="en-GB"/>
        </w:rPr>
        <w:t>“C</w:t>
      </w:r>
      <w:r w:rsidR="00AB7584" w:rsidRPr="000542DA">
        <w:rPr>
          <w:lang w:val="en-GB"/>
        </w:rPr>
        <w:t>ondition monitoring</w:t>
      </w:r>
      <w:r w:rsidR="00E434DE" w:rsidRPr="000542DA">
        <w:rPr>
          <w:lang w:val="en-GB"/>
        </w:rPr>
        <w:t>”</w:t>
      </w:r>
      <w:r w:rsidR="00AB7584" w:rsidRPr="000542DA">
        <w:rPr>
          <w:lang w:val="en-GB"/>
        </w:rPr>
        <w:t>)</w:t>
      </w:r>
      <w:r w:rsidR="00A41288" w:rsidRPr="000542DA">
        <w:rPr>
          <w:lang w:val="en-GB"/>
        </w:rPr>
        <w:t>.</w:t>
      </w:r>
    </w:p>
    <w:p w14:paraId="232552C9" w14:textId="77777777" w:rsidR="00CB7259" w:rsidRPr="000542DA" w:rsidRDefault="00CE38D6" w:rsidP="00566711">
      <w:pPr>
        <w:rPr>
          <w:lang w:val="en-GB"/>
        </w:rPr>
      </w:pPr>
      <w:r w:rsidRPr="000542DA">
        <w:rPr>
          <w:lang w:val="en-GB"/>
        </w:rPr>
        <w:t xml:space="preserve">Adverse localized environments are identified through the use of an integrated approach. This approach </w:t>
      </w:r>
      <w:r w:rsidR="00F76DC2">
        <w:rPr>
          <w:lang w:val="en-GB"/>
        </w:rPr>
        <w:t xml:space="preserve">may </w:t>
      </w:r>
      <w:r w:rsidRPr="000542DA">
        <w:rPr>
          <w:lang w:val="en-GB"/>
        </w:rPr>
        <w:t>include</w:t>
      </w:r>
      <w:r w:rsidR="00F76DC2">
        <w:rPr>
          <w:lang w:val="en-GB"/>
        </w:rPr>
        <w:t xml:space="preserve"> and</w:t>
      </w:r>
      <w:r w:rsidRPr="000542DA">
        <w:rPr>
          <w:lang w:val="en-GB"/>
        </w:rPr>
        <w:t xml:space="preserve"> is not limited to: </w:t>
      </w:r>
    </w:p>
    <w:p w14:paraId="69E5AFC0" w14:textId="77777777" w:rsidR="00CB7259" w:rsidRPr="000542DA" w:rsidRDefault="00CE38D6" w:rsidP="00566711">
      <w:pPr>
        <w:rPr>
          <w:lang w:val="en-GB"/>
        </w:rPr>
      </w:pPr>
      <w:r w:rsidRPr="000542DA">
        <w:rPr>
          <w:lang w:val="en-GB"/>
        </w:rPr>
        <w:t xml:space="preserve">(a) the review of </w:t>
      </w:r>
      <w:r w:rsidR="00A06647">
        <w:rPr>
          <w:lang w:val="en-GB"/>
        </w:rPr>
        <w:t>equipment</w:t>
      </w:r>
      <w:r w:rsidR="00A06647" w:rsidRPr="000542DA">
        <w:rPr>
          <w:lang w:val="en-GB"/>
        </w:rPr>
        <w:t xml:space="preserve"> </w:t>
      </w:r>
      <w:r w:rsidR="00CA085F" w:rsidRPr="000542DA">
        <w:rPr>
          <w:lang w:val="en-GB"/>
        </w:rPr>
        <w:t>qualification</w:t>
      </w:r>
      <w:r w:rsidRPr="000542DA">
        <w:rPr>
          <w:lang w:val="en-GB"/>
        </w:rPr>
        <w:t xml:space="preserve"> program</w:t>
      </w:r>
      <w:r w:rsidR="000C4242" w:rsidRPr="000542DA">
        <w:rPr>
          <w:lang w:val="en-GB"/>
        </w:rPr>
        <w:t>me</w:t>
      </w:r>
      <w:r w:rsidRPr="000542DA">
        <w:rPr>
          <w:lang w:val="en-GB"/>
        </w:rPr>
        <w:t xml:space="preserve"> radiation levels and temperatures</w:t>
      </w:r>
      <w:r w:rsidR="00007925">
        <w:rPr>
          <w:lang w:val="en-GB"/>
        </w:rPr>
        <w:t>;</w:t>
      </w:r>
    </w:p>
    <w:p w14:paraId="2B944493" w14:textId="77777777" w:rsidR="00CB7259" w:rsidRPr="000542DA" w:rsidRDefault="00CE38D6" w:rsidP="00566711">
      <w:pPr>
        <w:rPr>
          <w:lang w:val="en-GB"/>
        </w:rPr>
      </w:pPr>
      <w:r w:rsidRPr="000542DA">
        <w:rPr>
          <w:lang w:val="en-GB"/>
        </w:rPr>
        <w:t>(b) recorded information from equipment or plant instrumentation</w:t>
      </w:r>
      <w:r w:rsidR="00007925">
        <w:rPr>
          <w:lang w:val="en-GB"/>
        </w:rPr>
        <w:t>;</w:t>
      </w:r>
    </w:p>
    <w:p w14:paraId="72177D7D" w14:textId="77777777" w:rsidR="00CB7259" w:rsidRPr="000542DA" w:rsidRDefault="00CE38D6" w:rsidP="00566711">
      <w:pPr>
        <w:rPr>
          <w:lang w:val="en-GB"/>
        </w:rPr>
      </w:pPr>
      <w:r w:rsidRPr="000542DA">
        <w:rPr>
          <w:lang w:val="en-GB"/>
        </w:rPr>
        <w:t>(c) as-built and field walk down data (</w:t>
      </w:r>
      <w:r w:rsidR="00DD0510">
        <w:rPr>
          <w:lang w:val="en-GB"/>
        </w:rPr>
        <w:t>e.g.</w:t>
      </w:r>
      <w:r w:rsidRPr="000542DA">
        <w:rPr>
          <w:lang w:val="en-GB"/>
        </w:rPr>
        <w:t xml:space="preserve"> cable routing data base)</w:t>
      </w:r>
      <w:r w:rsidR="00007925">
        <w:rPr>
          <w:lang w:val="en-GB"/>
        </w:rPr>
        <w:t>;</w:t>
      </w:r>
    </w:p>
    <w:p w14:paraId="0A360632" w14:textId="77777777" w:rsidR="00CB7259" w:rsidRPr="000542DA" w:rsidRDefault="00CE38D6" w:rsidP="00566711">
      <w:pPr>
        <w:rPr>
          <w:lang w:val="en-GB"/>
        </w:rPr>
      </w:pPr>
      <w:r w:rsidRPr="000542DA">
        <w:rPr>
          <w:lang w:val="en-GB"/>
        </w:rPr>
        <w:t>(d) a plant spaces scoping and screening methodology</w:t>
      </w:r>
      <w:r w:rsidR="00007925">
        <w:rPr>
          <w:lang w:val="en-GB"/>
        </w:rPr>
        <w:t>;</w:t>
      </w:r>
    </w:p>
    <w:p w14:paraId="5598614A" w14:textId="77777777" w:rsidR="00CB7259" w:rsidRPr="000542DA" w:rsidRDefault="00CE38D6" w:rsidP="00566711">
      <w:pPr>
        <w:rPr>
          <w:lang w:val="en-GB"/>
        </w:rPr>
      </w:pPr>
      <w:r w:rsidRPr="000542DA">
        <w:rPr>
          <w:lang w:val="en-GB"/>
        </w:rPr>
        <w:t>(e) plant modifications (</w:t>
      </w:r>
      <w:r w:rsidR="00DD0510">
        <w:rPr>
          <w:lang w:val="en-GB"/>
        </w:rPr>
        <w:t>e.g.</w:t>
      </w:r>
      <w:r w:rsidRPr="000542DA">
        <w:rPr>
          <w:lang w:val="en-GB"/>
        </w:rPr>
        <w:t xml:space="preserve"> power uprate)</w:t>
      </w:r>
      <w:r w:rsidR="00007925">
        <w:rPr>
          <w:lang w:val="en-GB"/>
        </w:rPr>
        <w:t>;</w:t>
      </w:r>
      <w:r w:rsidRPr="000542DA">
        <w:rPr>
          <w:lang w:val="en-GB"/>
        </w:rPr>
        <w:t xml:space="preserve"> and </w:t>
      </w:r>
    </w:p>
    <w:p w14:paraId="51D92567" w14:textId="77777777" w:rsidR="00CE38D6" w:rsidRPr="000542DA" w:rsidRDefault="00CE38D6" w:rsidP="00566711">
      <w:pPr>
        <w:rPr>
          <w:lang w:val="en-GB"/>
        </w:rPr>
      </w:pPr>
      <w:r w:rsidRPr="000542DA">
        <w:rPr>
          <w:lang w:val="en-GB"/>
        </w:rPr>
        <w:t>(f) the review of relevant plant-specific and industry operating experience (OE). This OE includes, but is not limited to:</w:t>
      </w:r>
    </w:p>
    <w:p w14:paraId="127CD23D" w14:textId="77777777" w:rsidR="00CE38D6" w:rsidRPr="000542DA" w:rsidRDefault="00CE38D6" w:rsidP="00566711">
      <w:pPr>
        <w:numPr>
          <w:ilvl w:val="0"/>
          <w:numId w:val="26"/>
        </w:numPr>
        <w:ind w:left="284" w:hanging="284"/>
        <w:rPr>
          <w:lang w:val="en-GB"/>
        </w:rPr>
      </w:pPr>
      <w:r w:rsidRPr="000542DA">
        <w:rPr>
          <w:lang w:val="en-GB"/>
        </w:rPr>
        <w:t>Identification of work practices that have the potential to subject in-scope equipment to an adverse localized environment (</w:t>
      </w:r>
      <w:r w:rsidR="00DD0510">
        <w:rPr>
          <w:lang w:val="en-GB"/>
        </w:rPr>
        <w:t>e.g.</w:t>
      </w:r>
      <w:r w:rsidRPr="000542DA">
        <w:rPr>
          <w:lang w:val="en-GB"/>
        </w:rPr>
        <w:t xml:space="preserve"> influence of maintenance activity that removes thermal insulation and restoration from hot pipes).</w:t>
      </w:r>
    </w:p>
    <w:p w14:paraId="599A1E43" w14:textId="77777777" w:rsidR="00CE38D6" w:rsidRPr="000542DA" w:rsidRDefault="00CE38D6" w:rsidP="00566711">
      <w:pPr>
        <w:numPr>
          <w:ilvl w:val="0"/>
          <w:numId w:val="26"/>
        </w:numPr>
        <w:ind w:left="284" w:hanging="284"/>
        <w:rPr>
          <w:lang w:val="en-GB"/>
        </w:rPr>
      </w:pPr>
      <w:r w:rsidRPr="000542DA">
        <w:rPr>
          <w:lang w:val="en-GB"/>
        </w:rPr>
        <w:t>Corrective actions for in-scope equipment involving end-of-installed life, designated life, or qualified life (current operating term).</w:t>
      </w:r>
    </w:p>
    <w:p w14:paraId="0887E1B6" w14:textId="77777777" w:rsidR="00CE38D6" w:rsidRPr="000542DA" w:rsidRDefault="00CE38D6" w:rsidP="00566711">
      <w:pPr>
        <w:numPr>
          <w:ilvl w:val="0"/>
          <w:numId w:val="26"/>
        </w:numPr>
        <w:ind w:left="284" w:hanging="284"/>
        <w:rPr>
          <w:lang w:val="en-GB"/>
        </w:rPr>
      </w:pPr>
      <w:r w:rsidRPr="000542DA">
        <w:rPr>
          <w:lang w:val="en-GB"/>
        </w:rPr>
        <w:t>Observations from previous walk-downs including visual inspection.</w:t>
      </w:r>
    </w:p>
    <w:p w14:paraId="5FEAAFC6" w14:textId="77777777" w:rsidR="00C12C99" w:rsidRPr="000542DA" w:rsidRDefault="00CE38D6" w:rsidP="00566711">
      <w:pPr>
        <w:numPr>
          <w:ilvl w:val="0"/>
          <w:numId w:val="26"/>
        </w:numPr>
        <w:ind w:left="284" w:hanging="284"/>
        <w:rPr>
          <w:lang w:val="en-GB"/>
        </w:rPr>
      </w:pPr>
      <w:r w:rsidRPr="000542DA">
        <w:rPr>
          <w:lang w:val="en-GB"/>
        </w:rPr>
        <w:t>Environmental monitoring (</w:t>
      </w:r>
      <w:r w:rsidR="00DD0510">
        <w:rPr>
          <w:lang w:val="en-GB"/>
        </w:rPr>
        <w:t>e.g.</w:t>
      </w:r>
      <w:r w:rsidRPr="000542DA">
        <w:rPr>
          <w:lang w:val="en-GB"/>
        </w:rPr>
        <w:t xml:space="preserve"> long term periodic environmental monitoring of </w:t>
      </w:r>
      <w:r w:rsidR="001126ED">
        <w:rPr>
          <w:lang w:val="en-GB"/>
        </w:rPr>
        <w:t>in</w:t>
      </w:r>
      <w:r w:rsidR="005E4B53">
        <w:rPr>
          <w:lang w:val="en-GB"/>
        </w:rPr>
        <w:t>-</w:t>
      </w:r>
      <w:r w:rsidR="001126ED">
        <w:rPr>
          <w:lang w:val="en-GB"/>
        </w:rPr>
        <w:t xml:space="preserve">scope </w:t>
      </w:r>
      <w:r w:rsidRPr="000542DA">
        <w:rPr>
          <w:lang w:val="en-GB"/>
        </w:rPr>
        <w:t>equipment – temperature or radiation).</w:t>
      </w:r>
    </w:p>
    <w:p w14:paraId="496622A9" w14:textId="77777777" w:rsidR="00CE38D6" w:rsidRPr="000542DA" w:rsidRDefault="00CE38D6" w:rsidP="00566711">
      <w:pPr>
        <w:numPr>
          <w:ilvl w:val="0"/>
          <w:numId w:val="26"/>
        </w:numPr>
        <w:ind w:left="284" w:hanging="284"/>
        <w:rPr>
          <w:lang w:val="en-GB"/>
        </w:rPr>
      </w:pPr>
      <w:r w:rsidRPr="000542DA">
        <w:rPr>
          <w:lang w:val="en-GB"/>
        </w:rPr>
        <w:t xml:space="preserve">Inspection of accessible </w:t>
      </w:r>
      <w:r w:rsidR="001126ED">
        <w:rPr>
          <w:lang w:val="en-GB"/>
        </w:rPr>
        <w:t>in</w:t>
      </w:r>
      <w:r w:rsidR="005E4B53">
        <w:rPr>
          <w:lang w:val="en-GB"/>
        </w:rPr>
        <w:t>-</w:t>
      </w:r>
      <w:r w:rsidR="001126ED">
        <w:rPr>
          <w:lang w:val="en-GB"/>
        </w:rPr>
        <w:t xml:space="preserve">scope </w:t>
      </w:r>
      <w:r w:rsidRPr="000542DA">
        <w:rPr>
          <w:lang w:val="en-GB"/>
        </w:rPr>
        <w:t>equipment and the evaluation of the equipment</w:t>
      </w:r>
      <w:r w:rsidR="001126ED">
        <w:rPr>
          <w:lang w:val="en-GB"/>
        </w:rPr>
        <w:t>’s</w:t>
      </w:r>
      <w:r w:rsidRPr="000542DA">
        <w:rPr>
          <w:lang w:val="en-GB"/>
        </w:rPr>
        <w:t xml:space="preserve"> environment to identify equipment subjected to an adverse localized environment. The ag</w:t>
      </w:r>
      <w:r w:rsidR="000D6F9A" w:rsidRPr="000542DA">
        <w:rPr>
          <w:lang w:val="en-GB"/>
        </w:rPr>
        <w:t>e</w:t>
      </w:r>
      <w:r w:rsidRPr="000542DA">
        <w:rPr>
          <w:lang w:val="en-GB"/>
        </w:rPr>
        <w:t xml:space="preserve">ing impact on accessible </w:t>
      </w:r>
      <w:r w:rsidR="001126ED">
        <w:rPr>
          <w:lang w:val="en-GB"/>
        </w:rPr>
        <w:t>in</w:t>
      </w:r>
      <w:r w:rsidR="005E4B53">
        <w:rPr>
          <w:lang w:val="en-GB"/>
        </w:rPr>
        <w:t>-</w:t>
      </w:r>
      <w:r w:rsidR="001126ED">
        <w:rPr>
          <w:lang w:val="en-GB"/>
        </w:rPr>
        <w:t xml:space="preserve">scope </w:t>
      </w:r>
      <w:r w:rsidRPr="000542DA">
        <w:rPr>
          <w:lang w:val="en-GB"/>
        </w:rPr>
        <w:t xml:space="preserve">equipment located in an adverse localized environment is evaluated and represents, with reasonable assurance, both accessible and inaccessible </w:t>
      </w:r>
      <w:r w:rsidR="001126ED">
        <w:rPr>
          <w:lang w:val="en-GB"/>
        </w:rPr>
        <w:t>in</w:t>
      </w:r>
      <w:r w:rsidR="005E4B53">
        <w:rPr>
          <w:lang w:val="en-GB"/>
        </w:rPr>
        <w:t>-</w:t>
      </w:r>
      <w:r w:rsidR="001126ED">
        <w:rPr>
          <w:lang w:val="en-GB"/>
        </w:rPr>
        <w:t xml:space="preserve">scope </w:t>
      </w:r>
      <w:r w:rsidRPr="000542DA">
        <w:rPr>
          <w:lang w:val="en-GB"/>
        </w:rPr>
        <w:t>equipment age degradation.</w:t>
      </w:r>
    </w:p>
    <w:p w14:paraId="6E4C7E2A" w14:textId="5D6AF9CD" w:rsidR="00CE38D6" w:rsidRDefault="00CE38D6" w:rsidP="00566711">
      <w:pPr>
        <w:rPr>
          <w:kern w:val="0"/>
          <w:lang w:val="en-GB" w:eastAsia="en-US"/>
        </w:rPr>
      </w:pPr>
      <w:r w:rsidRPr="000542DA">
        <w:rPr>
          <w:kern w:val="0"/>
          <w:lang w:val="en-GB" w:eastAsia="en-US"/>
        </w:rPr>
        <w:t xml:space="preserve">The monitoring and trending frequency may be adjusted based on </w:t>
      </w:r>
      <w:r w:rsidR="00927634" w:rsidRPr="000542DA">
        <w:rPr>
          <w:kern w:val="0"/>
          <w:lang w:val="en-GB" w:eastAsia="en-US"/>
        </w:rPr>
        <w:t xml:space="preserve">equipment </w:t>
      </w:r>
      <w:r w:rsidRPr="000542DA">
        <w:rPr>
          <w:kern w:val="0"/>
          <w:lang w:val="en-GB" w:eastAsia="en-US"/>
        </w:rPr>
        <w:t xml:space="preserve">inspection and test results. A modification to qualification either by reassessment of qualified life or condition-based qualification demonstrates that adequate conservatism is maintained, consistent with the original analysis, accounting for uncertainties established in the </w:t>
      </w:r>
      <w:r w:rsidR="001126ED">
        <w:rPr>
          <w:lang w:val="en-GB"/>
        </w:rPr>
        <w:t>equipment’s</w:t>
      </w:r>
      <w:r w:rsidR="001126ED" w:rsidRPr="000542DA">
        <w:rPr>
          <w:lang w:val="en-GB"/>
        </w:rPr>
        <w:t xml:space="preserve"> </w:t>
      </w:r>
      <w:r w:rsidR="00CA085F" w:rsidRPr="000542DA">
        <w:rPr>
          <w:lang w:val="en-GB"/>
        </w:rPr>
        <w:t>qualification</w:t>
      </w:r>
      <w:r w:rsidRPr="000542DA">
        <w:rPr>
          <w:kern w:val="0"/>
          <w:lang w:val="en-GB" w:eastAsia="en-US"/>
        </w:rPr>
        <w:t xml:space="preserve"> ageing evaluation.</w:t>
      </w:r>
    </w:p>
    <w:p w14:paraId="6BFE26B4" w14:textId="77777777" w:rsidR="00566711" w:rsidRPr="000542DA" w:rsidRDefault="00566711" w:rsidP="00566711">
      <w:pPr>
        <w:rPr>
          <w:bCs/>
          <w:lang w:val="en-GB"/>
        </w:rPr>
      </w:pPr>
    </w:p>
    <w:p w14:paraId="07910A1F" w14:textId="77777777" w:rsidR="005E3DAC" w:rsidRPr="000542DA" w:rsidRDefault="005E3DAC" w:rsidP="00566711">
      <w:pPr>
        <w:pStyle w:val="Body"/>
        <w:numPr>
          <w:ilvl w:val="0"/>
          <w:numId w:val="10"/>
        </w:numPr>
        <w:spacing w:before="120" w:after="120"/>
        <w:ind w:left="567" w:hanging="567"/>
        <w:jc w:val="both"/>
        <w:rPr>
          <w:rFonts w:ascii="Times New Roman" w:hAnsi="Times New Roman"/>
          <w:b/>
          <w:i/>
          <w:sz w:val="24"/>
          <w:szCs w:val="24"/>
          <w:lang w:val="en-GB" w:eastAsia="x-none"/>
        </w:rPr>
      </w:pPr>
      <w:r w:rsidRPr="000542DA">
        <w:rPr>
          <w:rFonts w:ascii="Times New Roman" w:hAnsi="Times New Roman"/>
          <w:b/>
          <w:i/>
          <w:sz w:val="24"/>
          <w:szCs w:val="24"/>
          <w:lang w:val="en-GB" w:eastAsia="x-none"/>
        </w:rPr>
        <w:t>Detection of ageing effects</w:t>
      </w:r>
      <w:r w:rsidR="004D73AD" w:rsidRPr="000542DA">
        <w:rPr>
          <w:rFonts w:ascii="Times New Roman" w:hAnsi="Times New Roman"/>
          <w:b/>
          <w:i/>
          <w:sz w:val="24"/>
          <w:szCs w:val="24"/>
          <w:lang w:val="en-GB" w:eastAsia="x-none"/>
        </w:rPr>
        <w:t>:</w:t>
      </w:r>
    </w:p>
    <w:p w14:paraId="623DFA49" w14:textId="77777777" w:rsidR="00CB7259" w:rsidRPr="000542DA" w:rsidRDefault="00240C22" w:rsidP="00566711">
      <w:pPr>
        <w:rPr>
          <w:lang w:val="en-GB"/>
        </w:rPr>
      </w:pPr>
      <w:r w:rsidRPr="000542DA">
        <w:rPr>
          <w:lang w:val="en-GB"/>
        </w:rPr>
        <w:t>Actions in reassessment of qualification</w:t>
      </w:r>
      <w:r w:rsidR="00AA5748" w:rsidRPr="000542DA">
        <w:rPr>
          <w:lang w:val="en-GB"/>
        </w:rPr>
        <w:t xml:space="preserve"> of </w:t>
      </w:r>
      <w:r w:rsidR="001126ED">
        <w:rPr>
          <w:lang w:val="en-GB"/>
        </w:rPr>
        <w:t>in</w:t>
      </w:r>
      <w:r w:rsidR="005E4B53">
        <w:rPr>
          <w:lang w:val="en-GB"/>
        </w:rPr>
        <w:t>-</w:t>
      </w:r>
      <w:r w:rsidR="001126ED">
        <w:rPr>
          <w:lang w:val="en-GB"/>
        </w:rPr>
        <w:t xml:space="preserve">scope </w:t>
      </w:r>
      <w:r w:rsidR="00AA5748" w:rsidRPr="000542DA">
        <w:rPr>
          <w:lang w:val="en-GB"/>
        </w:rPr>
        <w:t>equipment</w:t>
      </w:r>
      <w:r w:rsidRPr="000542DA">
        <w:rPr>
          <w:lang w:val="en-GB"/>
        </w:rPr>
        <w:t xml:space="preserve"> that could be viewed as detection of ageing effects </w:t>
      </w:r>
      <w:r w:rsidR="002D6403" w:rsidRPr="000542DA">
        <w:rPr>
          <w:lang w:val="en-GB"/>
        </w:rPr>
        <w:t xml:space="preserve">may </w:t>
      </w:r>
      <w:r w:rsidRPr="000542DA">
        <w:rPr>
          <w:lang w:val="en-GB"/>
        </w:rPr>
        <w:t>include</w:t>
      </w:r>
      <w:r w:rsidR="00553B67" w:rsidRPr="000542DA">
        <w:rPr>
          <w:lang w:val="en-GB"/>
        </w:rPr>
        <w:t xml:space="preserve"> </w:t>
      </w:r>
    </w:p>
    <w:p w14:paraId="7EB7B71B" w14:textId="77777777" w:rsidR="00CB7259" w:rsidRPr="000542DA" w:rsidRDefault="009B2525" w:rsidP="00566711">
      <w:pPr>
        <w:rPr>
          <w:lang w:val="en-GB"/>
        </w:rPr>
      </w:pPr>
      <w:r w:rsidRPr="000542DA">
        <w:rPr>
          <w:lang w:val="en-GB"/>
        </w:rPr>
        <w:t xml:space="preserve">(a) </w:t>
      </w:r>
      <w:r w:rsidR="00E268FE" w:rsidRPr="000542DA">
        <w:rPr>
          <w:lang w:val="en-GB"/>
        </w:rPr>
        <w:t xml:space="preserve">inspecting and/or testing </w:t>
      </w:r>
      <w:r w:rsidR="001126ED">
        <w:rPr>
          <w:lang w:val="en-GB"/>
        </w:rPr>
        <w:t>in</w:t>
      </w:r>
      <w:r w:rsidR="005E4B53">
        <w:rPr>
          <w:lang w:val="en-GB"/>
        </w:rPr>
        <w:t>-</w:t>
      </w:r>
      <w:r w:rsidR="001126ED">
        <w:rPr>
          <w:lang w:val="en-GB"/>
        </w:rPr>
        <w:t xml:space="preserve">scope </w:t>
      </w:r>
      <w:r w:rsidR="00E268FE" w:rsidRPr="000542DA">
        <w:rPr>
          <w:lang w:val="en-GB"/>
        </w:rPr>
        <w:t>equipment periodically</w:t>
      </w:r>
      <w:r w:rsidR="00EE27C0" w:rsidRPr="000542DA">
        <w:rPr>
          <w:lang w:val="en-GB"/>
        </w:rPr>
        <w:t xml:space="preserve">, </w:t>
      </w:r>
    </w:p>
    <w:p w14:paraId="68F878EC" w14:textId="77777777" w:rsidR="009B2525" w:rsidRPr="000542DA" w:rsidRDefault="0013074C" w:rsidP="00566711">
      <w:pPr>
        <w:rPr>
          <w:lang w:val="en-GB"/>
        </w:rPr>
      </w:pPr>
      <w:r w:rsidRPr="000542DA">
        <w:rPr>
          <w:lang w:val="en-GB"/>
        </w:rPr>
        <w:t>(</w:t>
      </w:r>
      <w:r w:rsidR="00EE27C0" w:rsidRPr="000542DA">
        <w:rPr>
          <w:lang w:val="en-GB"/>
        </w:rPr>
        <w:t>b</w:t>
      </w:r>
      <w:r w:rsidRPr="000542DA">
        <w:rPr>
          <w:lang w:val="en-GB"/>
        </w:rPr>
        <w:t xml:space="preserve">) monitoring </w:t>
      </w:r>
      <w:r w:rsidR="00C22F71" w:rsidRPr="000542DA">
        <w:rPr>
          <w:lang w:val="en-GB"/>
        </w:rPr>
        <w:t xml:space="preserve">equipment </w:t>
      </w:r>
      <w:r w:rsidRPr="000542DA">
        <w:rPr>
          <w:lang w:val="en-GB"/>
        </w:rPr>
        <w:t>condition indicators for the application of condition-based qualification methodology (see “Condition monitoring”)</w:t>
      </w:r>
      <w:r w:rsidR="00883C51" w:rsidRPr="000542DA">
        <w:rPr>
          <w:lang w:val="en-GB"/>
        </w:rPr>
        <w:t>.</w:t>
      </w:r>
    </w:p>
    <w:p w14:paraId="1F43E827" w14:textId="77777777" w:rsidR="00CB7259" w:rsidRPr="000542DA" w:rsidRDefault="00CB7259" w:rsidP="00566711">
      <w:pPr>
        <w:rPr>
          <w:lang w:val="en-GB"/>
        </w:rPr>
      </w:pPr>
    </w:p>
    <w:p w14:paraId="0B2DE1A9" w14:textId="77777777" w:rsidR="005E3DAC" w:rsidRPr="000542DA" w:rsidRDefault="005E3DAC" w:rsidP="00566711">
      <w:pPr>
        <w:pStyle w:val="Body"/>
        <w:numPr>
          <w:ilvl w:val="0"/>
          <w:numId w:val="10"/>
        </w:numPr>
        <w:spacing w:before="120" w:after="120"/>
        <w:ind w:left="567" w:hanging="567"/>
        <w:jc w:val="both"/>
        <w:rPr>
          <w:rFonts w:ascii="Times New Roman" w:hAnsi="Times New Roman"/>
          <w:b/>
          <w:i/>
          <w:sz w:val="24"/>
          <w:szCs w:val="24"/>
          <w:lang w:val="en-GB" w:eastAsia="x-none"/>
        </w:rPr>
      </w:pPr>
      <w:r w:rsidRPr="000542DA">
        <w:rPr>
          <w:rFonts w:ascii="Times New Roman" w:hAnsi="Times New Roman"/>
          <w:b/>
          <w:i/>
          <w:sz w:val="24"/>
          <w:szCs w:val="24"/>
          <w:lang w:val="en-GB" w:eastAsia="x-none"/>
        </w:rPr>
        <w:t>Monitoring and trending of ageing effects</w:t>
      </w:r>
      <w:r w:rsidR="004D73AD" w:rsidRPr="000542DA">
        <w:rPr>
          <w:rFonts w:ascii="Times New Roman" w:hAnsi="Times New Roman"/>
          <w:b/>
          <w:i/>
          <w:sz w:val="24"/>
          <w:szCs w:val="24"/>
          <w:lang w:val="en-GB" w:eastAsia="x-none"/>
        </w:rPr>
        <w:t>:</w:t>
      </w:r>
    </w:p>
    <w:p w14:paraId="7A36BA6D" w14:textId="77777777" w:rsidR="00CB7259" w:rsidRPr="000542DA" w:rsidRDefault="00AA5748" w:rsidP="00566711">
      <w:pPr>
        <w:rPr>
          <w:lang w:val="en-GB"/>
        </w:rPr>
      </w:pPr>
      <w:r w:rsidRPr="000542DA">
        <w:rPr>
          <w:lang w:val="en-GB"/>
        </w:rPr>
        <w:lastRenderedPageBreak/>
        <w:t xml:space="preserve">Actions in reassessment of qualification of </w:t>
      </w:r>
      <w:r w:rsidR="001126ED">
        <w:rPr>
          <w:lang w:val="en-GB"/>
        </w:rPr>
        <w:t>in</w:t>
      </w:r>
      <w:r w:rsidR="005E4B53">
        <w:rPr>
          <w:lang w:val="en-GB"/>
        </w:rPr>
        <w:t>-</w:t>
      </w:r>
      <w:r w:rsidR="001126ED">
        <w:rPr>
          <w:lang w:val="en-GB"/>
        </w:rPr>
        <w:t xml:space="preserve">scope </w:t>
      </w:r>
      <w:r w:rsidRPr="000542DA">
        <w:rPr>
          <w:lang w:val="en-GB"/>
        </w:rPr>
        <w:t xml:space="preserve">equipment that could be viewed as </w:t>
      </w:r>
      <w:r w:rsidR="00850C19" w:rsidRPr="000542DA">
        <w:rPr>
          <w:lang w:val="en-GB"/>
        </w:rPr>
        <w:t xml:space="preserve">monitoring and trending of ageing effects </w:t>
      </w:r>
      <w:r w:rsidR="00EC66DB" w:rsidRPr="000542DA">
        <w:rPr>
          <w:lang w:val="en-GB"/>
        </w:rPr>
        <w:t xml:space="preserve">may </w:t>
      </w:r>
      <w:r w:rsidR="00850C19" w:rsidRPr="000542DA">
        <w:rPr>
          <w:lang w:val="en-GB"/>
        </w:rPr>
        <w:t xml:space="preserve">include </w:t>
      </w:r>
    </w:p>
    <w:p w14:paraId="209AE3FB" w14:textId="77777777" w:rsidR="00CB7259" w:rsidRPr="000542DA" w:rsidRDefault="00CB6E92" w:rsidP="00566711">
      <w:pPr>
        <w:rPr>
          <w:lang w:val="en-GB"/>
        </w:rPr>
      </w:pPr>
      <w:r w:rsidRPr="000542DA">
        <w:rPr>
          <w:lang w:val="en-GB"/>
        </w:rPr>
        <w:t xml:space="preserve">(a) </w:t>
      </w:r>
      <w:r w:rsidR="00D457A0" w:rsidRPr="000542DA">
        <w:rPr>
          <w:lang w:val="en-GB"/>
        </w:rPr>
        <w:t>monitoring</w:t>
      </w:r>
      <w:r w:rsidR="002D6403" w:rsidRPr="000542DA">
        <w:rPr>
          <w:lang w:val="en-GB"/>
        </w:rPr>
        <w:t xml:space="preserve"> </w:t>
      </w:r>
      <w:r w:rsidR="00D457A0" w:rsidRPr="000542DA">
        <w:rPr>
          <w:lang w:val="en-GB"/>
        </w:rPr>
        <w:t xml:space="preserve">of environmental conditions in normal operation of the plants with particular emphasis on the identification of adverse localized environments that may impact equipment’s qualified life </w:t>
      </w:r>
      <w:r w:rsidR="00D65DE6" w:rsidRPr="000542DA">
        <w:rPr>
          <w:lang w:val="en-GB"/>
        </w:rPr>
        <w:t>[</w:t>
      </w:r>
      <w:r w:rsidR="005C6F04" w:rsidRPr="000542DA">
        <w:rPr>
          <w:lang w:val="en-GB"/>
        </w:rPr>
        <w:t>1</w:t>
      </w:r>
      <w:r w:rsidR="00B80733">
        <w:rPr>
          <w:lang w:val="en-GB"/>
        </w:rPr>
        <w:t>1</w:t>
      </w:r>
      <w:r w:rsidR="005C6F04" w:rsidRPr="000542DA">
        <w:rPr>
          <w:lang w:val="en-GB"/>
        </w:rPr>
        <w:t xml:space="preserve">, </w:t>
      </w:r>
      <w:r w:rsidR="00753A5F" w:rsidRPr="000542DA">
        <w:rPr>
          <w:lang w:val="en-GB"/>
        </w:rPr>
        <w:t>1</w:t>
      </w:r>
      <w:r w:rsidR="00B80733">
        <w:rPr>
          <w:lang w:val="en-GB"/>
        </w:rPr>
        <w:t>4</w:t>
      </w:r>
      <w:r w:rsidR="00753A5F" w:rsidRPr="000542DA">
        <w:rPr>
          <w:lang w:val="en-GB"/>
        </w:rPr>
        <w:t>-1</w:t>
      </w:r>
      <w:r w:rsidR="00B80733">
        <w:rPr>
          <w:lang w:val="en-GB"/>
        </w:rPr>
        <w:t>8</w:t>
      </w:r>
      <w:r w:rsidR="00D65DE6" w:rsidRPr="000542DA">
        <w:rPr>
          <w:lang w:val="en-GB"/>
        </w:rPr>
        <w:t xml:space="preserve">] </w:t>
      </w:r>
      <w:r w:rsidR="00D457A0" w:rsidRPr="000542DA">
        <w:rPr>
          <w:lang w:val="en-GB"/>
        </w:rPr>
        <w:t>(see Method 1)</w:t>
      </w:r>
      <w:r w:rsidR="00A12A21">
        <w:rPr>
          <w:lang w:val="en-GB"/>
        </w:rPr>
        <w:t>;</w:t>
      </w:r>
    </w:p>
    <w:p w14:paraId="7128DBBD" w14:textId="77777777" w:rsidR="00CB7259" w:rsidRPr="000542DA" w:rsidRDefault="00E72A9B" w:rsidP="00566711">
      <w:pPr>
        <w:rPr>
          <w:lang w:val="en-GB"/>
        </w:rPr>
      </w:pPr>
      <w:r w:rsidRPr="000542DA">
        <w:rPr>
          <w:lang w:val="en-GB"/>
        </w:rPr>
        <w:t xml:space="preserve">(b) </w:t>
      </w:r>
      <w:r w:rsidR="002D6403" w:rsidRPr="000542DA">
        <w:rPr>
          <w:lang w:val="en-GB"/>
        </w:rPr>
        <w:t xml:space="preserve">inspecting and testing </w:t>
      </w:r>
      <w:r w:rsidR="001126ED">
        <w:rPr>
          <w:lang w:val="en-GB"/>
        </w:rPr>
        <w:t>in</w:t>
      </w:r>
      <w:r w:rsidR="005E4B53">
        <w:rPr>
          <w:lang w:val="en-GB"/>
        </w:rPr>
        <w:t>-</w:t>
      </w:r>
      <w:r w:rsidR="001126ED">
        <w:rPr>
          <w:lang w:val="en-GB"/>
        </w:rPr>
        <w:t xml:space="preserve">scope </w:t>
      </w:r>
      <w:r w:rsidR="002D6403" w:rsidRPr="000542DA">
        <w:rPr>
          <w:lang w:val="en-GB"/>
        </w:rPr>
        <w:t>equipment with</w:t>
      </w:r>
      <w:r w:rsidRPr="000542DA">
        <w:rPr>
          <w:kern w:val="0"/>
          <w:lang w:val="en-GB" w:eastAsia="en-US"/>
        </w:rPr>
        <w:t xml:space="preserve"> appropriate techniques, supplemented with walk-downs to look for visible signs of anomalies attributable to ageing</w:t>
      </w:r>
      <w:r w:rsidR="00A12A21">
        <w:rPr>
          <w:kern w:val="0"/>
          <w:lang w:val="en-GB" w:eastAsia="en-US"/>
        </w:rPr>
        <w:t>;</w:t>
      </w:r>
    </w:p>
    <w:p w14:paraId="4782CD68" w14:textId="77777777" w:rsidR="00CB7259" w:rsidRPr="000542DA" w:rsidRDefault="00D457A0" w:rsidP="00566711">
      <w:pPr>
        <w:rPr>
          <w:lang w:val="en-GB"/>
        </w:rPr>
      </w:pPr>
      <w:r w:rsidRPr="000542DA">
        <w:rPr>
          <w:lang w:val="en-GB"/>
        </w:rPr>
        <w:t>(</w:t>
      </w:r>
      <w:r w:rsidR="00E72A9B" w:rsidRPr="000542DA">
        <w:rPr>
          <w:lang w:val="en-GB"/>
        </w:rPr>
        <w:t>c</w:t>
      </w:r>
      <w:r w:rsidRPr="000542DA">
        <w:rPr>
          <w:lang w:val="en-GB"/>
        </w:rPr>
        <w:t>)</w:t>
      </w:r>
      <w:r w:rsidR="00440D7C" w:rsidRPr="000542DA">
        <w:rPr>
          <w:lang w:val="en-GB"/>
        </w:rPr>
        <w:t xml:space="preserve"> monitoring</w:t>
      </w:r>
      <w:r w:rsidR="002D6403" w:rsidRPr="000542DA">
        <w:rPr>
          <w:lang w:val="en-GB"/>
        </w:rPr>
        <w:t xml:space="preserve"> and trending</w:t>
      </w:r>
      <w:r w:rsidR="00440D7C" w:rsidRPr="000542DA">
        <w:rPr>
          <w:lang w:val="en-GB"/>
        </w:rPr>
        <w:t xml:space="preserve"> of </w:t>
      </w:r>
      <w:r w:rsidR="001126ED">
        <w:rPr>
          <w:lang w:val="en-GB"/>
        </w:rPr>
        <w:t>in</w:t>
      </w:r>
      <w:r w:rsidR="005E4B53">
        <w:rPr>
          <w:lang w:val="en-GB"/>
        </w:rPr>
        <w:t>-</w:t>
      </w:r>
      <w:r w:rsidR="001126ED">
        <w:rPr>
          <w:lang w:val="en-GB"/>
        </w:rPr>
        <w:t xml:space="preserve">scope </w:t>
      </w:r>
      <w:r w:rsidR="00440D7C" w:rsidRPr="000542DA">
        <w:rPr>
          <w:lang w:val="en-GB"/>
        </w:rPr>
        <w:t xml:space="preserve">equipment condition indicators with periodicity for condition-based qualification (see </w:t>
      </w:r>
      <w:r w:rsidR="00E434DE" w:rsidRPr="000542DA">
        <w:rPr>
          <w:lang w:val="en-GB"/>
        </w:rPr>
        <w:t>“C</w:t>
      </w:r>
      <w:r w:rsidR="00440D7C" w:rsidRPr="000542DA">
        <w:rPr>
          <w:lang w:val="en-GB"/>
        </w:rPr>
        <w:t>ondition monitoring</w:t>
      </w:r>
      <w:r w:rsidR="00E434DE" w:rsidRPr="000542DA">
        <w:rPr>
          <w:lang w:val="en-GB"/>
        </w:rPr>
        <w:t>”</w:t>
      </w:r>
      <w:r w:rsidR="00440D7C" w:rsidRPr="000542DA">
        <w:rPr>
          <w:lang w:val="en-GB"/>
        </w:rPr>
        <w:t>)</w:t>
      </w:r>
      <w:r w:rsidR="00A12A21">
        <w:rPr>
          <w:lang w:val="en-GB"/>
        </w:rPr>
        <w:t>;</w:t>
      </w:r>
      <w:r w:rsidR="00CA3606" w:rsidRPr="000542DA">
        <w:rPr>
          <w:lang w:val="en-GB"/>
        </w:rPr>
        <w:t xml:space="preserve"> and </w:t>
      </w:r>
    </w:p>
    <w:p w14:paraId="000EF06B" w14:textId="77777777" w:rsidR="00CA3606" w:rsidRPr="000542DA" w:rsidRDefault="00CA3606" w:rsidP="00566711">
      <w:pPr>
        <w:rPr>
          <w:lang w:val="en-GB"/>
        </w:rPr>
      </w:pPr>
      <w:r w:rsidRPr="000542DA">
        <w:rPr>
          <w:lang w:val="en-GB"/>
        </w:rPr>
        <w:t>(d) verifying</w:t>
      </w:r>
      <w:r w:rsidR="00CC04C6" w:rsidRPr="000542DA">
        <w:rPr>
          <w:lang w:val="en-GB"/>
        </w:rPr>
        <w:t xml:space="preserve"> that the</w:t>
      </w:r>
      <w:r w:rsidRPr="000542DA">
        <w:rPr>
          <w:lang w:val="en-GB"/>
        </w:rPr>
        <w:t xml:space="preserve"> plant configuration meets </w:t>
      </w:r>
      <w:r w:rsidR="00CC04C6" w:rsidRPr="000542DA">
        <w:rPr>
          <w:lang w:val="en-GB"/>
        </w:rPr>
        <w:t xml:space="preserve">the </w:t>
      </w:r>
      <w:r w:rsidRPr="000542DA">
        <w:rPr>
          <w:lang w:val="en-GB"/>
        </w:rPr>
        <w:t>qualification basis.</w:t>
      </w:r>
    </w:p>
    <w:p w14:paraId="5829DFFC" w14:textId="77777777" w:rsidR="000811ED" w:rsidRPr="000542DA" w:rsidRDefault="0047155E" w:rsidP="00566711">
      <w:pPr>
        <w:rPr>
          <w:lang w:val="en-GB"/>
        </w:rPr>
      </w:pPr>
      <w:r w:rsidRPr="000542DA">
        <w:rPr>
          <w:lang w:val="en-GB"/>
        </w:rPr>
        <w:t>A monitoring</w:t>
      </w:r>
      <w:r w:rsidR="00911732" w:rsidRPr="000542DA">
        <w:rPr>
          <w:lang w:val="en-GB"/>
        </w:rPr>
        <w:t xml:space="preserve"> </w:t>
      </w:r>
      <w:r w:rsidR="005111F6" w:rsidRPr="000542DA">
        <w:rPr>
          <w:lang w:val="en-GB"/>
        </w:rPr>
        <w:t>or trending</w:t>
      </w:r>
      <w:r w:rsidR="00911732" w:rsidRPr="000542DA">
        <w:rPr>
          <w:lang w:val="en-GB"/>
        </w:rPr>
        <w:t xml:space="preserve"> </w:t>
      </w:r>
      <w:r w:rsidR="00162F9B" w:rsidRPr="000542DA">
        <w:rPr>
          <w:lang w:val="en-GB"/>
        </w:rPr>
        <w:t xml:space="preserve">programme </w:t>
      </w:r>
      <w:r w:rsidR="00911732" w:rsidRPr="000542DA">
        <w:rPr>
          <w:lang w:val="en-GB"/>
        </w:rPr>
        <w:t xml:space="preserve">may be used to ensure that </w:t>
      </w:r>
      <w:r w:rsidR="004D44CC" w:rsidRPr="000542DA">
        <w:rPr>
          <w:lang w:val="en-GB"/>
        </w:rPr>
        <w:t>the</w:t>
      </w:r>
      <w:r w:rsidR="006E203E" w:rsidRPr="000542DA">
        <w:rPr>
          <w:lang w:val="en-GB"/>
        </w:rPr>
        <w:t xml:space="preserve"> qualified</w:t>
      </w:r>
      <w:r w:rsidR="00911732" w:rsidRPr="000542DA">
        <w:rPr>
          <w:lang w:val="en-GB"/>
        </w:rPr>
        <w:t xml:space="preserve"> </w:t>
      </w:r>
      <w:r w:rsidR="006E203E" w:rsidRPr="000542DA">
        <w:rPr>
          <w:lang w:val="en-GB"/>
        </w:rPr>
        <w:t>equipment</w:t>
      </w:r>
      <w:r w:rsidR="00911732" w:rsidRPr="000542DA">
        <w:rPr>
          <w:lang w:val="en-GB"/>
        </w:rPr>
        <w:t xml:space="preserve"> is within the bounds of its qualification basis, or </w:t>
      </w:r>
      <w:r w:rsidR="000D6F9A" w:rsidRPr="000542DA">
        <w:rPr>
          <w:lang w:val="en-GB"/>
        </w:rPr>
        <w:t>to</w:t>
      </w:r>
      <w:r w:rsidR="00D20182" w:rsidRPr="000542DA">
        <w:rPr>
          <w:lang w:val="en-GB"/>
        </w:rPr>
        <w:t xml:space="preserve"> modify </w:t>
      </w:r>
      <w:r w:rsidRPr="000542DA">
        <w:rPr>
          <w:lang w:val="en-GB"/>
        </w:rPr>
        <w:t>qualified life</w:t>
      </w:r>
      <w:r w:rsidR="00A25741" w:rsidRPr="000542DA">
        <w:rPr>
          <w:lang w:val="en-GB"/>
        </w:rPr>
        <w:t xml:space="preserve">. </w:t>
      </w:r>
      <w:r w:rsidR="003E64C3" w:rsidRPr="000542DA">
        <w:rPr>
          <w:lang w:val="en-GB"/>
        </w:rPr>
        <w:t>M</w:t>
      </w:r>
      <w:r w:rsidR="000811ED" w:rsidRPr="000542DA">
        <w:rPr>
          <w:lang w:val="en-GB"/>
        </w:rPr>
        <w:t xml:space="preserve">onitoring and trending </w:t>
      </w:r>
      <w:r w:rsidR="003E64C3" w:rsidRPr="000542DA">
        <w:rPr>
          <w:lang w:val="en-GB"/>
        </w:rPr>
        <w:t xml:space="preserve">frequency </w:t>
      </w:r>
      <w:r w:rsidR="000811ED" w:rsidRPr="000542DA">
        <w:rPr>
          <w:lang w:val="en-GB"/>
        </w:rPr>
        <w:t xml:space="preserve">may be adjusted based on results of </w:t>
      </w:r>
      <w:r w:rsidR="00927634" w:rsidRPr="000542DA">
        <w:rPr>
          <w:kern w:val="0"/>
          <w:lang w:val="en-GB" w:eastAsia="en-US"/>
        </w:rPr>
        <w:t>equipment</w:t>
      </w:r>
      <w:r w:rsidR="000811ED" w:rsidRPr="000542DA">
        <w:rPr>
          <w:lang w:val="en-GB"/>
        </w:rPr>
        <w:t xml:space="preserve"> inspection and test</w:t>
      </w:r>
      <w:r w:rsidR="005B105D" w:rsidRPr="000542DA">
        <w:rPr>
          <w:lang w:val="en-GB"/>
        </w:rPr>
        <w:t>ing</w:t>
      </w:r>
      <w:r w:rsidR="000811ED" w:rsidRPr="000542DA">
        <w:rPr>
          <w:lang w:val="en-GB"/>
        </w:rPr>
        <w:t>.</w:t>
      </w:r>
    </w:p>
    <w:p w14:paraId="59829958" w14:textId="77777777" w:rsidR="007F3DB7" w:rsidRPr="000542DA" w:rsidRDefault="007F3DB7" w:rsidP="00566711">
      <w:pPr>
        <w:rPr>
          <w:lang w:val="en-GB"/>
        </w:rPr>
      </w:pPr>
    </w:p>
    <w:p w14:paraId="0241A16F" w14:textId="77777777" w:rsidR="005E3DAC" w:rsidRPr="000542DA" w:rsidRDefault="005E3DAC" w:rsidP="00566711">
      <w:pPr>
        <w:pStyle w:val="Body"/>
        <w:numPr>
          <w:ilvl w:val="0"/>
          <w:numId w:val="10"/>
        </w:numPr>
        <w:spacing w:before="120" w:after="120"/>
        <w:ind w:left="567" w:hanging="567"/>
        <w:jc w:val="both"/>
        <w:rPr>
          <w:rFonts w:ascii="Times New Roman" w:hAnsi="Times New Roman"/>
          <w:b/>
          <w:i/>
          <w:sz w:val="24"/>
          <w:szCs w:val="24"/>
          <w:lang w:val="en-GB" w:eastAsia="x-none"/>
        </w:rPr>
      </w:pPr>
      <w:r w:rsidRPr="000542DA">
        <w:rPr>
          <w:rFonts w:ascii="Times New Roman" w:hAnsi="Times New Roman"/>
          <w:b/>
          <w:i/>
          <w:sz w:val="24"/>
          <w:szCs w:val="24"/>
          <w:lang w:val="en-GB" w:eastAsia="x-none"/>
        </w:rPr>
        <w:t>Mitigating ageing effects</w:t>
      </w:r>
      <w:r w:rsidR="004D73AD" w:rsidRPr="000542DA">
        <w:rPr>
          <w:rFonts w:ascii="Times New Roman" w:hAnsi="Times New Roman"/>
          <w:b/>
          <w:i/>
          <w:sz w:val="24"/>
          <w:szCs w:val="24"/>
          <w:lang w:val="en-GB" w:eastAsia="x-none"/>
        </w:rPr>
        <w:t>:</w:t>
      </w:r>
    </w:p>
    <w:p w14:paraId="2ADAD859" w14:textId="77777777" w:rsidR="00CB7259" w:rsidRPr="000542DA" w:rsidRDefault="009A1BCD" w:rsidP="00566711">
      <w:pPr>
        <w:rPr>
          <w:lang w:val="en-GB"/>
        </w:rPr>
      </w:pPr>
      <w:r w:rsidRPr="000542DA">
        <w:rPr>
          <w:lang w:val="en-GB"/>
        </w:rPr>
        <w:t xml:space="preserve">Actions in </w:t>
      </w:r>
      <w:r w:rsidR="00F52994" w:rsidRPr="000542DA">
        <w:rPr>
          <w:lang w:val="en-GB"/>
        </w:rPr>
        <w:t xml:space="preserve">qualification </w:t>
      </w:r>
      <w:r w:rsidRPr="000542DA">
        <w:rPr>
          <w:lang w:val="en-GB"/>
        </w:rPr>
        <w:t xml:space="preserve">reassessment of </w:t>
      </w:r>
      <w:r w:rsidR="00F52994">
        <w:rPr>
          <w:lang w:val="en-GB"/>
        </w:rPr>
        <w:t>in</w:t>
      </w:r>
      <w:r w:rsidR="005E4B53">
        <w:rPr>
          <w:lang w:val="en-GB"/>
        </w:rPr>
        <w:t>-</w:t>
      </w:r>
      <w:r w:rsidR="00F52994">
        <w:rPr>
          <w:lang w:val="en-GB"/>
        </w:rPr>
        <w:t xml:space="preserve">scope </w:t>
      </w:r>
      <w:r w:rsidRPr="000542DA">
        <w:rPr>
          <w:lang w:val="en-GB"/>
        </w:rPr>
        <w:t>equipment that could be viewed as</w:t>
      </w:r>
      <w:r w:rsidR="00640C4E" w:rsidRPr="000542DA">
        <w:rPr>
          <w:lang w:val="en-GB"/>
        </w:rPr>
        <w:t xml:space="preserve"> mitigating ageing effects include</w:t>
      </w:r>
      <w:r w:rsidR="00F52994">
        <w:rPr>
          <w:lang w:val="en-GB"/>
        </w:rPr>
        <w:t>:</w:t>
      </w:r>
    </w:p>
    <w:p w14:paraId="28AA8A94" w14:textId="77777777" w:rsidR="00CB7259" w:rsidRPr="000542DA" w:rsidRDefault="002B5A0A" w:rsidP="00566711">
      <w:pPr>
        <w:rPr>
          <w:lang w:val="en-GB"/>
        </w:rPr>
      </w:pPr>
      <w:r w:rsidRPr="000542DA">
        <w:rPr>
          <w:lang w:val="en-GB"/>
        </w:rPr>
        <w:t xml:space="preserve">(a) mitigation of the ageing effects by modification of the ambient conditions. This can be achieved by air conditioning to decrease the ambient temperature and shielding or relocation of the </w:t>
      </w:r>
      <w:r w:rsidR="001126ED">
        <w:rPr>
          <w:lang w:val="en-GB"/>
        </w:rPr>
        <w:t>in</w:t>
      </w:r>
      <w:r w:rsidR="005E4B53">
        <w:rPr>
          <w:lang w:val="en-GB"/>
        </w:rPr>
        <w:t>-</w:t>
      </w:r>
      <w:r w:rsidR="001126ED">
        <w:rPr>
          <w:lang w:val="en-GB"/>
        </w:rPr>
        <w:t xml:space="preserve">scope </w:t>
      </w:r>
      <w:r w:rsidRPr="000542DA">
        <w:rPr>
          <w:lang w:val="en-GB"/>
        </w:rPr>
        <w:t>equipment to decrease radiation stemming from a hot spot</w:t>
      </w:r>
      <w:r w:rsidR="00FC5DE4" w:rsidRPr="000542DA">
        <w:rPr>
          <w:lang w:val="en-GB"/>
        </w:rPr>
        <w:t xml:space="preserve"> </w:t>
      </w:r>
      <w:r w:rsidRPr="000542DA">
        <w:rPr>
          <w:lang w:val="en-GB"/>
        </w:rPr>
        <w:t>(see Method 1)</w:t>
      </w:r>
      <w:r w:rsidR="00A12A21">
        <w:rPr>
          <w:lang w:val="en-GB"/>
        </w:rPr>
        <w:t>;</w:t>
      </w:r>
      <w:r w:rsidR="00253711" w:rsidRPr="000542DA">
        <w:rPr>
          <w:lang w:val="en-GB"/>
        </w:rPr>
        <w:t xml:space="preserve"> </w:t>
      </w:r>
    </w:p>
    <w:p w14:paraId="31931BBE" w14:textId="77777777" w:rsidR="00CB7259" w:rsidRPr="000542DA" w:rsidRDefault="006C7D44" w:rsidP="00566711">
      <w:pPr>
        <w:rPr>
          <w:lang w:val="en-GB"/>
        </w:rPr>
      </w:pPr>
      <w:r w:rsidRPr="000542DA">
        <w:rPr>
          <w:lang w:val="en-GB"/>
        </w:rPr>
        <w:t>(b)</w:t>
      </w:r>
      <w:r w:rsidR="00E70702" w:rsidRPr="000542DA">
        <w:rPr>
          <w:lang w:val="en-GB"/>
        </w:rPr>
        <w:t xml:space="preserve"> component replacement</w:t>
      </w:r>
      <w:r w:rsidR="00E51F4A" w:rsidRPr="000542DA">
        <w:rPr>
          <w:lang w:val="en-GB"/>
        </w:rPr>
        <w:t xml:space="preserve"> </w:t>
      </w:r>
      <w:r w:rsidR="00BB38D0" w:rsidRPr="000542DA">
        <w:rPr>
          <w:lang w:val="en-GB"/>
        </w:rPr>
        <w:t xml:space="preserve">(also known as </w:t>
      </w:r>
      <w:r w:rsidR="00E51F4A" w:rsidRPr="000542DA">
        <w:rPr>
          <w:lang w:val="en-GB"/>
        </w:rPr>
        <w:t>partial replacement</w:t>
      </w:r>
      <w:r w:rsidR="00BB38D0" w:rsidRPr="000542DA">
        <w:rPr>
          <w:lang w:val="en-GB"/>
        </w:rPr>
        <w:t>)</w:t>
      </w:r>
      <w:r w:rsidR="00E70702" w:rsidRPr="000542DA">
        <w:rPr>
          <w:lang w:val="en-GB"/>
        </w:rPr>
        <w:t xml:space="preserve"> (see Method 4)</w:t>
      </w:r>
      <w:r w:rsidR="00A12A21">
        <w:rPr>
          <w:lang w:val="en-GB"/>
        </w:rPr>
        <w:t>;</w:t>
      </w:r>
      <w:r w:rsidRPr="000542DA">
        <w:rPr>
          <w:lang w:val="en-GB"/>
        </w:rPr>
        <w:t xml:space="preserve"> and </w:t>
      </w:r>
    </w:p>
    <w:p w14:paraId="739C28E7" w14:textId="77777777" w:rsidR="000B3BD6" w:rsidRPr="000542DA" w:rsidRDefault="00173E42" w:rsidP="00566711">
      <w:pPr>
        <w:rPr>
          <w:lang w:val="en-GB"/>
        </w:rPr>
      </w:pPr>
      <w:r w:rsidRPr="000542DA">
        <w:rPr>
          <w:lang w:val="en-GB"/>
        </w:rPr>
        <w:t>(</w:t>
      </w:r>
      <w:r w:rsidR="006C7D44" w:rsidRPr="000542DA">
        <w:rPr>
          <w:lang w:val="en-GB"/>
        </w:rPr>
        <w:t>c</w:t>
      </w:r>
      <w:r w:rsidRPr="000542DA">
        <w:rPr>
          <w:lang w:val="en-GB"/>
        </w:rPr>
        <w:t xml:space="preserve">) </w:t>
      </w:r>
      <w:r w:rsidR="00FC4C63" w:rsidRPr="000542DA">
        <w:rPr>
          <w:lang w:val="en-GB"/>
        </w:rPr>
        <w:t>complete</w:t>
      </w:r>
      <w:r w:rsidR="004C1229" w:rsidRPr="000542DA">
        <w:rPr>
          <w:lang w:val="en-GB"/>
        </w:rPr>
        <w:t xml:space="preserve"> </w:t>
      </w:r>
      <w:r w:rsidR="00FC4C63" w:rsidRPr="000542DA">
        <w:rPr>
          <w:lang w:val="en-GB"/>
        </w:rPr>
        <w:t>replacement</w:t>
      </w:r>
      <w:r w:rsidR="00B97365" w:rsidRPr="000542DA">
        <w:rPr>
          <w:lang w:val="en-GB"/>
        </w:rPr>
        <w:t xml:space="preserve"> of equipment</w:t>
      </w:r>
      <w:r w:rsidR="006C7D44" w:rsidRPr="000542DA">
        <w:rPr>
          <w:lang w:val="en-GB"/>
        </w:rPr>
        <w:t>.</w:t>
      </w:r>
    </w:p>
    <w:p w14:paraId="48DA20CD" w14:textId="77777777" w:rsidR="00BC60B2" w:rsidRPr="000542DA" w:rsidRDefault="00BC60B2" w:rsidP="00566711">
      <w:pPr>
        <w:rPr>
          <w:lang w:val="en-GB"/>
        </w:rPr>
      </w:pPr>
    </w:p>
    <w:p w14:paraId="73292E1D" w14:textId="77777777" w:rsidR="005E3DAC" w:rsidRPr="000542DA" w:rsidRDefault="005E3DAC" w:rsidP="00566711">
      <w:pPr>
        <w:pStyle w:val="Body"/>
        <w:numPr>
          <w:ilvl w:val="0"/>
          <w:numId w:val="10"/>
        </w:numPr>
        <w:spacing w:before="120" w:after="120"/>
        <w:ind w:left="567" w:hanging="567"/>
        <w:jc w:val="both"/>
        <w:rPr>
          <w:rFonts w:ascii="Times New Roman" w:hAnsi="Times New Roman"/>
          <w:b/>
          <w:i/>
          <w:sz w:val="24"/>
          <w:szCs w:val="24"/>
          <w:lang w:val="en-GB" w:eastAsia="x-none"/>
        </w:rPr>
      </w:pPr>
      <w:r w:rsidRPr="000542DA">
        <w:rPr>
          <w:rFonts w:ascii="Times New Roman" w:hAnsi="Times New Roman"/>
          <w:b/>
          <w:i/>
          <w:sz w:val="24"/>
          <w:szCs w:val="24"/>
          <w:lang w:val="en-GB" w:eastAsia="x-none"/>
        </w:rPr>
        <w:t>Acceptance criteria</w:t>
      </w:r>
      <w:r w:rsidR="004D73AD" w:rsidRPr="000542DA">
        <w:rPr>
          <w:rFonts w:ascii="Times New Roman" w:hAnsi="Times New Roman"/>
          <w:b/>
          <w:i/>
          <w:sz w:val="24"/>
          <w:szCs w:val="24"/>
          <w:lang w:val="en-GB" w:eastAsia="x-none"/>
        </w:rPr>
        <w:t>:</w:t>
      </w:r>
    </w:p>
    <w:p w14:paraId="0DDAFFFB" w14:textId="77777777" w:rsidR="00315AF8" w:rsidRPr="000542DA" w:rsidRDefault="00F054D3" w:rsidP="00566711">
      <w:pPr>
        <w:rPr>
          <w:lang w:val="en-GB"/>
        </w:rPr>
      </w:pPr>
      <w:r w:rsidRPr="000542DA">
        <w:rPr>
          <w:lang w:val="en-GB"/>
        </w:rPr>
        <w:t xml:space="preserve">The acceptance criteria </w:t>
      </w:r>
      <w:r w:rsidR="00012CF9" w:rsidRPr="000542DA">
        <w:rPr>
          <w:lang w:val="en-GB"/>
        </w:rPr>
        <w:t xml:space="preserve">of </w:t>
      </w:r>
      <w:r w:rsidR="00C85F4C" w:rsidRPr="000542DA">
        <w:rPr>
          <w:lang w:val="en-GB"/>
        </w:rPr>
        <w:t xml:space="preserve">the </w:t>
      </w:r>
      <w:r w:rsidR="001126ED">
        <w:rPr>
          <w:lang w:val="en-GB"/>
        </w:rPr>
        <w:t>equipment</w:t>
      </w:r>
      <w:r w:rsidR="001126ED" w:rsidRPr="000542DA">
        <w:rPr>
          <w:lang w:val="en-GB"/>
        </w:rPr>
        <w:t xml:space="preserve"> </w:t>
      </w:r>
      <w:r w:rsidR="00CA085F" w:rsidRPr="000542DA">
        <w:rPr>
          <w:lang w:val="en-GB"/>
        </w:rPr>
        <w:t>qualification</w:t>
      </w:r>
      <w:r w:rsidR="00012CF9" w:rsidRPr="000542DA">
        <w:rPr>
          <w:lang w:val="en-GB"/>
        </w:rPr>
        <w:t xml:space="preserve"> programme </w:t>
      </w:r>
      <w:r w:rsidRPr="000542DA">
        <w:rPr>
          <w:lang w:val="en-GB"/>
        </w:rPr>
        <w:t xml:space="preserve">are that </w:t>
      </w:r>
      <w:r w:rsidR="00073F06" w:rsidRPr="000542DA">
        <w:rPr>
          <w:lang w:val="en-GB"/>
        </w:rPr>
        <w:t xml:space="preserve">the </w:t>
      </w:r>
      <w:r w:rsidRPr="000542DA">
        <w:rPr>
          <w:lang w:val="en-GB"/>
        </w:rPr>
        <w:t>in</w:t>
      </w:r>
      <w:r w:rsidR="00630711" w:rsidRPr="000542DA">
        <w:rPr>
          <w:lang w:val="en-GB" w:eastAsia="ja-JP"/>
        </w:rPr>
        <w:t>-</w:t>
      </w:r>
      <w:r w:rsidRPr="000542DA">
        <w:rPr>
          <w:lang w:val="en-GB"/>
        </w:rPr>
        <w:t xml:space="preserve">service </w:t>
      </w:r>
      <w:r w:rsidR="001126ED">
        <w:rPr>
          <w:lang w:val="en-GB"/>
        </w:rPr>
        <w:t>in</w:t>
      </w:r>
      <w:r w:rsidR="005E4B53">
        <w:rPr>
          <w:lang w:val="en-GB"/>
        </w:rPr>
        <w:t>-</w:t>
      </w:r>
      <w:r w:rsidR="001126ED">
        <w:rPr>
          <w:lang w:val="en-GB"/>
        </w:rPr>
        <w:t xml:space="preserve">scope </w:t>
      </w:r>
      <w:r w:rsidR="00073F06" w:rsidRPr="000542DA">
        <w:rPr>
          <w:lang w:val="en-GB"/>
        </w:rPr>
        <w:t xml:space="preserve">equipment </w:t>
      </w:r>
      <w:r w:rsidRPr="000542DA">
        <w:rPr>
          <w:lang w:val="en-GB"/>
        </w:rPr>
        <w:t>is maintained within the bounds of its qualification basis</w:t>
      </w:r>
      <w:r w:rsidR="0067661F" w:rsidRPr="000542DA">
        <w:rPr>
          <w:lang w:val="en-GB"/>
        </w:rPr>
        <w:t xml:space="preserve"> for the intended period of operation</w:t>
      </w:r>
      <w:r w:rsidR="00FD0B00" w:rsidRPr="000542DA">
        <w:rPr>
          <w:lang w:val="en-GB"/>
        </w:rPr>
        <w:t>.</w:t>
      </w:r>
      <w:r w:rsidR="00823426" w:rsidRPr="000542DA">
        <w:rPr>
          <w:lang w:val="en-GB"/>
        </w:rPr>
        <w:t xml:space="preserve"> </w:t>
      </w:r>
      <w:r w:rsidR="00F52994">
        <w:rPr>
          <w:lang w:val="en-GB"/>
        </w:rPr>
        <w:t>Q</w:t>
      </w:r>
      <w:r w:rsidR="00F52994" w:rsidRPr="000542DA">
        <w:rPr>
          <w:lang w:val="en-GB"/>
        </w:rPr>
        <w:t xml:space="preserve">ualification </w:t>
      </w:r>
      <w:r w:rsidR="00F52994">
        <w:rPr>
          <w:lang w:val="en-GB"/>
        </w:rPr>
        <w:t>r</w:t>
      </w:r>
      <w:r w:rsidR="00AE3E4D" w:rsidRPr="000542DA">
        <w:rPr>
          <w:lang w:val="en-GB"/>
        </w:rPr>
        <w:t xml:space="preserve">eassessment of </w:t>
      </w:r>
      <w:r w:rsidR="001126ED">
        <w:rPr>
          <w:lang w:val="en-GB"/>
        </w:rPr>
        <w:t>in</w:t>
      </w:r>
      <w:r w:rsidR="005E4B53">
        <w:rPr>
          <w:lang w:val="en-GB"/>
        </w:rPr>
        <w:t>-</w:t>
      </w:r>
      <w:r w:rsidR="001126ED">
        <w:rPr>
          <w:lang w:val="en-GB"/>
        </w:rPr>
        <w:t xml:space="preserve">scope </w:t>
      </w:r>
      <w:r w:rsidR="00AE3E4D" w:rsidRPr="000542DA">
        <w:rPr>
          <w:lang w:val="en-GB"/>
        </w:rPr>
        <w:t>equipment</w:t>
      </w:r>
      <w:r w:rsidR="00E16565" w:rsidRPr="000542DA">
        <w:rPr>
          <w:lang w:val="en-GB"/>
        </w:rPr>
        <w:t xml:space="preserve"> requires </w:t>
      </w:r>
      <w:r w:rsidR="00F14093" w:rsidRPr="000542DA">
        <w:rPr>
          <w:lang w:val="en-GB"/>
        </w:rPr>
        <w:t>extension of qualification through reassessment of qualified life</w:t>
      </w:r>
      <w:r w:rsidR="00984834" w:rsidRPr="000542DA">
        <w:rPr>
          <w:lang w:val="en-GB"/>
        </w:rPr>
        <w:t>,</w:t>
      </w:r>
      <w:r w:rsidR="00F14093" w:rsidRPr="000542DA">
        <w:rPr>
          <w:lang w:val="en-GB"/>
        </w:rPr>
        <w:t xml:space="preserve"> condition-based qualification</w:t>
      </w:r>
      <w:r w:rsidR="00286A20" w:rsidRPr="000542DA">
        <w:rPr>
          <w:lang w:val="en-GB"/>
        </w:rPr>
        <w:t xml:space="preserve"> (see “</w:t>
      </w:r>
      <w:r w:rsidR="00C52954" w:rsidRPr="000542DA">
        <w:rPr>
          <w:lang w:val="en-GB"/>
        </w:rPr>
        <w:t>Condition monitoring</w:t>
      </w:r>
      <w:r w:rsidR="00286A20" w:rsidRPr="000542DA">
        <w:rPr>
          <w:lang w:val="en-GB"/>
        </w:rPr>
        <w:t>”)</w:t>
      </w:r>
      <w:r w:rsidR="00E434DE" w:rsidRPr="000542DA">
        <w:rPr>
          <w:lang w:val="en-GB"/>
        </w:rPr>
        <w:t>,</w:t>
      </w:r>
      <w:r w:rsidR="00F14093" w:rsidRPr="000542DA">
        <w:rPr>
          <w:lang w:val="en-GB"/>
        </w:rPr>
        <w:t xml:space="preserve"> or </w:t>
      </w:r>
      <w:r w:rsidR="00197486" w:rsidRPr="000542DA">
        <w:rPr>
          <w:lang w:val="en-GB"/>
        </w:rPr>
        <w:t>complete replacement of equipment</w:t>
      </w:r>
      <w:r w:rsidR="00315AF8" w:rsidRPr="000542DA">
        <w:rPr>
          <w:lang w:val="en-GB"/>
        </w:rPr>
        <w:t xml:space="preserve"> prior to reaching the </w:t>
      </w:r>
      <w:r w:rsidR="00EF76D2" w:rsidRPr="000542DA">
        <w:rPr>
          <w:lang w:val="en-GB"/>
        </w:rPr>
        <w:t xml:space="preserve">qualification </w:t>
      </w:r>
      <w:r w:rsidR="00315AF8" w:rsidRPr="000542DA">
        <w:rPr>
          <w:lang w:val="en-GB"/>
        </w:rPr>
        <w:t>limits (qualified life or qualified condition) established in the evaluation.</w:t>
      </w:r>
    </w:p>
    <w:p w14:paraId="259AF3F6" w14:textId="77777777" w:rsidR="00B8599F" w:rsidRPr="000542DA" w:rsidRDefault="00F054D3" w:rsidP="00566711">
      <w:pPr>
        <w:rPr>
          <w:bCs/>
          <w:lang w:val="en-GB"/>
        </w:rPr>
      </w:pPr>
      <w:r w:rsidRPr="000542DA">
        <w:rPr>
          <w:lang w:val="en-GB"/>
        </w:rPr>
        <w:t xml:space="preserve">When monitoring </w:t>
      </w:r>
      <w:r w:rsidR="004C4535" w:rsidRPr="000542DA">
        <w:rPr>
          <w:lang w:val="en-GB"/>
        </w:rPr>
        <w:t xml:space="preserve">and trending </w:t>
      </w:r>
      <w:r w:rsidRPr="000542DA">
        <w:rPr>
          <w:lang w:val="en-GB"/>
        </w:rPr>
        <w:t xml:space="preserve">is used to modify </w:t>
      </w:r>
      <w:r w:rsidR="00073F06" w:rsidRPr="000542DA">
        <w:rPr>
          <w:lang w:val="en-GB"/>
        </w:rPr>
        <w:t>the equipment</w:t>
      </w:r>
      <w:r w:rsidRPr="000542DA">
        <w:rPr>
          <w:lang w:val="en-GB"/>
        </w:rPr>
        <w:t xml:space="preserve"> qualified life</w:t>
      </w:r>
      <w:r w:rsidR="005A79E7" w:rsidRPr="000542DA">
        <w:rPr>
          <w:lang w:val="en-GB"/>
        </w:rPr>
        <w:t xml:space="preserve"> or qualified condition</w:t>
      </w:r>
      <w:r w:rsidRPr="000542DA">
        <w:rPr>
          <w:lang w:val="en-GB"/>
        </w:rPr>
        <w:t xml:space="preserve">, plant-specific acceptance criteria </w:t>
      </w:r>
      <w:r w:rsidRPr="000542DA">
        <w:rPr>
          <w:lang w:val="en-GB"/>
        </w:rPr>
        <w:t xml:space="preserve">are </w:t>
      </w:r>
      <w:r w:rsidR="00823426" w:rsidRPr="000542DA">
        <w:rPr>
          <w:lang w:val="en-GB"/>
        </w:rPr>
        <w:t>established based on applicable</w:t>
      </w:r>
      <w:r w:rsidRPr="000542DA">
        <w:rPr>
          <w:lang w:val="en-GB"/>
        </w:rPr>
        <w:t xml:space="preserve"> qualification methods in accordance the national regulatory requirements.</w:t>
      </w:r>
    </w:p>
    <w:p w14:paraId="448DEB8D" w14:textId="77777777" w:rsidR="00B8599F" w:rsidRPr="000542DA" w:rsidRDefault="00B8599F" w:rsidP="00566711">
      <w:pPr>
        <w:rPr>
          <w:bCs/>
          <w:lang w:val="en-GB"/>
        </w:rPr>
      </w:pPr>
    </w:p>
    <w:p w14:paraId="13924922" w14:textId="77777777" w:rsidR="005E3DAC" w:rsidRPr="000542DA" w:rsidRDefault="005E3DAC" w:rsidP="00566711">
      <w:pPr>
        <w:pStyle w:val="Body"/>
        <w:numPr>
          <w:ilvl w:val="0"/>
          <w:numId w:val="10"/>
        </w:numPr>
        <w:spacing w:before="120" w:after="120"/>
        <w:ind w:left="567" w:hanging="567"/>
        <w:jc w:val="both"/>
        <w:rPr>
          <w:rFonts w:ascii="Times New Roman" w:hAnsi="Times New Roman"/>
          <w:b/>
          <w:i/>
          <w:sz w:val="24"/>
          <w:szCs w:val="24"/>
          <w:lang w:val="en-GB" w:eastAsia="x-none"/>
        </w:rPr>
      </w:pPr>
      <w:r w:rsidRPr="000542DA">
        <w:rPr>
          <w:rFonts w:ascii="Times New Roman" w:hAnsi="Times New Roman"/>
          <w:b/>
          <w:i/>
          <w:sz w:val="24"/>
          <w:szCs w:val="24"/>
          <w:lang w:val="en-GB" w:eastAsia="x-none"/>
        </w:rPr>
        <w:t>Corrective actions</w:t>
      </w:r>
      <w:r w:rsidR="004D73AD" w:rsidRPr="000542DA">
        <w:rPr>
          <w:rFonts w:ascii="Times New Roman" w:hAnsi="Times New Roman"/>
          <w:b/>
          <w:i/>
          <w:sz w:val="24"/>
          <w:szCs w:val="24"/>
          <w:lang w:val="en-GB" w:eastAsia="x-none"/>
        </w:rPr>
        <w:t>:</w:t>
      </w:r>
    </w:p>
    <w:p w14:paraId="6E0C46B6" w14:textId="77777777" w:rsidR="009933FD" w:rsidRPr="000542DA" w:rsidRDefault="0031334F" w:rsidP="00566711">
      <w:pPr>
        <w:rPr>
          <w:lang w:val="en-GB"/>
        </w:rPr>
      </w:pPr>
      <w:r w:rsidRPr="000542DA">
        <w:rPr>
          <w:lang w:val="en-GB"/>
        </w:rPr>
        <w:t xml:space="preserve">In </w:t>
      </w:r>
      <w:r w:rsidR="00C85F4C" w:rsidRPr="000542DA">
        <w:rPr>
          <w:lang w:val="en-GB"/>
        </w:rPr>
        <w:t xml:space="preserve">the </w:t>
      </w:r>
      <w:r w:rsidR="001126ED">
        <w:rPr>
          <w:lang w:val="en-GB"/>
        </w:rPr>
        <w:t>equipment</w:t>
      </w:r>
      <w:r w:rsidR="001126ED" w:rsidRPr="000542DA">
        <w:rPr>
          <w:lang w:val="en-GB"/>
        </w:rPr>
        <w:t xml:space="preserve"> </w:t>
      </w:r>
      <w:r w:rsidR="00CA085F" w:rsidRPr="000542DA">
        <w:rPr>
          <w:lang w:val="en-GB"/>
        </w:rPr>
        <w:t>qualification</w:t>
      </w:r>
      <w:r w:rsidRPr="000542DA">
        <w:rPr>
          <w:lang w:val="en-GB"/>
        </w:rPr>
        <w:t xml:space="preserve"> programme, i</w:t>
      </w:r>
      <w:r w:rsidR="00F054D3" w:rsidRPr="000542DA">
        <w:rPr>
          <w:lang w:val="en-GB"/>
        </w:rPr>
        <w:t xml:space="preserve">f </w:t>
      </w:r>
      <w:r w:rsidR="00073F06" w:rsidRPr="000542DA">
        <w:rPr>
          <w:lang w:val="en-GB"/>
        </w:rPr>
        <w:t xml:space="preserve">the </w:t>
      </w:r>
      <w:r w:rsidR="001126ED">
        <w:rPr>
          <w:lang w:val="en-GB"/>
        </w:rPr>
        <w:t>in</w:t>
      </w:r>
      <w:r w:rsidR="005E4B53">
        <w:rPr>
          <w:lang w:val="en-GB"/>
        </w:rPr>
        <w:t>-</w:t>
      </w:r>
      <w:r w:rsidR="001126ED">
        <w:rPr>
          <w:lang w:val="en-GB"/>
        </w:rPr>
        <w:t xml:space="preserve">scope </w:t>
      </w:r>
      <w:r w:rsidR="00073F06" w:rsidRPr="000542DA">
        <w:rPr>
          <w:lang w:val="en-GB"/>
        </w:rPr>
        <w:t>equipment</w:t>
      </w:r>
      <w:r w:rsidR="00CC04C6" w:rsidRPr="000542DA">
        <w:rPr>
          <w:lang w:val="en-GB"/>
        </w:rPr>
        <w:t xml:space="preserve"> </w:t>
      </w:r>
      <w:r w:rsidR="00F054D3" w:rsidRPr="000542DA">
        <w:rPr>
          <w:lang w:val="en-GB"/>
        </w:rPr>
        <w:t xml:space="preserve">is found to be </w:t>
      </w:r>
      <w:r w:rsidR="00562865">
        <w:rPr>
          <w:lang w:val="en-GB"/>
        </w:rPr>
        <w:t xml:space="preserve">or is projected to be </w:t>
      </w:r>
      <w:r w:rsidR="00F054D3" w:rsidRPr="000542DA">
        <w:rPr>
          <w:lang w:val="en-GB"/>
        </w:rPr>
        <w:t>outside the bounds of its qualification basis</w:t>
      </w:r>
      <w:r w:rsidR="00B10F8F" w:rsidRPr="000542DA">
        <w:rPr>
          <w:lang w:val="en-GB"/>
        </w:rPr>
        <w:t xml:space="preserve"> (</w:t>
      </w:r>
      <w:r w:rsidR="00DD0510">
        <w:rPr>
          <w:lang w:val="en-GB"/>
        </w:rPr>
        <w:t>e.g.</w:t>
      </w:r>
      <w:r w:rsidR="00B10F8F" w:rsidRPr="000542DA">
        <w:rPr>
          <w:lang w:val="en-GB"/>
        </w:rPr>
        <w:t xml:space="preserve"> environment, ageing conditions, configuration, etc.)</w:t>
      </w:r>
      <w:r w:rsidR="00562865">
        <w:rPr>
          <w:lang w:val="en-GB"/>
        </w:rPr>
        <w:t>during its intended operating period</w:t>
      </w:r>
      <w:r w:rsidR="00F054D3" w:rsidRPr="000542DA">
        <w:rPr>
          <w:lang w:val="en-GB"/>
        </w:rPr>
        <w:t xml:space="preserve">, corrective actions are implemented in accordance with the </w:t>
      </w:r>
      <w:r w:rsidR="0047155E" w:rsidRPr="000542DA">
        <w:rPr>
          <w:lang w:val="en-GB"/>
        </w:rPr>
        <w:t>plant’s</w:t>
      </w:r>
      <w:r w:rsidR="00F054D3" w:rsidRPr="000542DA">
        <w:rPr>
          <w:lang w:val="en-GB"/>
        </w:rPr>
        <w:t xml:space="preserve"> corrective action program</w:t>
      </w:r>
      <w:r w:rsidR="00CA7449" w:rsidRPr="000542DA">
        <w:rPr>
          <w:lang w:val="en-GB"/>
        </w:rPr>
        <w:t>me</w:t>
      </w:r>
      <w:r w:rsidR="00F054D3" w:rsidRPr="000542DA">
        <w:rPr>
          <w:lang w:val="en-GB"/>
        </w:rPr>
        <w:t xml:space="preserve">. </w:t>
      </w:r>
      <w:r w:rsidRPr="000542DA">
        <w:rPr>
          <w:lang w:val="en-GB"/>
        </w:rPr>
        <w:t xml:space="preserve">Actions in </w:t>
      </w:r>
      <w:r w:rsidR="00F52994" w:rsidRPr="000542DA">
        <w:rPr>
          <w:lang w:val="en-GB"/>
        </w:rPr>
        <w:t xml:space="preserve">qualification </w:t>
      </w:r>
      <w:r w:rsidRPr="000542DA">
        <w:rPr>
          <w:lang w:val="en-GB"/>
        </w:rPr>
        <w:t xml:space="preserve">reassessment of </w:t>
      </w:r>
      <w:r w:rsidR="00F52994">
        <w:rPr>
          <w:lang w:val="en-GB"/>
        </w:rPr>
        <w:t>in</w:t>
      </w:r>
      <w:r w:rsidR="005E4B53">
        <w:rPr>
          <w:lang w:val="en-GB"/>
        </w:rPr>
        <w:t>-</w:t>
      </w:r>
      <w:r w:rsidR="00F52994">
        <w:rPr>
          <w:lang w:val="en-GB"/>
        </w:rPr>
        <w:t xml:space="preserve">scope </w:t>
      </w:r>
      <w:r w:rsidRPr="000542DA">
        <w:rPr>
          <w:lang w:val="en-GB"/>
        </w:rPr>
        <w:t>equipment that could be viewed as corrective actions include</w:t>
      </w:r>
      <w:r w:rsidR="00BF5792" w:rsidRPr="000542DA">
        <w:rPr>
          <w:lang w:val="en-GB"/>
        </w:rPr>
        <w:t xml:space="preserve"> </w:t>
      </w:r>
      <w:r w:rsidR="00D15077" w:rsidRPr="000542DA">
        <w:rPr>
          <w:lang w:val="en-GB"/>
        </w:rPr>
        <w:t>complete replacement of equipment</w:t>
      </w:r>
      <w:r w:rsidR="00B93E92" w:rsidRPr="000542DA">
        <w:rPr>
          <w:lang w:val="en-GB"/>
        </w:rPr>
        <w:t xml:space="preserve"> when </w:t>
      </w:r>
      <w:r w:rsidR="00921A4A" w:rsidRPr="000542DA">
        <w:rPr>
          <w:lang w:val="en-GB"/>
        </w:rPr>
        <w:t xml:space="preserve">qualification cannot be extended by the </w:t>
      </w:r>
      <w:r w:rsidR="00942E1C" w:rsidRPr="000542DA">
        <w:rPr>
          <w:lang w:val="en-GB"/>
        </w:rPr>
        <w:t xml:space="preserve">qualification </w:t>
      </w:r>
      <w:r w:rsidR="00921A4A" w:rsidRPr="000542DA">
        <w:rPr>
          <w:lang w:val="en-GB"/>
        </w:rPr>
        <w:t>reassessment</w:t>
      </w:r>
      <w:r w:rsidR="00901470" w:rsidRPr="000542DA">
        <w:rPr>
          <w:lang w:val="en-GB"/>
        </w:rPr>
        <w:t>,</w:t>
      </w:r>
      <w:r w:rsidR="0002670A" w:rsidRPr="000542DA">
        <w:rPr>
          <w:lang w:val="en-GB"/>
        </w:rPr>
        <w:t xml:space="preserve"> or </w:t>
      </w:r>
      <w:r w:rsidR="0002670A" w:rsidRPr="000542DA">
        <w:rPr>
          <w:lang w:val="en-GB"/>
        </w:rPr>
        <w:lastRenderedPageBreak/>
        <w:t>condition-based qualification (see “Condition monitoring”) for the intended period of opera</w:t>
      </w:r>
      <w:r w:rsidR="00A02D39" w:rsidRPr="000542DA">
        <w:rPr>
          <w:lang w:val="en-GB"/>
        </w:rPr>
        <w:t>tion</w:t>
      </w:r>
      <w:r w:rsidR="00921A4A" w:rsidRPr="000542DA">
        <w:rPr>
          <w:lang w:val="en-GB"/>
        </w:rPr>
        <w:t xml:space="preserve">. </w:t>
      </w:r>
    </w:p>
    <w:p w14:paraId="68019825" w14:textId="77777777" w:rsidR="005E3DAC" w:rsidRPr="000542DA" w:rsidRDefault="00F054D3" w:rsidP="00566711">
      <w:pPr>
        <w:rPr>
          <w:lang w:val="en-GB"/>
        </w:rPr>
      </w:pPr>
      <w:r w:rsidRPr="000542DA">
        <w:rPr>
          <w:lang w:val="en-GB"/>
        </w:rPr>
        <w:t xml:space="preserve">When unexpected adverse </w:t>
      </w:r>
      <w:r w:rsidR="00E45A81" w:rsidRPr="000542DA">
        <w:rPr>
          <w:lang w:val="en-GB"/>
        </w:rPr>
        <w:t xml:space="preserve">localized environment or </w:t>
      </w:r>
      <w:r w:rsidRPr="000542DA">
        <w:rPr>
          <w:lang w:val="en-GB"/>
        </w:rPr>
        <w:t>condition</w:t>
      </w:r>
      <w:r w:rsidR="00A016AD" w:rsidRPr="000542DA">
        <w:rPr>
          <w:lang w:val="en-GB"/>
        </w:rPr>
        <w:t>s</w:t>
      </w:r>
      <w:r w:rsidRPr="000542DA">
        <w:rPr>
          <w:lang w:val="en-GB"/>
        </w:rPr>
        <w:t xml:space="preserve"> </w:t>
      </w:r>
      <w:r w:rsidR="00550DF9" w:rsidRPr="000542DA">
        <w:rPr>
          <w:lang w:val="en-GB"/>
        </w:rPr>
        <w:t xml:space="preserve">that affect the environment of a qualified equipment </w:t>
      </w:r>
      <w:r w:rsidR="00075EC0" w:rsidRPr="000542DA">
        <w:rPr>
          <w:lang w:val="en-GB"/>
        </w:rPr>
        <w:t>is</w:t>
      </w:r>
      <w:r w:rsidRPr="000542DA">
        <w:rPr>
          <w:lang w:val="en-GB"/>
        </w:rPr>
        <w:t xml:space="preserve"> identified, the affected</w:t>
      </w:r>
      <w:r w:rsidR="000C4242" w:rsidRPr="000542DA">
        <w:rPr>
          <w:lang w:val="en-GB"/>
        </w:rPr>
        <w:t xml:space="preserve"> </w:t>
      </w:r>
      <w:r w:rsidR="00401657" w:rsidRPr="000542DA">
        <w:rPr>
          <w:lang w:val="en-GB"/>
        </w:rPr>
        <w:t xml:space="preserve">equipment </w:t>
      </w:r>
      <w:r w:rsidRPr="000542DA">
        <w:rPr>
          <w:lang w:val="en-GB"/>
        </w:rPr>
        <w:t xml:space="preserve">is evaluated and appropriate corrective actions taken, which may include changes to the qualification </w:t>
      </w:r>
      <w:r w:rsidR="00CC04C6" w:rsidRPr="000542DA">
        <w:rPr>
          <w:lang w:val="en-GB"/>
        </w:rPr>
        <w:t xml:space="preserve">basis </w:t>
      </w:r>
      <w:r w:rsidRPr="000542DA">
        <w:rPr>
          <w:lang w:val="en-GB"/>
        </w:rPr>
        <w:t xml:space="preserve">and conclusions. When an emerging industry </w:t>
      </w:r>
      <w:r w:rsidR="00CD30DA" w:rsidRPr="000542DA">
        <w:rPr>
          <w:lang w:val="en-GB"/>
        </w:rPr>
        <w:t>ageing</w:t>
      </w:r>
      <w:r w:rsidRPr="000542DA">
        <w:rPr>
          <w:lang w:val="en-GB"/>
        </w:rPr>
        <w:t xml:space="preserve"> issue is identified that affects the qualification of </w:t>
      </w:r>
      <w:r w:rsidR="00401657" w:rsidRPr="000542DA">
        <w:rPr>
          <w:lang w:val="en-GB"/>
        </w:rPr>
        <w:t>equipment</w:t>
      </w:r>
      <w:r w:rsidRPr="000542DA">
        <w:rPr>
          <w:lang w:val="en-GB"/>
        </w:rPr>
        <w:t xml:space="preserve">, the affected </w:t>
      </w:r>
      <w:r w:rsidR="00981815" w:rsidRPr="000542DA">
        <w:rPr>
          <w:lang w:val="en-GB"/>
        </w:rPr>
        <w:t>equipment</w:t>
      </w:r>
      <w:r w:rsidRPr="000542DA">
        <w:rPr>
          <w:lang w:val="en-GB"/>
        </w:rPr>
        <w:t xml:space="preserve"> is evaluated</w:t>
      </w:r>
      <w:r w:rsidR="00C45FA9">
        <w:rPr>
          <w:lang w:val="en-GB"/>
        </w:rPr>
        <w:t>,</w:t>
      </w:r>
      <w:r w:rsidRPr="000542DA">
        <w:rPr>
          <w:lang w:val="en-GB"/>
        </w:rPr>
        <w:t xml:space="preserve"> and appropriate corrective actions are taken</w:t>
      </w:r>
      <w:r w:rsidR="00901470" w:rsidRPr="000542DA">
        <w:rPr>
          <w:lang w:val="en-GB"/>
        </w:rPr>
        <w:t>. These evaluations</w:t>
      </w:r>
      <w:r w:rsidRPr="000542DA">
        <w:rPr>
          <w:lang w:val="en-GB"/>
        </w:rPr>
        <w:t xml:space="preserve"> may </w:t>
      </w:r>
      <w:r w:rsidR="00901470" w:rsidRPr="000542DA">
        <w:rPr>
          <w:lang w:val="en-GB"/>
        </w:rPr>
        <w:t xml:space="preserve">require </w:t>
      </w:r>
      <w:r w:rsidRPr="000542DA">
        <w:rPr>
          <w:lang w:val="en-GB"/>
        </w:rPr>
        <w:t xml:space="preserve">changes to the qualification </w:t>
      </w:r>
      <w:r w:rsidR="00F52994" w:rsidRPr="000542DA">
        <w:rPr>
          <w:lang w:val="en-GB"/>
        </w:rPr>
        <w:t>bas</w:t>
      </w:r>
      <w:r w:rsidR="00F52994">
        <w:rPr>
          <w:lang w:val="en-GB"/>
        </w:rPr>
        <w:t>i</w:t>
      </w:r>
      <w:r w:rsidR="00F52994" w:rsidRPr="000542DA">
        <w:rPr>
          <w:lang w:val="en-GB"/>
        </w:rPr>
        <w:t xml:space="preserve">s </w:t>
      </w:r>
      <w:r w:rsidRPr="000542DA">
        <w:rPr>
          <w:lang w:val="en-GB"/>
        </w:rPr>
        <w:t xml:space="preserve">and conclusions. Confirmatory actions, as needed, are implemented as part of the </w:t>
      </w:r>
      <w:r w:rsidR="005B1E2E" w:rsidRPr="000542DA">
        <w:rPr>
          <w:lang w:val="en-GB"/>
        </w:rPr>
        <w:t xml:space="preserve">plant </w:t>
      </w:r>
      <w:r w:rsidRPr="000542DA">
        <w:rPr>
          <w:lang w:val="en-GB"/>
        </w:rPr>
        <w:t>corrective action program</w:t>
      </w:r>
      <w:r w:rsidR="000C4242" w:rsidRPr="000542DA">
        <w:rPr>
          <w:lang w:val="en-GB"/>
        </w:rPr>
        <w:t>me</w:t>
      </w:r>
      <w:r w:rsidRPr="000542DA">
        <w:rPr>
          <w:lang w:val="en-GB"/>
        </w:rPr>
        <w:t>, pursuant to</w:t>
      </w:r>
      <w:r w:rsidR="004C4535" w:rsidRPr="000542DA">
        <w:rPr>
          <w:lang w:val="en-GB"/>
        </w:rPr>
        <w:t xml:space="preserve"> </w:t>
      </w:r>
      <w:r w:rsidRPr="000542DA">
        <w:rPr>
          <w:lang w:val="en-GB"/>
        </w:rPr>
        <w:t xml:space="preserve">national regulatory </w:t>
      </w:r>
      <w:r w:rsidR="00C71197">
        <w:rPr>
          <w:lang w:val="en-GB"/>
        </w:rPr>
        <w:t>Quality Assurance (</w:t>
      </w:r>
      <w:r w:rsidRPr="000542DA">
        <w:rPr>
          <w:lang w:val="en-GB"/>
        </w:rPr>
        <w:t>QA</w:t>
      </w:r>
      <w:r w:rsidR="00C71197">
        <w:rPr>
          <w:lang w:val="en-GB"/>
        </w:rPr>
        <w:t>)</w:t>
      </w:r>
      <w:r w:rsidRPr="000542DA">
        <w:rPr>
          <w:lang w:val="en-GB"/>
        </w:rPr>
        <w:t xml:space="preserve"> requirements. As discussed in IGALL, the </w:t>
      </w:r>
      <w:r w:rsidR="005C19AE" w:rsidRPr="000542DA">
        <w:rPr>
          <w:lang w:val="en-GB"/>
        </w:rPr>
        <w:t xml:space="preserve">requirements of the national regulatory QA </w:t>
      </w:r>
      <w:r w:rsidR="00162F9B" w:rsidRPr="000542DA">
        <w:rPr>
          <w:lang w:val="en-GB"/>
        </w:rPr>
        <w:t xml:space="preserve">programme </w:t>
      </w:r>
      <w:r w:rsidR="005C19AE" w:rsidRPr="000542DA">
        <w:rPr>
          <w:lang w:val="en-GB"/>
        </w:rPr>
        <w:t>are</w:t>
      </w:r>
      <w:r w:rsidRPr="000542DA">
        <w:rPr>
          <w:lang w:val="en-GB"/>
        </w:rPr>
        <w:t xml:space="preserve"> acceptable to address the corrective actions.</w:t>
      </w:r>
    </w:p>
    <w:p w14:paraId="2036B02A" w14:textId="77777777" w:rsidR="00BC60B2" w:rsidRPr="000542DA" w:rsidRDefault="00BC60B2" w:rsidP="00566711">
      <w:pPr>
        <w:pStyle w:val="IGALLTitle3"/>
        <w:numPr>
          <w:ilvl w:val="0"/>
          <w:numId w:val="0"/>
        </w:numPr>
        <w:ind w:left="360" w:hanging="360"/>
        <w:rPr>
          <w:i/>
        </w:rPr>
      </w:pPr>
    </w:p>
    <w:p w14:paraId="6D11043C" w14:textId="77777777" w:rsidR="00E20B5D" w:rsidRPr="000542DA" w:rsidRDefault="004D73AD" w:rsidP="00566711">
      <w:pPr>
        <w:pStyle w:val="Body"/>
        <w:numPr>
          <w:ilvl w:val="0"/>
          <w:numId w:val="10"/>
        </w:numPr>
        <w:spacing w:before="120" w:after="120"/>
        <w:ind w:left="567" w:hanging="567"/>
        <w:jc w:val="both"/>
        <w:rPr>
          <w:rFonts w:ascii="Times New Roman" w:hAnsi="Times New Roman"/>
          <w:b/>
          <w:i/>
          <w:sz w:val="24"/>
          <w:szCs w:val="24"/>
          <w:lang w:val="en-GB" w:eastAsia="x-none"/>
        </w:rPr>
      </w:pPr>
      <w:r w:rsidRPr="000542DA">
        <w:rPr>
          <w:rFonts w:ascii="Times New Roman" w:hAnsi="Times New Roman"/>
          <w:b/>
          <w:i/>
          <w:sz w:val="24"/>
          <w:szCs w:val="24"/>
          <w:lang w:val="en-GB" w:eastAsia="x-none"/>
        </w:rPr>
        <w:t>Operating experience feedback and feedback of research and development results:</w:t>
      </w:r>
    </w:p>
    <w:p w14:paraId="40DC6EDA" w14:textId="77777777" w:rsidR="00277E7F" w:rsidRPr="000542DA" w:rsidRDefault="00277E7F" w:rsidP="00566711">
      <w:pPr>
        <w:rPr>
          <w:lang w:val="en-GB"/>
        </w:rPr>
      </w:pPr>
      <w:r w:rsidRPr="000542DA">
        <w:rPr>
          <w:lang w:val="en-GB"/>
        </w:rPr>
        <w:t xml:space="preserve">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w:t>
      </w:r>
      <w:r w:rsidRPr="000542DA">
        <w:rPr>
          <w:lang w:val="en-GB"/>
        </w:rPr>
        <w:t>modifies the plant AMP or takes additional actions (e.g. develop a new plant-specific AMP) to ensure the continued effectiveness of the ageing management.</w:t>
      </w:r>
    </w:p>
    <w:p w14:paraId="6395812D" w14:textId="77777777" w:rsidR="00292AF6" w:rsidRPr="000542DA" w:rsidRDefault="00C85F4C" w:rsidP="00566711">
      <w:pPr>
        <w:rPr>
          <w:lang w:val="en-GB"/>
        </w:rPr>
      </w:pPr>
      <w:r w:rsidRPr="000542DA">
        <w:rPr>
          <w:lang w:val="en-GB"/>
        </w:rPr>
        <w:t xml:space="preserve">The </w:t>
      </w:r>
      <w:r w:rsidR="00F52994">
        <w:rPr>
          <w:lang w:val="en-GB"/>
        </w:rPr>
        <w:t>equipment</w:t>
      </w:r>
      <w:r w:rsidR="00F52994" w:rsidRPr="000542DA">
        <w:rPr>
          <w:lang w:val="en-GB"/>
        </w:rPr>
        <w:t xml:space="preserve"> </w:t>
      </w:r>
      <w:r w:rsidR="00CA085F" w:rsidRPr="000542DA">
        <w:rPr>
          <w:lang w:val="en-GB"/>
        </w:rPr>
        <w:t>qualification</w:t>
      </w:r>
      <w:r w:rsidR="00F054D3" w:rsidRPr="000542DA">
        <w:rPr>
          <w:lang w:val="en-GB"/>
        </w:rPr>
        <w:t xml:space="preserve"> program</w:t>
      </w:r>
      <w:r w:rsidR="003011FF" w:rsidRPr="000542DA">
        <w:rPr>
          <w:lang w:val="en-GB"/>
        </w:rPr>
        <w:t>me</w:t>
      </w:r>
      <w:r w:rsidR="00F054D3" w:rsidRPr="000542DA">
        <w:rPr>
          <w:lang w:val="en-GB"/>
        </w:rPr>
        <w:t xml:space="preserve"> include</w:t>
      </w:r>
      <w:r w:rsidR="0092385A" w:rsidRPr="000542DA">
        <w:rPr>
          <w:lang w:val="en-GB"/>
        </w:rPr>
        <w:t>s</w:t>
      </w:r>
      <w:r w:rsidR="00F054D3" w:rsidRPr="000542DA">
        <w:rPr>
          <w:lang w:val="en-GB"/>
        </w:rPr>
        <w:t xml:space="preserve"> consideration of operating experience to modify </w:t>
      </w:r>
      <w:r w:rsidR="008B42C6" w:rsidRPr="000542DA">
        <w:rPr>
          <w:lang w:val="en-GB"/>
        </w:rPr>
        <w:t xml:space="preserve">the </w:t>
      </w:r>
      <w:r w:rsidR="00F054D3" w:rsidRPr="000542DA">
        <w:rPr>
          <w:lang w:val="en-GB"/>
        </w:rPr>
        <w:t xml:space="preserve">qualification </w:t>
      </w:r>
      <w:r w:rsidR="00F52994" w:rsidRPr="000542DA">
        <w:rPr>
          <w:lang w:val="en-GB"/>
        </w:rPr>
        <w:t>bas</w:t>
      </w:r>
      <w:r w:rsidR="00F52994">
        <w:rPr>
          <w:lang w:val="en-GB"/>
        </w:rPr>
        <w:t>i</w:t>
      </w:r>
      <w:r w:rsidR="00F52994" w:rsidRPr="000542DA">
        <w:rPr>
          <w:lang w:val="en-GB"/>
        </w:rPr>
        <w:t xml:space="preserve">s </w:t>
      </w:r>
      <w:r w:rsidR="00F054D3" w:rsidRPr="000542DA">
        <w:rPr>
          <w:lang w:val="en-GB"/>
        </w:rPr>
        <w:t xml:space="preserve">and conclusions, including qualified life. Compliance with national regulatory </w:t>
      </w:r>
      <w:r w:rsidR="00F52994">
        <w:rPr>
          <w:lang w:val="en-GB"/>
        </w:rPr>
        <w:t>equipment</w:t>
      </w:r>
      <w:r w:rsidR="00F52994" w:rsidRPr="000542DA">
        <w:rPr>
          <w:lang w:val="en-GB"/>
        </w:rPr>
        <w:t xml:space="preserve"> </w:t>
      </w:r>
      <w:r w:rsidR="00CA085F" w:rsidRPr="000542DA">
        <w:rPr>
          <w:lang w:val="en-GB"/>
        </w:rPr>
        <w:t>qualification</w:t>
      </w:r>
      <w:r w:rsidR="00F054D3" w:rsidRPr="000542DA">
        <w:rPr>
          <w:lang w:val="en-GB"/>
        </w:rPr>
        <w:t xml:space="preserve"> requirements provides reasonable assurance that </w:t>
      </w:r>
      <w:r w:rsidR="00927634" w:rsidRPr="000542DA">
        <w:rPr>
          <w:kern w:val="0"/>
          <w:lang w:val="en-GB" w:eastAsia="en-US"/>
        </w:rPr>
        <w:t>equipment</w:t>
      </w:r>
      <w:r w:rsidR="00F054D3" w:rsidRPr="000542DA">
        <w:rPr>
          <w:lang w:val="en-GB"/>
        </w:rPr>
        <w:t xml:space="preserve"> can perform their intended functions </w:t>
      </w:r>
      <w:r w:rsidR="008B42C6" w:rsidRPr="000542DA">
        <w:rPr>
          <w:lang w:val="en-GB"/>
        </w:rPr>
        <w:t>before</w:t>
      </w:r>
      <w:r w:rsidR="00B304A2" w:rsidRPr="000542DA">
        <w:rPr>
          <w:lang w:val="en-GB"/>
        </w:rPr>
        <w:t>,</w:t>
      </w:r>
      <w:r w:rsidR="008B42C6" w:rsidRPr="000542DA">
        <w:rPr>
          <w:lang w:val="en-GB"/>
        </w:rPr>
        <w:t xml:space="preserve"> </w:t>
      </w:r>
      <w:r w:rsidR="00F054D3" w:rsidRPr="000542DA">
        <w:rPr>
          <w:lang w:val="en-GB"/>
        </w:rPr>
        <w:t>during</w:t>
      </w:r>
      <w:r w:rsidR="008B42C6" w:rsidRPr="000542DA">
        <w:rPr>
          <w:lang w:val="en-GB"/>
        </w:rPr>
        <w:t xml:space="preserve">, and </w:t>
      </w:r>
      <w:r w:rsidR="00B0385C" w:rsidRPr="000542DA">
        <w:rPr>
          <w:lang w:val="en-GB"/>
        </w:rPr>
        <w:t>after</w:t>
      </w:r>
      <w:r w:rsidR="00B034D6" w:rsidRPr="000542DA">
        <w:rPr>
          <w:lang w:val="en-GB"/>
        </w:rPr>
        <w:t xml:space="preserve"> accident</w:t>
      </w:r>
      <w:r w:rsidR="00F054D3" w:rsidRPr="000542DA">
        <w:rPr>
          <w:lang w:val="en-GB"/>
        </w:rPr>
        <w:t xml:space="preserve"> conditions </w:t>
      </w:r>
      <w:r w:rsidR="008B42C6" w:rsidRPr="000542DA">
        <w:rPr>
          <w:lang w:val="en-GB"/>
        </w:rPr>
        <w:t xml:space="preserve">considering </w:t>
      </w:r>
      <w:r w:rsidR="00F054D3" w:rsidRPr="000542DA">
        <w:rPr>
          <w:lang w:val="en-GB"/>
        </w:rPr>
        <w:t>the effects of in</w:t>
      </w:r>
      <w:r w:rsidR="00FC6CD4" w:rsidRPr="000542DA">
        <w:rPr>
          <w:lang w:val="en-GB"/>
        </w:rPr>
        <w:t>-</w:t>
      </w:r>
      <w:r w:rsidR="00F054D3" w:rsidRPr="000542DA">
        <w:rPr>
          <w:lang w:val="en-GB"/>
        </w:rPr>
        <w:t xml:space="preserve">service </w:t>
      </w:r>
      <w:r w:rsidR="00CD30DA" w:rsidRPr="000542DA">
        <w:rPr>
          <w:lang w:val="en-GB"/>
        </w:rPr>
        <w:t>ageing</w:t>
      </w:r>
      <w:r w:rsidR="00F054D3" w:rsidRPr="000542DA">
        <w:rPr>
          <w:lang w:val="en-GB"/>
        </w:rPr>
        <w:t>.</w:t>
      </w:r>
    </w:p>
    <w:p w14:paraId="79898F55" w14:textId="77777777" w:rsidR="009B4E6E" w:rsidRPr="000542DA" w:rsidRDefault="009B4E6E" w:rsidP="00566711">
      <w:pPr>
        <w:rPr>
          <w:lang w:val="en-GB"/>
        </w:rPr>
      </w:pPr>
      <w:r w:rsidRPr="000542DA">
        <w:rPr>
          <w:rFonts w:cs="Arial"/>
          <w:lang w:val="en-GB" w:eastAsia="ja-JP"/>
        </w:rPr>
        <w:t xml:space="preserve">The </w:t>
      </w:r>
      <w:r w:rsidR="00162F9B" w:rsidRPr="000542DA">
        <w:rPr>
          <w:rFonts w:cs="Arial"/>
          <w:lang w:val="en-GB" w:eastAsia="ja-JP"/>
        </w:rPr>
        <w:t xml:space="preserve">programme </w:t>
      </w:r>
      <w:r w:rsidRPr="000542DA">
        <w:rPr>
          <w:rFonts w:cs="Arial"/>
          <w:lang w:val="en-GB" w:eastAsia="ja-JP"/>
        </w:rPr>
        <w:t xml:space="preserve">includes provisions for the continuous review </w:t>
      </w:r>
      <w:r w:rsidRPr="000542DA">
        <w:rPr>
          <w:lang w:val="en-GB"/>
        </w:rPr>
        <w:t xml:space="preserve">of plant-specific and industry operating experience, including research and development results, such that the impact on the </w:t>
      </w:r>
      <w:r w:rsidR="00162F9B" w:rsidRPr="000542DA">
        <w:rPr>
          <w:lang w:val="en-GB"/>
        </w:rPr>
        <w:t xml:space="preserve">programme </w:t>
      </w:r>
      <w:r w:rsidRPr="000542DA">
        <w:rPr>
          <w:lang w:val="en-GB"/>
        </w:rPr>
        <w:t xml:space="preserve">is evaluated and any necessary actions or modifications to the </w:t>
      </w:r>
      <w:r w:rsidR="00162F9B" w:rsidRPr="000542DA">
        <w:rPr>
          <w:lang w:val="en-GB"/>
        </w:rPr>
        <w:t xml:space="preserve">programme </w:t>
      </w:r>
      <w:r w:rsidRPr="000542DA">
        <w:rPr>
          <w:lang w:val="en-GB"/>
        </w:rPr>
        <w:t>are performed.</w:t>
      </w:r>
    </w:p>
    <w:p w14:paraId="2D4CB6FA" w14:textId="70CDFE02" w:rsidR="003011FF" w:rsidRPr="00BE5F82" w:rsidRDefault="00CE205F" w:rsidP="00566711">
      <w:pPr>
        <w:rPr>
          <w:color w:val="FF0000"/>
          <w:lang w:val="en-GB"/>
        </w:rPr>
      </w:pPr>
      <w:r w:rsidRPr="00BE5F82">
        <w:rPr>
          <w:color w:val="FF0000"/>
          <w:lang w:val="en-GB"/>
        </w:rPr>
        <w:t>Sources of external operating experience are OECD</w:t>
      </w:r>
      <w:r w:rsidR="00FB5746" w:rsidRPr="00BE5F82">
        <w:rPr>
          <w:color w:val="FF0000"/>
          <w:lang w:val="en-GB"/>
        </w:rPr>
        <w:t>/</w:t>
      </w:r>
      <w:r w:rsidRPr="00BE5F82">
        <w:rPr>
          <w:color w:val="FF0000"/>
          <w:lang w:val="en-GB"/>
        </w:rPr>
        <w:t>NEA</w:t>
      </w:r>
      <w:r w:rsidR="00765E82" w:rsidRPr="00BE5F82">
        <w:rPr>
          <w:color w:val="FF0000"/>
          <w:lang w:val="en-GB"/>
        </w:rPr>
        <w:t xml:space="preserve"> (</w:t>
      </w:r>
      <w:r w:rsidR="00C71197" w:rsidRPr="00BE5F82">
        <w:rPr>
          <w:color w:val="FF0000"/>
          <w:lang w:val="en-GB"/>
        </w:rPr>
        <w:t>Organisation for Economic Co-operation and Development/</w:t>
      </w:r>
      <w:r w:rsidR="00765E82" w:rsidRPr="00BE5F82">
        <w:rPr>
          <w:color w:val="FF0000"/>
          <w:lang w:val="en-GB"/>
        </w:rPr>
        <w:t>Nuclear Energy Agency)</w:t>
      </w:r>
      <w:r w:rsidRPr="00BE5F82">
        <w:rPr>
          <w:color w:val="FF0000"/>
          <w:lang w:val="en-GB"/>
        </w:rPr>
        <w:t>, INPO</w:t>
      </w:r>
      <w:r w:rsidR="00765E82" w:rsidRPr="00BE5F82">
        <w:rPr>
          <w:color w:val="FF0000"/>
          <w:lang w:val="en-GB"/>
        </w:rPr>
        <w:t xml:space="preserve"> (Institute of Nuclear Power Operations)</w:t>
      </w:r>
      <w:r w:rsidRPr="00BE5F82">
        <w:rPr>
          <w:color w:val="FF0000"/>
          <w:lang w:val="en-GB"/>
        </w:rPr>
        <w:t xml:space="preserve">, </w:t>
      </w:r>
      <w:r w:rsidR="00C75311" w:rsidRPr="00BE5F82">
        <w:rPr>
          <w:color w:val="FF0000"/>
          <w:lang w:val="en-GB"/>
        </w:rPr>
        <w:t xml:space="preserve">Owner’s </w:t>
      </w:r>
      <w:r w:rsidR="007C3795" w:rsidRPr="00BE5F82">
        <w:rPr>
          <w:color w:val="FF0000"/>
          <w:lang w:val="en-GB"/>
        </w:rPr>
        <w:t>Groups,</w:t>
      </w:r>
      <w:r w:rsidR="00C75311" w:rsidRPr="00BE5F82">
        <w:rPr>
          <w:color w:val="FF0000"/>
          <w:lang w:val="en-GB"/>
        </w:rPr>
        <w:t xml:space="preserve"> WANO</w:t>
      </w:r>
      <w:r w:rsidR="00765E82" w:rsidRPr="00BE5F82">
        <w:rPr>
          <w:color w:val="FF0000"/>
          <w:lang w:val="en-GB"/>
        </w:rPr>
        <w:t xml:space="preserve"> (World Association of Nuclear Operators)</w:t>
      </w:r>
      <w:r w:rsidR="00C75311" w:rsidRPr="00BE5F82">
        <w:rPr>
          <w:color w:val="FF0000"/>
          <w:lang w:val="en-GB"/>
        </w:rPr>
        <w:t xml:space="preserve">, </w:t>
      </w:r>
      <w:r w:rsidRPr="00BE5F82">
        <w:rPr>
          <w:color w:val="FF0000"/>
          <w:lang w:val="en-GB"/>
        </w:rPr>
        <w:t xml:space="preserve">IAEA, </w:t>
      </w:r>
      <w:r w:rsidR="00302956" w:rsidRPr="00BE5F82">
        <w:rPr>
          <w:color w:val="FF0000"/>
          <w:lang w:val="en-GB"/>
        </w:rPr>
        <w:t xml:space="preserve">VGB Database, </w:t>
      </w:r>
      <w:r w:rsidR="00C71197" w:rsidRPr="00BE5F82">
        <w:rPr>
          <w:color w:val="FF0000"/>
          <w:lang w:val="en-GB"/>
        </w:rPr>
        <w:t>Nuclear Regulatory Commission (USA) (</w:t>
      </w:r>
      <w:r w:rsidRPr="00BE5F82">
        <w:rPr>
          <w:color w:val="FF0000"/>
          <w:lang w:val="en-GB"/>
        </w:rPr>
        <w:t>NRC</w:t>
      </w:r>
      <w:r w:rsidR="00C71197" w:rsidRPr="00BE5F82">
        <w:rPr>
          <w:color w:val="FF0000"/>
          <w:lang w:val="en-GB"/>
        </w:rPr>
        <w:t>)</w:t>
      </w:r>
      <w:r w:rsidRPr="00BE5F82">
        <w:rPr>
          <w:color w:val="FF0000"/>
          <w:lang w:val="en-GB"/>
        </w:rPr>
        <w:t xml:space="preserve"> generic communications</w:t>
      </w:r>
      <w:r w:rsidR="00C75311" w:rsidRPr="00BE5F82">
        <w:rPr>
          <w:color w:val="FF0000"/>
          <w:lang w:val="en-GB"/>
        </w:rPr>
        <w:t xml:space="preserve"> and </w:t>
      </w:r>
      <w:r w:rsidR="00277E7F" w:rsidRPr="00BE5F82">
        <w:rPr>
          <w:color w:val="FF0000"/>
          <w:lang w:val="en-GB"/>
        </w:rPr>
        <w:t>Equipment Qualification Data</w:t>
      </w:r>
      <w:r w:rsidR="00566711">
        <w:rPr>
          <w:color w:val="FF0000"/>
          <w:lang w:val="en-GB"/>
        </w:rPr>
        <w:t>b</w:t>
      </w:r>
      <w:r w:rsidR="00277E7F" w:rsidRPr="00BE5F82">
        <w:rPr>
          <w:color w:val="FF0000"/>
          <w:lang w:val="en-GB"/>
        </w:rPr>
        <w:t>ase (EQDB)</w:t>
      </w:r>
      <w:r w:rsidR="00C75311" w:rsidRPr="00BE5F82">
        <w:rPr>
          <w:color w:val="FF0000"/>
          <w:lang w:val="en-GB"/>
        </w:rPr>
        <w:t xml:space="preserve">. </w:t>
      </w:r>
    </w:p>
    <w:p w14:paraId="73145B7A" w14:textId="77777777" w:rsidR="00CC04C6" w:rsidRPr="000542DA" w:rsidRDefault="00CC04C6" w:rsidP="00566711">
      <w:pPr>
        <w:rPr>
          <w:lang w:val="en-GB"/>
        </w:rPr>
      </w:pPr>
      <w:r w:rsidRPr="000542DA">
        <w:rPr>
          <w:lang w:val="en-GB"/>
        </w:rPr>
        <w:t xml:space="preserve">Specifically concerning </w:t>
      </w:r>
      <w:r w:rsidR="00840016" w:rsidRPr="000542DA">
        <w:rPr>
          <w:lang w:val="en-GB"/>
        </w:rPr>
        <w:t xml:space="preserve">qualification of </w:t>
      </w:r>
      <w:r w:rsidRPr="000542DA">
        <w:rPr>
          <w:lang w:val="en-GB"/>
        </w:rPr>
        <w:t>cable</w:t>
      </w:r>
      <w:r w:rsidR="00840016" w:rsidRPr="000542DA">
        <w:rPr>
          <w:lang w:val="en-GB"/>
        </w:rPr>
        <w:t>s</w:t>
      </w:r>
      <w:r w:rsidRPr="000542DA">
        <w:rPr>
          <w:lang w:val="en-GB"/>
        </w:rPr>
        <w:t>:</w:t>
      </w:r>
    </w:p>
    <w:p w14:paraId="6F063C2C" w14:textId="77777777" w:rsidR="00CE205F" w:rsidRPr="000542DA" w:rsidRDefault="00CE205F" w:rsidP="00566711">
      <w:pPr>
        <w:numPr>
          <w:ilvl w:val="0"/>
          <w:numId w:val="28"/>
        </w:numPr>
        <w:ind w:left="426"/>
        <w:rPr>
          <w:lang w:val="en-GB"/>
        </w:rPr>
      </w:pPr>
      <w:r w:rsidRPr="000542DA">
        <w:rPr>
          <w:lang w:val="en-GB"/>
        </w:rPr>
        <w:t>Recent research program</w:t>
      </w:r>
      <w:r w:rsidR="000C4242" w:rsidRPr="000542DA">
        <w:rPr>
          <w:lang w:val="en-GB"/>
        </w:rPr>
        <w:t>me</w:t>
      </w:r>
      <w:r w:rsidRPr="000542DA">
        <w:rPr>
          <w:lang w:val="en-GB"/>
        </w:rPr>
        <w:t>s developed in Japan</w:t>
      </w:r>
      <w:r w:rsidR="00442DEC" w:rsidRPr="000542DA">
        <w:rPr>
          <w:lang w:val="en-GB"/>
        </w:rPr>
        <w:t xml:space="preserve"> </w:t>
      </w:r>
      <w:r w:rsidR="00C71A7C" w:rsidRPr="000542DA">
        <w:rPr>
          <w:lang w:val="en-GB"/>
        </w:rPr>
        <w:t>[</w:t>
      </w:r>
      <w:r w:rsidR="00BC7A3E">
        <w:rPr>
          <w:lang w:val="en-GB"/>
        </w:rPr>
        <w:t>20</w:t>
      </w:r>
      <w:r w:rsidR="00C71A7C" w:rsidRPr="000542DA">
        <w:rPr>
          <w:lang w:val="en-GB"/>
        </w:rPr>
        <w:t>]</w:t>
      </w:r>
      <w:r w:rsidRPr="000542DA">
        <w:rPr>
          <w:lang w:val="en-GB"/>
        </w:rPr>
        <w:t xml:space="preserve">, </w:t>
      </w:r>
      <w:r w:rsidR="00C71A7C" w:rsidRPr="000542DA">
        <w:rPr>
          <w:lang w:val="en-GB"/>
        </w:rPr>
        <w:t>OECD</w:t>
      </w:r>
      <w:r w:rsidR="00840016" w:rsidRPr="000542DA">
        <w:rPr>
          <w:lang w:val="en-GB"/>
        </w:rPr>
        <w:t>/</w:t>
      </w:r>
      <w:r w:rsidR="00C71A7C" w:rsidRPr="000542DA">
        <w:rPr>
          <w:lang w:val="en-GB"/>
        </w:rPr>
        <w:t>NEA</w:t>
      </w:r>
      <w:r w:rsidR="001B3E66" w:rsidRPr="000542DA">
        <w:rPr>
          <w:lang w:val="en-GB"/>
        </w:rPr>
        <w:t xml:space="preserve"> </w:t>
      </w:r>
      <w:r w:rsidRPr="000542DA">
        <w:rPr>
          <w:lang w:val="en-GB"/>
        </w:rPr>
        <w:t>[</w:t>
      </w:r>
      <w:r w:rsidR="00863388" w:rsidRPr="000542DA">
        <w:rPr>
          <w:lang w:val="en-GB"/>
        </w:rPr>
        <w:t>1</w:t>
      </w:r>
      <w:r w:rsidR="00BC7A3E">
        <w:rPr>
          <w:lang w:val="en-GB"/>
        </w:rPr>
        <w:t>6</w:t>
      </w:r>
      <w:r w:rsidRPr="000542DA">
        <w:rPr>
          <w:lang w:val="en-GB"/>
        </w:rPr>
        <w:t>]</w:t>
      </w:r>
      <w:r w:rsidR="00F57BD7" w:rsidRPr="000542DA">
        <w:rPr>
          <w:lang w:val="en-GB"/>
        </w:rPr>
        <w:t xml:space="preserve"> </w:t>
      </w:r>
      <w:r w:rsidRPr="000542DA">
        <w:rPr>
          <w:lang w:val="en-GB"/>
        </w:rPr>
        <w:t>and IAEA [</w:t>
      </w:r>
      <w:r w:rsidR="00863388" w:rsidRPr="000542DA">
        <w:rPr>
          <w:lang w:val="en-GB"/>
        </w:rPr>
        <w:t>1</w:t>
      </w:r>
      <w:r w:rsidR="00BC7A3E">
        <w:rPr>
          <w:lang w:val="en-GB"/>
        </w:rPr>
        <w:t>4</w:t>
      </w:r>
      <w:r w:rsidRPr="000542DA">
        <w:rPr>
          <w:lang w:val="en-GB"/>
        </w:rPr>
        <w:t xml:space="preserve">], on cable </w:t>
      </w:r>
      <w:r w:rsidR="00CA085F" w:rsidRPr="000542DA">
        <w:rPr>
          <w:lang w:val="en-GB"/>
        </w:rPr>
        <w:t>environmental qualification</w:t>
      </w:r>
      <w:r w:rsidRPr="000542DA">
        <w:rPr>
          <w:lang w:val="en-GB"/>
        </w:rPr>
        <w:t xml:space="preserve"> and ageing management, describe areas of concern (uncertainties) in the original </w:t>
      </w:r>
      <w:r w:rsidR="00F52994">
        <w:rPr>
          <w:lang w:val="en-GB"/>
        </w:rPr>
        <w:t>in</w:t>
      </w:r>
      <w:r w:rsidR="005E4B53">
        <w:rPr>
          <w:lang w:val="en-GB"/>
        </w:rPr>
        <w:t>-</w:t>
      </w:r>
      <w:r w:rsidR="00F52994">
        <w:rPr>
          <w:lang w:val="en-GB"/>
        </w:rPr>
        <w:t xml:space="preserve">scope </w:t>
      </w:r>
      <w:r w:rsidRPr="000542DA">
        <w:rPr>
          <w:lang w:val="en-GB"/>
        </w:rPr>
        <w:t>cables qualification process, performed in the past (</w:t>
      </w:r>
      <w:r w:rsidR="00DD0510">
        <w:rPr>
          <w:lang w:val="en-GB"/>
        </w:rPr>
        <w:t>e.g.</w:t>
      </w:r>
      <w:r w:rsidRPr="000542DA">
        <w:rPr>
          <w:lang w:val="en-GB"/>
        </w:rPr>
        <w:t xml:space="preserve"> </w:t>
      </w:r>
      <w:r w:rsidR="00C71197">
        <w:rPr>
          <w:lang w:val="en-GB"/>
        </w:rPr>
        <w:t xml:space="preserve">Institute of electric and electronic Engineers </w:t>
      </w:r>
      <w:r w:rsidRPr="000542DA">
        <w:rPr>
          <w:lang w:val="en-GB"/>
        </w:rPr>
        <w:t>IEEE</w:t>
      </w:r>
      <w:r w:rsidR="00B10F8F" w:rsidRPr="000542DA">
        <w:rPr>
          <w:lang w:val="en-GB"/>
        </w:rPr>
        <w:t xml:space="preserve"> Std</w:t>
      </w:r>
      <w:r w:rsidR="00E435F3" w:rsidRPr="000542DA">
        <w:rPr>
          <w:lang w:val="en-GB"/>
        </w:rPr>
        <w:t xml:space="preserve"> </w:t>
      </w:r>
      <w:r w:rsidRPr="000542DA">
        <w:rPr>
          <w:lang w:val="en-GB"/>
        </w:rPr>
        <w:t>323-</w:t>
      </w:r>
      <w:r w:rsidR="00B10F8F" w:rsidRPr="000542DA">
        <w:rPr>
          <w:lang w:val="en-GB"/>
        </w:rPr>
        <w:t>19</w:t>
      </w:r>
      <w:r w:rsidRPr="000542DA">
        <w:rPr>
          <w:lang w:val="en-GB"/>
        </w:rPr>
        <w:t>74</w:t>
      </w:r>
      <w:r w:rsidR="003B5E2A" w:rsidRPr="000542DA">
        <w:rPr>
          <w:lang w:val="en-GB"/>
        </w:rPr>
        <w:t xml:space="preserve"> [</w:t>
      </w:r>
      <w:r w:rsidR="00DC0233" w:rsidRPr="000542DA">
        <w:rPr>
          <w:lang w:val="en-GB"/>
        </w:rPr>
        <w:t>2</w:t>
      </w:r>
      <w:r w:rsidR="00BC7A3E">
        <w:rPr>
          <w:lang w:val="en-GB"/>
        </w:rPr>
        <w:t>1</w:t>
      </w:r>
      <w:r w:rsidR="003B5E2A" w:rsidRPr="000542DA">
        <w:rPr>
          <w:lang w:val="en-GB"/>
        </w:rPr>
        <w:t>]</w:t>
      </w:r>
      <w:r w:rsidRPr="000542DA">
        <w:rPr>
          <w:lang w:val="en-GB"/>
        </w:rPr>
        <w:t>)</w:t>
      </w:r>
      <w:r w:rsidR="001B3E66" w:rsidRPr="000542DA">
        <w:rPr>
          <w:lang w:val="en-GB"/>
        </w:rPr>
        <w:t>.</w:t>
      </w:r>
    </w:p>
    <w:p w14:paraId="5D3F50B4" w14:textId="77777777" w:rsidR="009A5BAA" w:rsidRPr="000542DA" w:rsidRDefault="009A5BAA" w:rsidP="00566711">
      <w:pPr>
        <w:widowControl/>
        <w:numPr>
          <w:ilvl w:val="0"/>
          <w:numId w:val="28"/>
        </w:numPr>
        <w:suppressAutoHyphens w:val="0"/>
        <w:autoSpaceDE w:val="0"/>
        <w:autoSpaceDN w:val="0"/>
        <w:adjustRightInd w:val="0"/>
        <w:ind w:left="426"/>
        <w:rPr>
          <w:rFonts w:eastAsia="Calibri"/>
          <w:kern w:val="0"/>
          <w:lang w:val="en-GB" w:eastAsia="en-US"/>
        </w:rPr>
      </w:pPr>
      <w:r w:rsidRPr="000542DA">
        <w:rPr>
          <w:rFonts w:eastAsia="Calibri"/>
          <w:kern w:val="0"/>
          <w:lang w:val="en-GB" w:eastAsia="en-US"/>
        </w:rPr>
        <w:t xml:space="preserve">IAEA Nuclear </w:t>
      </w:r>
      <w:r w:rsidR="00DE01EA" w:rsidRPr="000542DA">
        <w:rPr>
          <w:rFonts w:eastAsia="Calibri"/>
          <w:kern w:val="0"/>
          <w:lang w:val="en-GB" w:eastAsia="en-US"/>
        </w:rPr>
        <w:t xml:space="preserve">Energy Series Report </w:t>
      </w:r>
      <w:r w:rsidR="00CA5738" w:rsidRPr="000542DA">
        <w:rPr>
          <w:rFonts w:eastAsia="Calibri"/>
          <w:kern w:val="0"/>
          <w:lang w:val="en-GB" w:eastAsia="en-US"/>
        </w:rPr>
        <w:t xml:space="preserve">No. </w:t>
      </w:r>
      <w:r w:rsidRPr="000542DA">
        <w:rPr>
          <w:rFonts w:eastAsia="Calibri"/>
          <w:kern w:val="0"/>
          <w:lang w:val="en-GB" w:eastAsia="en-US"/>
        </w:rPr>
        <w:t>NP-T.3.6, include</w:t>
      </w:r>
      <w:r w:rsidR="00082A32">
        <w:rPr>
          <w:rFonts w:eastAsia="Calibri"/>
          <w:kern w:val="0"/>
          <w:lang w:val="en-GB" w:eastAsia="en-US"/>
        </w:rPr>
        <w:t>s</w:t>
      </w:r>
      <w:r w:rsidRPr="000542DA">
        <w:rPr>
          <w:rFonts w:eastAsia="Calibri"/>
          <w:kern w:val="0"/>
          <w:lang w:val="en-GB" w:eastAsia="en-US"/>
        </w:rPr>
        <w:t xml:space="preserve"> detailed information regarding uncertainties and </w:t>
      </w:r>
      <w:r w:rsidR="00082A32">
        <w:rPr>
          <w:rFonts w:eastAsia="Calibri"/>
          <w:kern w:val="0"/>
          <w:lang w:val="en-GB" w:eastAsia="en-US"/>
        </w:rPr>
        <w:t>their</w:t>
      </w:r>
      <w:r w:rsidRPr="000542DA">
        <w:rPr>
          <w:rFonts w:eastAsia="Calibri"/>
          <w:kern w:val="0"/>
          <w:lang w:val="en-GB" w:eastAsia="en-US"/>
        </w:rPr>
        <w:t xml:space="preserve"> effects on cable </w:t>
      </w:r>
      <w:r w:rsidR="00CA085F" w:rsidRPr="000542DA">
        <w:rPr>
          <w:lang w:val="en-GB"/>
        </w:rPr>
        <w:t>environmental qualification</w:t>
      </w:r>
      <w:r w:rsidRPr="000542DA">
        <w:rPr>
          <w:rFonts w:eastAsia="Calibri"/>
          <w:kern w:val="0"/>
          <w:lang w:val="en-GB" w:eastAsia="en-US"/>
        </w:rPr>
        <w:t xml:space="preserve"> [</w:t>
      </w:r>
      <w:r w:rsidR="00863388" w:rsidRPr="000542DA">
        <w:rPr>
          <w:rFonts w:eastAsia="MS Mincho"/>
          <w:kern w:val="0"/>
          <w:lang w:val="en-GB" w:eastAsia="ja-JP"/>
        </w:rPr>
        <w:t>1</w:t>
      </w:r>
      <w:r w:rsidR="00BC7A3E">
        <w:rPr>
          <w:rFonts w:eastAsia="MS Mincho"/>
          <w:kern w:val="0"/>
          <w:lang w:val="en-GB" w:eastAsia="ja-JP"/>
        </w:rPr>
        <w:t>4</w:t>
      </w:r>
      <w:r w:rsidRPr="000542DA">
        <w:rPr>
          <w:rFonts w:eastAsia="Calibri"/>
          <w:kern w:val="0"/>
          <w:lang w:val="en-GB" w:eastAsia="en-US"/>
        </w:rPr>
        <w:t>]. The uncertainties are related to the following:</w:t>
      </w:r>
    </w:p>
    <w:p w14:paraId="6107F8CF" w14:textId="77777777" w:rsidR="009A5BAA" w:rsidRPr="000542DA" w:rsidRDefault="009A5BAA" w:rsidP="00566711">
      <w:pPr>
        <w:widowControl/>
        <w:numPr>
          <w:ilvl w:val="0"/>
          <w:numId w:val="32"/>
        </w:numPr>
        <w:tabs>
          <w:tab w:val="left" w:pos="714"/>
        </w:tabs>
        <w:suppressAutoHyphens w:val="0"/>
        <w:autoSpaceDE w:val="0"/>
        <w:autoSpaceDN w:val="0"/>
        <w:adjustRightInd w:val="0"/>
        <w:ind w:left="714" w:hanging="357"/>
        <w:contextualSpacing/>
        <w:jc w:val="left"/>
        <w:rPr>
          <w:rFonts w:eastAsia="Calibri"/>
          <w:kern w:val="0"/>
          <w:lang w:val="en-GB" w:eastAsia="en-US"/>
        </w:rPr>
      </w:pPr>
      <w:r w:rsidRPr="000542DA">
        <w:rPr>
          <w:rFonts w:eastAsia="Calibri"/>
          <w:kern w:val="0"/>
          <w:lang w:val="en-GB" w:eastAsia="en-US"/>
        </w:rPr>
        <w:t xml:space="preserve">Synergistic effects of sequence applied for the radiation and thermal ageing test. </w:t>
      </w:r>
    </w:p>
    <w:p w14:paraId="09E0FADD" w14:textId="77777777" w:rsidR="009A5BAA" w:rsidRPr="000542DA" w:rsidRDefault="009A5BAA" w:rsidP="00566711">
      <w:pPr>
        <w:widowControl/>
        <w:numPr>
          <w:ilvl w:val="0"/>
          <w:numId w:val="32"/>
        </w:numPr>
        <w:tabs>
          <w:tab w:val="left" w:pos="714"/>
        </w:tabs>
        <w:suppressAutoHyphens w:val="0"/>
        <w:autoSpaceDE w:val="0"/>
        <w:autoSpaceDN w:val="0"/>
        <w:adjustRightInd w:val="0"/>
        <w:ind w:left="714" w:hanging="357"/>
        <w:contextualSpacing/>
        <w:jc w:val="left"/>
        <w:rPr>
          <w:rFonts w:eastAsia="Calibri"/>
          <w:kern w:val="0"/>
          <w:lang w:val="en-GB" w:eastAsia="en-US"/>
        </w:rPr>
      </w:pPr>
      <w:r w:rsidRPr="000542DA">
        <w:rPr>
          <w:rFonts w:eastAsia="Calibri"/>
          <w:kern w:val="0"/>
          <w:lang w:val="en-GB" w:eastAsia="en-US"/>
        </w:rPr>
        <w:t xml:space="preserve">Acceleration factors applied in the radiation and thermal ageing tests. </w:t>
      </w:r>
    </w:p>
    <w:p w14:paraId="1704A5B6" w14:textId="77777777" w:rsidR="009A5BAA" w:rsidRPr="000542DA" w:rsidRDefault="009A5BAA" w:rsidP="00566711">
      <w:pPr>
        <w:widowControl/>
        <w:numPr>
          <w:ilvl w:val="0"/>
          <w:numId w:val="32"/>
        </w:numPr>
        <w:tabs>
          <w:tab w:val="left" w:pos="714"/>
        </w:tabs>
        <w:suppressAutoHyphens w:val="0"/>
        <w:autoSpaceDE w:val="0"/>
        <w:autoSpaceDN w:val="0"/>
        <w:adjustRightInd w:val="0"/>
        <w:ind w:left="714" w:hanging="357"/>
        <w:contextualSpacing/>
        <w:jc w:val="left"/>
        <w:rPr>
          <w:rFonts w:eastAsia="Calibri"/>
          <w:kern w:val="0"/>
          <w:lang w:val="en-GB" w:eastAsia="en-US"/>
        </w:rPr>
      </w:pPr>
      <w:r w:rsidRPr="000542DA">
        <w:rPr>
          <w:rFonts w:eastAsia="Calibri"/>
          <w:kern w:val="0"/>
          <w:lang w:val="en-GB" w:eastAsia="en-US"/>
        </w:rPr>
        <w:t xml:space="preserve">Oxygen consumption on LOCA chambers effects, during DBE test. </w:t>
      </w:r>
    </w:p>
    <w:p w14:paraId="2855FE27" w14:textId="77777777" w:rsidR="009A5BAA" w:rsidRPr="000542DA" w:rsidRDefault="009A5BAA" w:rsidP="00566711">
      <w:pPr>
        <w:widowControl/>
        <w:numPr>
          <w:ilvl w:val="0"/>
          <w:numId w:val="32"/>
        </w:numPr>
        <w:tabs>
          <w:tab w:val="left" w:pos="714"/>
        </w:tabs>
        <w:suppressAutoHyphens w:val="0"/>
        <w:autoSpaceDE w:val="0"/>
        <w:autoSpaceDN w:val="0"/>
        <w:adjustRightInd w:val="0"/>
        <w:ind w:left="714" w:hanging="357"/>
        <w:contextualSpacing/>
        <w:jc w:val="left"/>
        <w:rPr>
          <w:rFonts w:eastAsia="Calibri"/>
          <w:kern w:val="0"/>
          <w:lang w:val="en-GB" w:eastAsia="en-US"/>
        </w:rPr>
      </w:pPr>
      <w:r w:rsidRPr="000542DA">
        <w:rPr>
          <w:rFonts w:eastAsia="Calibri"/>
          <w:kern w:val="0"/>
          <w:lang w:val="en-GB" w:eastAsia="en-US"/>
        </w:rPr>
        <w:t xml:space="preserve">Dose rate effects. </w:t>
      </w:r>
    </w:p>
    <w:p w14:paraId="0603D924" w14:textId="77777777" w:rsidR="009A5BAA" w:rsidRPr="000542DA" w:rsidRDefault="00CB7259" w:rsidP="00566711">
      <w:pPr>
        <w:widowControl/>
        <w:numPr>
          <w:ilvl w:val="0"/>
          <w:numId w:val="32"/>
        </w:numPr>
        <w:tabs>
          <w:tab w:val="left" w:pos="714"/>
        </w:tabs>
        <w:suppressAutoHyphens w:val="0"/>
        <w:autoSpaceDE w:val="0"/>
        <w:autoSpaceDN w:val="0"/>
        <w:adjustRightInd w:val="0"/>
        <w:ind w:left="714" w:hanging="357"/>
        <w:contextualSpacing/>
        <w:jc w:val="left"/>
        <w:rPr>
          <w:rFonts w:eastAsia="Calibri"/>
          <w:kern w:val="0"/>
          <w:lang w:val="en-GB" w:eastAsia="en-US"/>
        </w:rPr>
      </w:pPr>
      <w:r w:rsidRPr="000542DA">
        <w:rPr>
          <w:rFonts w:eastAsia="Calibri"/>
          <w:kern w:val="0"/>
          <w:lang w:val="en-GB" w:eastAsia="en-US"/>
        </w:rPr>
        <w:lastRenderedPageBreak/>
        <w:t>Non-conservative or incorrect activation energy values</w:t>
      </w:r>
      <w:r w:rsidR="009A5BAA" w:rsidRPr="000542DA">
        <w:rPr>
          <w:rFonts w:eastAsia="Calibri"/>
          <w:kern w:val="0"/>
          <w:lang w:val="en-GB" w:eastAsia="en-US"/>
        </w:rPr>
        <w:t xml:space="preserve"> used in Arrhenius </w:t>
      </w:r>
      <w:r w:rsidR="007647A4">
        <w:rPr>
          <w:rFonts w:eastAsia="Calibri"/>
          <w:kern w:val="0"/>
          <w:lang w:val="en-GB" w:eastAsia="en-US"/>
        </w:rPr>
        <w:t>t</w:t>
      </w:r>
      <w:r w:rsidR="009A5BAA" w:rsidRPr="000542DA">
        <w:rPr>
          <w:rFonts w:eastAsia="Calibri"/>
          <w:kern w:val="0"/>
          <w:lang w:val="en-GB" w:eastAsia="en-US"/>
        </w:rPr>
        <w:t xml:space="preserve">hermal ageing calculations. </w:t>
      </w:r>
    </w:p>
    <w:p w14:paraId="5CADEBAE" w14:textId="77777777" w:rsidR="009A5BAA" w:rsidRPr="000542DA" w:rsidRDefault="009A5BAA" w:rsidP="00566711">
      <w:pPr>
        <w:widowControl/>
        <w:numPr>
          <w:ilvl w:val="0"/>
          <w:numId w:val="32"/>
        </w:numPr>
        <w:tabs>
          <w:tab w:val="left" w:pos="714"/>
        </w:tabs>
        <w:suppressAutoHyphens w:val="0"/>
        <w:autoSpaceDE w:val="0"/>
        <w:autoSpaceDN w:val="0"/>
        <w:adjustRightInd w:val="0"/>
        <w:ind w:left="714" w:hanging="357"/>
        <w:contextualSpacing/>
        <w:jc w:val="left"/>
        <w:rPr>
          <w:rFonts w:eastAsia="Calibri"/>
          <w:kern w:val="0"/>
          <w:lang w:val="en-GB" w:eastAsia="en-US"/>
        </w:rPr>
      </w:pPr>
      <w:r w:rsidRPr="000542DA">
        <w:rPr>
          <w:rFonts w:eastAsia="Calibri"/>
          <w:kern w:val="0"/>
          <w:lang w:val="en-GB" w:eastAsia="en-US"/>
        </w:rPr>
        <w:t xml:space="preserve">Inverse temperature effects (semi crystalline polymers </w:t>
      </w:r>
      <w:r w:rsidR="00851B40" w:rsidRPr="000542DA">
        <w:rPr>
          <w:rFonts w:eastAsia="Calibri"/>
          <w:kern w:val="0"/>
          <w:lang w:val="en-GB" w:eastAsia="en-US"/>
        </w:rPr>
        <w:t>cross-linked polyethylene (</w:t>
      </w:r>
      <w:r w:rsidRPr="000542DA">
        <w:rPr>
          <w:rFonts w:eastAsia="Calibri"/>
          <w:kern w:val="0"/>
          <w:lang w:val="en-GB" w:eastAsia="en-US"/>
        </w:rPr>
        <w:t>XLPE</w:t>
      </w:r>
      <w:r w:rsidR="00851B40" w:rsidRPr="000542DA">
        <w:rPr>
          <w:rFonts w:eastAsia="Calibri"/>
          <w:kern w:val="0"/>
          <w:lang w:val="en-GB" w:eastAsia="en-US"/>
        </w:rPr>
        <w:t>)</w:t>
      </w:r>
      <w:r w:rsidRPr="000542DA">
        <w:rPr>
          <w:rFonts w:eastAsia="Calibri"/>
          <w:kern w:val="0"/>
          <w:lang w:val="en-GB" w:eastAsia="en-US"/>
        </w:rPr>
        <w:t xml:space="preserve">, </w:t>
      </w:r>
      <w:r w:rsidR="00851B40" w:rsidRPr="000542DA">
        <w:rPr>
          <w:rFonts w:eastAsia="Calibri"/>
          <w:kern w:val="0"/>
          <w:lang w:val="en-GB" w:eastAsia="en-US"/>
        </w:rPr>
        <w:t>cross-linked polyolefin (</w:t>
      </w:r>
      <w:r w:rsidRPr="000542DA">
        <w:rPr>
          <w:rFonts w:eastAsia="Calibri"/>
          <w:kern w:val="0"/>
          <w:lang w:val="en-GB" w:eastAsia="en-US"/>
        </w:rPr>
        <w:t>XLPO</w:t>
      </w:r>
      <w:r w:rsidR="00851B40" w:rsidRPr="000542DA">
        <w:rPr>
          <w:rFonts w:eastAsia="Calibri"/>
          <w:kern w:val="0"/>
          <w:lang w:val="en-GB" w:eastAsia="en-US"/>
        </w:rPr>
        <w:t>)</w:t>
      </w:r>
      <w:r w:rsidRPr="000542DA">
        <w:rPr>
          <w:rFonts w:eastAsia="Calibri"/>
          <w:kern w:val="0"/>
          <w:lang w:val="en-GB" w:eastAsia="en-US"/>
        </w:rPr>
        <w:t xml:space="preserve">). </w:t>
      </w:r>
    </w:p>
    <w:p w14:paraId="40D7901A" w14:textId="77777777" w:rsidR="00FE1DA9" w:rsidRPr="000542DA" w:rsidRDefault="00FE1DA9" w:rsidP="00566711">
      <w:pPr>
        <w:numPr>
          <w:ilvl w:val="0"/>
          <w:numId w:val="28"/>
        </w:numPr>
        <w:ind w:left="426"/>
        <w:rPr>
          <w:lang w:val="en-GB"/>
        </w:rPr>
      </w:pPr>
      <w:r>
        <w:rPr>
          <w:lang w:val="en-GB"/>
        </w:rPr>
        <w:t xml:space="preserve">The </w:t>
      </w:r>
      <w:r w:rsidRPr="000542DA">
        <w:rPr>
          <w:lang w:val="en-GB"/>
        </w:rPr>
        <w:t xml:space="preserve">SAND 2013-2388 </w:t>
      </w:r>
      <w:r>
        <w:rPr>
          <w:lang w:val="en-GB"/>
        </w:rPr>
        <w:t>r</w:t>
      </w:r>
      <w:r w:rsidRPr="000542DA">
        <w:rPr>
          <w:lang w:val="en-GB"/>
        </w:rPr>
        <w:t>eport results show</w:t>
      </w:r>
      <w:r>
        <w:rPr>
          <w:lang w:val="en-GB"/>
        </w:rPr>
        <w:t>ed</w:t>
      </w:r>
      <w:r w:rsidRPr="000542DA">
        <w:rPr>
          <w:lang w:val="en-GB"/>
        </w:rPr>
        <w:t xml:space="preserve"> the following conclusions</w:t>
      </w:r>
      <w:r>
        <w:rPr>
          <w:lang w:val="en-GB"/>
        </w:rPr>
        <w:t xml:space="preserve"> </w:t>
      </w:r>
      <w:r w:rsidRPr="000542DA">
        <w:rPr>
          <w:lang w:val="en-GB"/>
        </w:rPr>
        <w:t>of the uncertainties effects [2</w:t>
      </w:r>
      <w:r>
        <w:rPr>
          <w:lang w:val="en-GB"/>
        </w:rPr>
        <w:t>2</w:t>
      </w:r>
      <w:r w:rsidRPr="000542DA">
        <w:rPr>
          <w:lang w:val="en-GB"/>
        </w:rPr>
        <w:t>]:</w:t>
      </w:r>
    </w:p>
    <w:p w14:paraId="28BFFA4E" w14:textId="77777777" w:rsidR="009A5BAA" w:rsidRPr="000542DA" w:rsidRDefault="009A5BAA" w:rsidP="00566711">
      <w:pPr>
        <w:widowControl/>
        <w:numPr>
          <w:ilvl w:val="0"/>
          <w:numId w:val="32"/>
        </w:numPr>
        <w:tabs>
          <w:tab w:val="left" w:pos="714"/>
        </w:tabs>
        <w:suppressAutoHyphens w:val="0"/>
        <w:autoSpaceDE w:val="0"/>
        <w:autoSpaceDN w:val="0"/>
        <w:adjustRightInd w:val="0"/>
        <w:ind w:left="714" w:hanging="357"/>
        <w:contextualSpacing/>
        <w:jc w:val="left"/>
        <w:rPr>
          <w:rFonts w:eastAsia="Calibri"/>
          <w:kern w:val="0"/>
          <w:lang w:val="en-GB" w:eastAsia="en-US"/>
        </w:rPr>
      </w:pPr>
      <w:r w:rsidRPr="000542DA">
        <w:rPr>
          <w:rFonts w:eastAsia="Calibri"/>
          <w:kern w:val="0"/>
          <w:lang w:val="en-GB" w:eastAsia="en-US"/>
        </w:rPr>
        <w:t xml:space="preserve">There are different degradation mechanisms for cable polymers, in oxidative or inert environments. </w:t>
      </w:r>
    </w:p>
    <w:p w14:paraId="67F25967" w14:textId="77777777" w:rsidR="009A5BAA" w:rsidRPr="000542DA" w:rsidRDefault="009A5BAA" w:rsidP="00566711">
      <w:pPr>
        <w:widowControl/>
        <w:numPr>
          <w:ilvl w:val="0"/>
          <w:numId w:val="32"/>
        </w:numPr>
        <w:tabs>
          <w:tab w:val="left" w:pos="714"/>
        </w:tabs>
        <w:suppressAutoHyphens w:val="0"/>
        <w:autoSpaceDE w:val="0"/>
        <w:autoSpaceDN w:val="0"/>
        <w:adjustRightInd w:val="0"/>
        <w:ind w:left="714" w:hanging="357"/>
        <w:contextualSpacing/>
        <w:jc w:val="left"/>
        <w:rPr>
          <w:rFonts w:eastAsia="Calibri"/>
          <w:kern w:val="0"/>
          <w:lang w:val="en-GB" w:eastAsia="en-US"/>
        </w:rPr>
      </w:pPr>
      <w:r w:rsidRPr="000542DA">
        <w:rPr>
          <w:rFonts w:eastAsia="Calibri"/>
          <w:kern w:val="0"/>
          <w:lang w:val="en-GB" w:eastAsia="en-US"/>
        </w:rPr>
        <w:t>Neither qualification testing nor accelerated ag</w:t>
      </w:r>
      <w:r w:rsidR="00CA7449" w:rsidRPr="000542DA">
        <w:rPr>
          <w:rFonts w:eastAsia="Calibri"/>
          <w:kern w:val="0"/>
          <w:lang w:val="en-GB" w:eastAsia="en-US"/>
        </w:rPr>
        <w:t>e</w:t>
      </w:r>
      <w:r w:rsidRPr="000542DA">
        <w:rPr>
          <w:rFonts w:eastAsia="Calibri"/>
          <w:kern w:val="0"/>
          <w:lang w:val="en-GB" w:eastAsia="en-US"/>
        </w:rPr>
        <w:t>ing studies have satisfactorily addressed inverse temperature effects (XLPE</w:t>
      </w:r>
      <w:r w:rsidR="00851B40" w:rsidRPr="000542DA">
        <w:rPr>
          <w:rFonts w:eastAsia="Calibri"/>
          <w:kern w:val="0"/>
          <w:lang w:val="en-GB" w:eastAsia="en-US"/>
        </w:rPr>
        <w:t>, XLPO</w:t>
      </w:r>
      <w:r w:rsidRPr="000542DA">
        <w:rPr>
          <w:rFonts w:eastAsia="Calibri"/>
          <w:kern w:val="0"/>
          <w:lang w:val="en-GB" w:eastAsia="en-US"/>
        </w:rPr>
        <w:t xml:space="preserve">). </w:t>
      </w:r>
    </w:p>
    <w:p w14:paraId="575CA0CE" w14:textId="77777777" w:rsidR="009A5BAA" w:rsidRDefault="009A5BAA" w:rsidP="00566711">
      <w:pPr>
        <w:widowControl/>
        <w:numPr>
          <w:ilvl w:val="0"/>
          <w:numId w:val="32"/>
        </w:numPr>
        <w:tabs>
          <w:tab w:val="left" w:pos="714"/>
        </w:tabs>
        <w:suppressAutoHyphens w:val="0"/>
        <w:autoSpaceDE w:val="0"/>
        <w:autoSpaceDN w:val="0"/>
        <w:adjustRightInd w:val="0"/>
        <w:ind w:left="714" w:hanging="357"/>
        <w:contextualSpacing/>
        <w:jc w:val="left"/>
        <w:rPr>
          <w:rFonts w:eastAsia="Calibri"/>
          <w:kern w:val="0"/>
          <w:lang w:val="en-GB" w:eastAsia="en-US"/>
        </w:rPr>
      </w:pPr>
      <w:r w:rsidRPr="000542DA">
        <w:rPr>
          <w:rFonts w:eastAsia="Calibri"/>
          <w:kern w:val="0"/>
          <w:lang w:val="en-GB" w:eastAsia="en-US"/>
        </w:rPr>
        <w:t xml:space="preserve">While cable performance in oxygen environments may be satisfactory and </w:t>
      </w:r>
      <w:r w:rsidR="00F52994">
        <w:rPr>
          <w:rFonts w:eastAsia="Calibri"/>
          <w:kern w:val="0"/>
          <w:lang w:val="en-GB" w:eastAsia="en-US"/>
        </w:rPr>
        <w:t>equipment</w:t>
      </w:r>
      <w:r w:rsidR="00F52994" w:rsidRPr="000542DA">
        <w:rPr>
          <w:rFonts w:eastAsia="Calibri"/>
          <w:kern w:val="0"/>
          <w:lang w:val="en-GB" w:eastAsia="en-US"/>
        </w:rPr>
        <w:t xml:space="preserve"> </w:t>
      </w:r>
      <w:r w:rsidR="00CA085F" w:rsidRPr="000542DA">
        <w:rPr>
          <w:rFonts w:eastAsia="Calibri"/>
          <w:kern w:val="0"/>
          <w:lang w:val="en-GB" w:eastAsia="en-US"/>
        </w:rPr>
        <w:t>qualification</w:t>
      </w:r>
      <w:r w:rsidRPr="000542DA">
        <w:rPr>
          <w:rFonts w:eastAsia="Calibri"/>
          <w:kern w:val="0"/>
          <w:lang w:val="en-GB" w:eastAsia="en-US"/>
        </w:rPr>
        <w:t xml:space="preserve"> process margins may exist, these margins cannot be predicted or validated, from existing qualification and ageing studies. </w:t>
      </w:r>
    </w:p>
    <w:p w14:paraId="1791D741" w14:textId="77777777" w:rsidR="00FE1DA9" w:rsidRPr="00155AC9" w:rsidRDefault="00FE1DA9" w:rsidP="00566711">
      <w:pPr>
        <w:numPr>
          <w:ilvl w:val="0"/>
          <w:numId w:val="28"/>
        </w:numPr>
        <w:ind w:left="426"/>
        <w:rPr>
          <w:lang w:val="en-GB"/>
        </w:rPr>
      </w:pPr>
      <w:r w:rsidRPr="00155AC9">
        <w:rPr>
          <w:lang w:val="en-GB"/>
        </w:rPr>
        <w:t xml:space="preserve">Regarding condition monitoring techniques </w:t>
      </w:r>
      <w:r w:rsidRPr="00155AC9">
        <w:rPr>
          <w:lang w:val="en-GB"/>
        </w:rPr>
        <w:t xml:space="preserve">IAEA launched a Coordinated Research Project (CRP) on benchmark analysis for CM </w:t>
      </w:r>
      <w:r w:rsidR="004B0F60">
        <w:rPr>
          <w:lang w:val="en-GB"/>
        </w:rPr>
        <w:t xml:space="preserve">(Condition Monitoring) </w:t>
      </w:r>
      <w:r w:rsidRPr="00155AC9">
        <w:rPr>
          <w:lang w:val="en-GB"/>
        </w:rPr>
        <w:t xml:space="preserve">techniques of aged low voltage cables based on CM techniques described in </w:t>
      </w:r>
      <w:r>
        <w:rPr>
          <w:lang w:val="en-GB"/>
        </w:rPr>
        <w:fldChar w:fldCharType="begin"/>
      </w:r>
      <w:r>
        <w:rPr>
          <w:lang w:val="en-GB"/>
        </w:rPr>
        <w:instrText xml:space="preserve"> REF _Ref44662541 \r \h </w:instrText>
      </w:r>
      <w:r>
        <w:rPr>
          <w:lang w:val="en-GB"/>
        </w:rPr>
      </w:r>
      <w:r>
        <w:rPr>
          <w:lang w:val="en-GB"/>
        </w:rPr>
        <w:fldChar w:fldCharType="separate"/>
      </w:r>
      <w:r>
        <w:rPr>
          <w:lang w:val="en-GB"/>
        </w:rPr>
        <w:t>[19]</w:t>
      </w:r>
      <w:r>
        <w:rPr>
          <w:lang w:val="en-GB"/>
        </w:rPr>
        <w:fldChar w:fldCharType="end"/>
      </w:r>
      <w:r>
        <w:rPr>
          <w:lang w:val="en-GB"/>
        </w:rPr>
        <w:t xml:space="preserve">. </w:t>
      </w:r>
      <w:r w:rsidRPr="00155AC9">
        <w:rPr>
          <w:lang w:val="en-GB"/>
        </w:rPr>
        <w:t>This CRP included 11 chief scientific investigators and 21 observers, representing 17 Member States. The CRP established a benchmarking programme in which 12 types of cable insulation or jacket were aged under thermal and radiation conditions, and tested before and after ageing by various organizations applying different CM techniques, being most of CM techniques applied by at least two different organization</w:t>
      </w:r>
      <w:r w:rsidR="00082A32">
        <w:rPr>
          <w:lang w:val="en-GB"/>
        </w:rPr>
        <w:t>s</w:t>
      </w:r>
      <w:r w:rsidRPr="00155AC9">
        <w:rPr>
          <w:lang w:val="en-GB"/>
        </w:rPr>
        <w:t>. The results of these tests were then compared to identify the proper condition monitoring techniques for each cable type and to establish recommendations for improvements to these methods</w:t>
      </w:r>
      <w:r>
        <w:rPr>
          <w:lang w:val="en-GB"/>
        </w:rPr>
        <w:t xml:space="preserve"> </w:t>
      </w:r>
      <w:r>
        <w:rPr>
          <w:lang w:val="en-GB"/>
        </w:rPr>
        <w:fldChar w:fldCharType="begin"/>
      </w:r>
      <w:r>
        <w:rPr>
          <w:lang w:val="en-GB"/>
        </w:rPr>
        <w:instrText xml:space="preserve"> REF _Ref44669148 \r \h </w:instrText>
      </w:r>
      <w:r>
        <w:rPr>
          <w:lang w:val="en-GB"/>
        </w:rPr>
      </w:r>
      <w:r>
        <w:rPr>
          <w:lang w:val="en-GB"/>
        </w:rPr>
        <w:fldChar w:fldCharType="separate"/>
      </w:r>
      <w:r>
        <w:rPr>
          <w:lang w:val="en-GB"/>
        </w:rPr>
        <w:t>[26]</w:t>
      </w:r>
      <w:r>
        <w:rPr>
          <w:lang w:val="en-GB"/>
        </w:rPr>
        <w:fldChar w:fldCharType="end"/>
      </w:r>
      <w:r>
        <w:rPr>
          <w:lang w:val="en-GB"/>
        </w:rPr>
        <w:t>.</w:t>
      </w:r>
    </w:p>
    <w:p w14:paraId="50FB98FA" w14:textId="77777777" w:rsidR="00CB7259" w:rsidRDefault="009A5BAA" w:rsidP="00566711">
      <w:pPr>
        <w:rPr>
          <w:rFonts w:eastAsia="Calibri"/>
          <w:kern w:val="0"/>
          <w:lang w:val="en-GB" w:eastAsia="en-US"/>
        </w:rPr>
      </w:pPr>
      <w:r w:rsidRPr="000542DA">
        <w:rPr>
          <w:rFonts w:eastAsia="Calibri"/>
          <w:kern w:val="0"/>
          <w:lang w:val="en-GB" w:eastAsia="en-US"/>
        </w:rPr>
        <w:t xml:space="preserve">The above considerations </w:t>
      </w:r>
      <w:r w:rsidR="00CA7449" w:rsidRPr="000542DA">
        <w:rPr>
          <w:rFonts w:eastAsia="Calibri"/>
          <w:kern w:val="0"/>
          <w:lang w:val="en-GB" w:eastAsia="en-US"/>
        </w:rPr>
        <w:t>are</w:t>
      </w:r>
      <w:r w:rsidR="00CC04C6" w:rsidRPr="000542DA">
        <w:rPr>
          <w:rFonts w:eastAsia="Calibri"/>
          <w:kern w:val="0"/>
          <w:lang w:val="en-GB" w:eastAsia="en-US"/>
        </w:rPr>
        <w:t xml:space="preserve"> </w:t>
      </w:r>
      <w:r w:rsidRPr="000542DA">
        <w:rPr>
          <w:rFonts w:eastAsia="Calibri"/>
          <w:kern w:val="0"/>
          <w:lang w:val="en-GB" w:eastAsia="en-US"/>
        </w:rPr>
        <w:t xml:space="preserve">taken into account in any reanalysis for future qualification or life extension activities on </w:t>
      </w:r>
      <w:r w:rsidR="00F52994">
        <w:rPr>
          <w:lang w:val="en-GB"/>
        </w:rPr>
        <w:t>in</w:t>
      </w:r>
      <w:r w:rsidR="005E4B53">
        <w:rPr>
          <w:lang w:val="en-GB"/>
        </w:rPr>
        <w:t>-</w:t>
      </w:r>
      <w:r w:rsidR="00F52994">
        <w:rPr>
          <w:lang w:val="en-GB"/>
        </w:rPr>
        <w:t xml:space="preserve">scope </w:t>
      </w:r>
      <w:r w:rsidRPr="000542DA">
        <w:rPr>
          <w:rFonts w:eastAsia="Calibri"/>
          <w:kern w:val="0"/>
          <w:lang w:val="en-GB" w:eastAsia="en-US"/>
        </w:rPr>
        <w:t>cables</w:t>
      </w:r>
      <w:r w:rsidR="004B702F" w:rsidRPr="000542DA">
        <w:rPr>
          <w:rFonts w:eastAsia="Calibri"/>
          <w:kern w:val="0"/>
          <w:lang w:val="en-GB" w:eastAsia="en-US"/>
        </w:rPr>
        <w:t>, when applicable</w:t>
      </w:r>
      <w:r w:rsidRPr="000542DA">
        <w:rPr>
          <w:rFonts w:eastAsia="Calibri"/>
          <w:kern w:val="0"/>
          <w:lang w:val="en-GB" w:eastAsia="en-US"/>
        </w:rPr>
        <w:t xml:space="preserve">. </w:t>
      </w:r>
    </w:p>
    <w:p w14:paraId="5F2889C8" w14:textId="77777777" w:rsidR="00DB416B" w:rsidRPr="000542DA" w:rsidRDefault="00DB416B" w:rsidP="00566711">
      <w:pPr>
        <w:rPr>
          <w:lang w:val="en-GB"/>
        </w:rPr>
      </w:pPr>
    </w:p>
    <w:p w14:paraId="313AAB21" w14:textId="77777777" w:rsidR="005E3DAC" w:rsidRPr="000542DA" w:rsidRDefault="005E3DAC" w:rsidP="00566711">
      <w:pPr>
        <w:pStyle w:val="Body"/>
        <w:numPr>
          <w:ilvl w:val="0"/>
          <w:numId w:val="10"/>
        </w:numPr>
        <w:spacing w:before="120" w:after="120"/>
        <w:ind w:left="567" w:hanging="567"/>
        <w:jc w:val="both"/>
        <w:rPr>
          <w:rFonts w:ascii="Times New Roman" w:hAnsi="Times New Roman"/>
          <w:b/>
          <w:i/>
          <w:sz w:val="24"/>
          <w:szCs w:val="24"/>
          <w:lang w:val="en-GB" w:eastAsia="x-none"/>
        </w:rPr>
      </w:pPr>
      <w:r w:rsidRPr="000542DA">
        <w:rPr>
          <w:rFonts w:ascii="Times New Roman" w:hAnsi="Times New Roman"/>
          <w:b/>
          <w:i/>
          <w:sz w:val="24"/>
          <w:szCs w:val="24"/>
          <w:lang w:val="en-GB" w:eastAsia="x-none"/>
        </w:rPr>
        <w:t>Quality management</w:t>
      </w:r>
      <w:r w:rsidR="004D73AD" w:rsidRPr="000542DA">
        <w:rPr>
          <w:rFonts w:ascii="Times New Roman" w:hAnsi="Times New Roman"/>
          <w:b/>
          <w:i/>
          <w:sz w:val="24"/>
          <w:szCs w:val="24"/>
          <w:lang w:val="en-GB" w:eastAsia="x-none"/>
        </w:rPr>
        <w:t>:</w:t>
      </w:r>
      <w:r w:rsidRPr="000542DA">
        <w:rPr>
          <w:rFonts w:ascii="Times New Roman" w:hAnsi="Times New Roman"/>
          <w:b/>
          <w:i/>
          <w:sz w:val="24"/>
          <w:szCs w:val="24"/>
          <w:lang w:val="en-GB" w:eastAsia="x-none"/>
        </w:rPr>
        <w:t xml:space="preserve"> </w:t>
      </w:r>
    </w:p>
    <w:p w14:paraId="32C3D2ED" w14:textId="29968A64" w:rsidR="00B1039F" w:rsidRPr="000542DA" w:rsidRDefault="00017C9B" w:rsidP="00566711">
      <w:pPr>
        <w:rPr>
          <w:rFonts w:eastAsia="Arial"/>
          <w:lang w:val="en-GB" w:eastAsia="ja-JP"/>
        </w:rPr>
      </w:pPr>
      <w:r w:rsidRPr="000542DA">
        <w:rPr>
          <w:rFonts w:eastAsia="Arial"/>
          <w:lang w:val="en-GB" w:eastAsia="ja-JP"/>
        </w:rPr>
        <w:t>Site quality assurance procedures, review and approval processes, and administrative controls are implemented in accordance with the different national regulatory requirements (e.g.</w:t>
      </w:r>
      <w:r w:rsidR="00BC7A3E">
        <w:rPr>
          <w:rFonts w:eastAsia="Arial"/>
          <w:lang w:val="en-GB" w:eastAsia="ja-JP"/>
        </w:rPr>
        <w:t xml:space="preserve"> </w:t>
      </w:r>
      <w:r w:rsidRPr="000542DA">
        <w:rPr>
          <w:rFonts w:eastAsia="Arial"/>
          <w:lang w:val="en-GB" w:eastAsia="ja-JP"/>
        </w:rPr>
        <w:t xml:space="preserve"> </w:t>
      </w:r>
      <w:r w:rsidR="004B0F60">
        <w:rPr>
          <w:rFonts w:eastAsia="Arial"/>
          <w:lang w:val="en-GB" w:eastAsia="ja-JP"/>
        </w:rPr>
        <w:t xml:space="preserve">Code Federal Regulation (USA) </w:t>
      </w:r>
      <w:r w:rsidR="004B0F60" w:rsidRPr="000542DA">
        <w:rPr>
          <w:rFonts w:eastAsia="Arial"/>
          <w:lang w:val="en-GB" w:eastAsia="ja-JP"/>
        </w:rPr>
        <w:t xml:space="preserve">10 </w:t>
      </w:r>
      <w:r w:rsidRPr="000542DA">
        <w:rPr>
          <w:rFonts w:eastAsia="Arial"/>
          <w:lang w:val="en-GB" w:eastAsia="ja-JP"/>
        </w:rPr>
        <w:t>CFR 50, Appendix B</w:t>
      </w:r>
      <w:r w:rsidR="00401657" w:rsidRPr="000542DA">
        <w:rPr>
          <w:rFonts w:eastAsia="Arial"/>
          <w:lang w:val="en-GB" w:eastAsia="ja-JP"/>
        </w:rPr>
        <w:t xml:space="preserve"> </w:t>
      </w:r>
      <w:r w:rsidRPr="000542DA">
        <w:rPr>
          <w:rFonts w:eastAsia="Arial"/>
          <w:lang w:val="en-GB" w:eastAsia="ja-JP"/>
        </w:rPr>
        <w:t>[</w:t>
      </w:r>
      <w:r w:rsidR="00DC0233" w:rsidRPr="000542DA">
        <w:rPr>
          <w:rFonts w:eastAsia="MS Mincho"/>
          <w:lang w:val="en-GB" w:eastAsia="ja-JP"/>
        </w:rPr>
        <w:t>2</w:t>
      </w:r>
      <w:r w:rsidR="00BC7A3E">
        <w:rPr>
          <w:rFonts w:eastAsia="MS Mincho"/>
          <w:lang w:val="en-GB" w:eastAsia="ja-JP"/>
        </w:rPr>
        <w:t>3] and</w:t>
      </w:r>
      <w:r w:rsidR="00D152F0" w:rsidRPr="000542DA">
        <w:rPr>
          <w:rFonts w:eastAsia="MS Mincho"/>
          <w:lang w:val="en-GB" w:eastAsia="ja-JP"/>
        </w:rPr>
        <w:t xml:space="preserve"> </w:t>
      </w:r>
      <w:r w:rsidR="004B0F60">
        <w:rPr>
          <w:rFonts w:eastAsia="Arial"/>
          <w:lang w:val="en-GB" w:eastAsia="ja-JP"/>
        </w:rPr>
        <w:t xml:space="preserve">Nuclear Safety </w:t>
      </w:r>
      <w:proofErr w:type="spellStart"/>
      <w:r w:rsidR="004B0F60">
        <w:rPr>
          <w:rFonts w:eastAsia="Arial"/>
          <w:lang w:val="en-GB" w:eastAsia="ja-JP"/>
        </w:rPr>
        <w:t>Comission</w:t>
      </w:r>
      <w:proofErr w:type="spellEnd"/>
      <w:r w:rsidR="004B0F60">
        <w:rPr>
          <w:rFonts w:eastAsia="Arial"/>
          <w:lang w:val="en-GB" w:eastAsia="ja-JP"/>
        </w:rPr>
        <w:t xml:space="preserve"> (Germany) </w:t>
      </w:r>
      <w:r w:rsidR="00BC7A3E" w:rsidRPr="000542DA">
        <w:rPr>
          <w:lang w:val="en-GB"/>
        </w:rPr>
        <w:t>KTA1401</w:t>
      </w:r>
      <w:r w:rsidR="00BC7A3E">
        <w:rPr>
          <w:rFonts w:eastAsia="MS Mincho"/>
          <w:lang w:val="en-GB" w:eastAsia="ja-JP"/>
        </w:rPr>
        <w:t xml:space="preserve"> [</w:t>
      </w:r>
      <w:r w:rsidR="00DC0233" w:rsidRPr="000542DA">
        <w:rPr>
          <w:rFonts w:eastAsia="MS Mincho"/>
          <w:lang w:val="en-GB" w:eastAsia="ja-JP"/>
        </w:rPr>
        <w:t>2</w:t>
      </w:r>
      <w:r w:rsidR="00BC7A3E">
        <w:rPr>
          <w:rFonts w:eastAsia="MS Mincho"/>
          <w:lang w:val="en-GB" w:eastAsia="ja-JP"/>
        </w:rPr>
        <w:t>4</w:t>
      </w:r>
      <w:r w:rsidRPr="000542DA">
        <w:rPr>
          <w:rFonts w:eastAsia="Arial"/>
          <w:lang w:val="en-GB" w:eastAsia="ja-JP"/>
        </w:rPr>
        <w:t>])</w:t>
      </w:r>
      <w:r w:rsidR="00CB7259" w:rsidRPr="000542DA">
        <w:rPr>
          <w:rFonts w:eastAsia="Arial"/>
          <w:lang w:val="en-GB" w:eastAsia="ja-JP"/>
        </w:rPr>
        <w:t>.</w:t>
      </w:r>
    </w:p>
    <w:p w14:paraId="1D7FA1F2" w14:textId="77777777" w:rsidR="00CB7259" w:rsidRPr="000542DA" w:rsidRDefault="00CB7259" w:rsidP="00566711">
      <w:pPr>
        <w:pStyle w:val="IGALLReferencesTitle"/>
      </w:pPr>
    </w:p>
    <w:p w14:paraId="44747E35" w14:textId="77777777" w:rsidR="005E3DAC" w:rsidRPr="000542DA" w:rsidRDefault="005E3DAC" w:rsidP="00566711">
      <w:pPr>
        <w:pStyle w:val="IGALLReferencesTitle"/>
        <w:rPr>
          <w:rFonts w:eastAsia="Arial"/>
          <w:b w:val="0"/>
          <w:bCs w:val="0"/>
          <w:lang w:eastAsia="ja-JP"/>
        </w:rPr>
      </w:pPr>
      <w:r w:rsidRPr="000542DA">
        <w:t xml:space="preserve">References </w:t>
      </w:r>
    </w:p>
    <w:p w14:paraId="441A810F" w14:textId="77777777" w:rsidR="009F1D65" w:rsidRPr="000542DA" w:rsidRDefault="009F1D65" w:rsidP="00566711">
      <w:pPr>
        <w:pStyle w:val="IGALLReferences"/>
        <w:ind w:left="567" w:hanging="567"/>
        <w:rPr>
          <w:rStyle w:val="IntenseReference"/>
          <w:rFonts w:ascii="Times New Roman" w:hAnsi="Times New Roman"/>
          <w:b w:val="0"/>
          <w:bCs w:val="0"/>
          <w:smallCaps w:val="0"/>
          <w:color w:val="auto"/>
          <w:spacing w:val="0"/>
          <w:kern w:val="1"/>
          <w:sz w:val="24"/>
          <w:szCs w:val="24"/>
          <w:u w:val="none"/>
          <w:lang w:val="en-GB"/>
        </w:rPr>
      </w:pPr>
      <w:r w:rsidRPr="000542DA">
        <w:rPr>
          <w:rStyle w:val="IntenseReference"/>
          <w:rFonts w:ascii="Times New Roman" w:hAnsi="Times New Roman"/>
          <w:b w:val="0"/>
          <w:bCs w:val="0"/>
          <w:smallCaps w:val="0"/>
          <w:color w:val="auto"/>
          <w:spacing w:val="0"/>
          <w:kern w:val="1"/>
          <w:sz w:val="24"/>
          <w:szCs w:val="24"/>
          <w:u w:val="none"/>
          <w:lang w:val="en-GB"/>
        </w:rPr>
        <w:t xml:space="preserve">IEC/IEEE, </w:t>
      </w:r>
      <w:r w:rsidR="00D7335B" w:rsidRPr="000542DA">
        <w:rPr>
          <w:rStyle w:val="IntenseReference"/>
          <w:rFonts w:ascii="Times New Roman" w:hAnsi="Times New Roman"/>
          <w:b w:val="0"/>
          <w:bCs w:val="0"/>
          <w:smallCaps w:val="0"/>
          <w:color w:val="auto"/>
          <w:spacing w:val="0"/>
          <w:kern w:val="1"/>
          <w:sz w:val="24"/>
          <w:szCs w:val="24"/>
          <w:u w:val="none"/>
          <w:lang w:val="en-GB"/>
        </w:rPr>
        <w:t>“</w:t>
      </w:r>
      <w:r w:rsidRPr="000542DA">
        <w:rPr>
          <w:rStyle w:val="IntenseReference"/>
          <w:rFonts w:ascii="Times New Roman" w:hAnsi="Times New Roman"/>
          <w:b w:val="0"/>
          <w:bCs w:val="0"/>
          <w:smallCaps w:val="0"/>
          <w:color w:val="auto"/>
          <w:spacing w:val="0"/>
          <w:kern w:val="1"/>
          <w:sz w:val="24"/>
          <w:szCs w:val="24"/>
          <w:u w:val="none"/>
          <w:lang w:val="en-GB"/>
        </w:rPr>
        <w:t>Nuclear facilities - Electrical equipment important to safety – Qualification</w:t>
      </w:r>
      <w:r w:rsidR="00D7335B" w:rsidRPr="000542DA">
        <w:rPr>
          <w:rStyle w:val="IntenseReference"/>
          <w:rFonts w:ascii="Times New Roman" w:hAnsi="Times New Roman"/>
          <w:b w:val="0"/>
          <w:bCs w:val="0"/>
          <w:smallCaps w:val="0"/>
          <w:color w:val="auto"/>
          <w:spacing w:val="0"/>
          <w:kern w:val="1"/>
          <w:sz w:val="24"/>
          <w:szCs w:val="24"/>
          <w:u w:val="none"/>
          <w:lang w:val="en-GB"/>
        </w:rPr>
        <w:t>”</w:t>
      </w:r>
      <w:r w:rsidRPr="000542DA">
        <w:rPr>
          <w:rStyle w:val="IntenseReference"/>
          <w:rFonts w:ascii="Times New Roman" w:hAnsi="Times New Roman"/>
          <w:b w:val="0"/>
          <w:bCs w:val="0"/>
          <w:smallCaps w:val="0"/>
          <w:color w:val="auto"/>
          <w:spacing w:val="0"/>
          <w:kern w:val="1"/>
          <w:sz w:val="24"/>
          <w:szCs w:val="24"/>
          <w:u w:val="none"/>
          <w:lang w:val="en-GB"/>
        </w:rPr>
        <w:t xml:space="preserve">, </w:t>
      </w:r>
      <w:r w:rsidR="00D7335B" w:rsidRPr="000542DA">
        <w:rPr>
          <w:rStyle w:val="IntenseReference"/>
          <w:rFonts w:ascii="Times New Roman" w:hAnsi="Times New Roman"/>
          <w:b w:val="0"/>
          <w:bCs w:val="0"/>
          <w:smallCaps w:val="0"/>
          <w:color w:val="auto"/>
          <w:spacing w:val="0"/>
          <w:kern w:val="1"/>
          <w:sz w:val="24"/>
          <w:szCs w:val="24"/>
          <w:u w:val="none"/>
          <w:lang w:val="en-GB"/>
        </w:rPr>
        <w:t xml:space="preserve">IEC/IEEE 60780-323:2016, </w:t>
      </w:r>
      <w:r w:rsidRPr="000542DA">
        <w:rPr>
          <w:rStyle w:val="IntenseReference"/>
          <w:rFonts w:ascii="Times New Roman" w:hAnsi="Times New Roman"/>
          <w:b w:val="0"/>
          <w:bCs w:val="0"/>
          <w:smallCaps w:val="0"/>
          <w:color w:val="auto"/>
          <w:spacing w:val="0"/>
          <w:kern w:val="1"/>
          <w:sz w:val="24"/>
          <w:szCs w:val="24"/>
          <w:u w:val="none"/>
          <w:lang w:val="en-GB"/>
        </w:rPr>
        <w:t>2016.</w:t>
      </w:r>
    </w:p>
    <w:p w14:paraId="47D5F311" w14:textId="77777777" w:rsidR="009F1D65" w:rsidRPr="000542DA" w:rsidRDefault="009F1D65" w:rsidP="00566711">
      <w:pPr>
        <w:pStyle w:val="IGALLReferences"/>
        <w:ind w:left="567" w:hanging="567"/>
        <w:rPr>
          <w:rStyle w:val="IntenseReference"/>
          <w:rFonts w:ascii="Times New Roman" w:hAnsi="Times New Roman"/>
          <w:b w:val="0"/>
          <w:bCs w:val="0"/>
          <w:smallCaps w:val="0"/>
          <w:color w:val="auto"/>
          <w:spacing w:val="0"/>
          <w:kern w:val="1"/>
          <w:sz w:val="24"/>
          <w:szCs w:val="24"/>
          <w:u w:val="none"/>
          <w:lang w:val="en-GB"/>
        </w:rPr>
      </w:pPr>
      <w:r w:rsidRPr="000542DA">
        <w:rPr>
          <w:rStyle w:val="IntenseReference"/>
          <w:rFonts w:ascii="Times New Roman" w:hAnsi="Times New Roman"/>
          <w:b w:val="0"/>
          <w:bCs w:val="0"/>
          <w:smallCaps w:val="0"/>
          <w:color w:val="auto"/>
          <w:spacing w:val="0"/>
          <w:kern w:val="1"/>
          <w:sz w:val="24"/>
          <w:szCs w:val="24"/>
          <w:u w:val="none"/>
          <w:lang w:val="en-GB"/>
        </w:rPr>
        <w:t xml:space="preserve">UNITED STATES NUCLEAR REGULATORY COMMISSION, </w:t>
      </w:r>
      <w:r w:rsidR="00DF498E" w:rsidRPr="000542DA">
        <w:rPr>
          <w:rStyle w:val="IntenseReference"/>
          <w:rFonts w:ascii="Times New Roman" w:hAnsi="Times New Roman"/>
          <w:b w:val="0"/>
          <w:bCs w:val="0"/>
          <w:smallCaps w:val="0"/>
          <w:color w:val="auto"/>
          <w:spacing w:val="0"/>
          <w:kern w:val="1"/>
          <w:sz w:val="24"/>
          <w:szCs w:val="24"/>
          <w:u w:val="none"/>
          <w:lang w:val="en-GB"/>
        </w:rPr>
        <w:t>“</w:t>
      </w:r>
      <w:r w:rsidRPr="000542DA">
        <w:rPr>
          <w:rStyle w:val="IntenseReference"/>
          <w:rFonts w:ascii="Times New Roman" w:hAnsi="Times New Roman"/>
          <w:b w:val="0"/>
          <w:bCs w:val="0"/>
          <w:smallCaps w:val="0"/>
          <w:color w:val="auto"/>
          <w:spacing w:val="0"/>
          <w:kern w:val="1"/>
          <w:sz w:val="24"/>
          <w:szCs w:val="24"/>
          <w:u w:val="none"/>
          <w:lang w:val="en-GB"/>
        </w:rPr>
        <w:t>10 CFR 50.49, Environmental Qualification of Electrical Equipment Important to Safety for Nuclear Power Plants</w:t>
      </w:r>
      <w:r w:rsidR="00103052" w:rsidRPr="000542DA">
        <w:rPr>
          <w:rStyle w:val="IntenseReference"/>
          <w:rFonts w:ascii="Times New Roman" w:hAnsi="Times New Roman"/>
          <w:b w:val="0"/>
          <w:bCs w:val="0"/>
          <w:smallCaps w:val="0"/>
          <w:color w:val="auto"/>
          <w:spacing w:val="0"/>
          <w:kern w:val="1"/>
          <w:sz w:val="24"/>
          <w:szCs w:val="24"/>
          <w:u w:val="none"/>
          <w:lang w:val="en-GB"/>
        </w:rPr>
        <w:t>”</w:t>
      </w:r>
      <w:r w:rsidRPr="000542DA">
        <w:rPr>
          <w:rStyle w:val="IntenseReference"/>
          <w:rFonts w:ascii="Times New Roman" w:hAnsi="Times New Roman"/>
          <w:b w:val="0"/>
          <w:bCs w:val="0"/>
          <w:smallCaps w:val="0"/>
          <w:color w:val="auto"/>
          <w:spacing w:val="0"/>
          <w:kern w:val="1"/>
          <w:sz w:val="24"/>
          <w:szCs w:val="24"/>
          <w:u w:val="none"/>
          <w:lang w:val="en-GB"/>
        </w:rPr>
        <w:t xml:space="preserve">, Office of the Federal Register, National Archives and Records Administration, </w:t>
      </w:r>
      <w:r w:rsidR="000C4242" w:rsidRPr="000542DA">
        <w:rPr>
          <w:rStyle w:val="IntenseReference"/>
          <w:rFonts w:ascii="Times New Roman" w:hAnsi="Times New Roman"/>
          <w:b w:val="0"/>
          <w:bCs w:val="0"/>
          <w:smallCaps w:val="0"/>
          <w:color w:val="auto"/>
          <w:spacing w:val="0"/>
          <w:kern w:val="1"/>
          <w:sz w:val="24"/>
          <w:szCs w:val="24"/>
          <w:u w:val="none"/>
          <w:lang w:val="en-GB"/>
        </w:rPr>
        <w:t>Latest edition</w:t>
      </w:r>
      <w:r w:rsidRPr="000542DA">
        <w:rPr>
          <w:rStyle w:val="IntenseReference"/>
          <w:rFonts w:ascii="Times New Roman" w:hAnsi="Times New Roman"/>
          <w:b w:val="0"/>
          <w:bCs w:val="0"/>
          <w:smallCaps w:val="0"/>
          <w:color w:val="auto"/>
          <w:spacing w:val="0"/>
          <w:kern w:val="1"/>
          <w:sz w:val="24"/>
          <w:szCs w:val="24"/>
          <w:u w:val="none"/>
          <w:lang w:val="en-GB"/>
        </w:rPr>
        <w:t>.</w:t>
      </w:r>
    </w:p>
    <w:p w14:paraId="75DAAC1D" w14:textId="77777777" w:rsidR="00E4499B" w:rsidRPr="00E4499B" w:rsidRDefault="00E4499B" w:rsidP="00566711">
      <w:pPr>
        <w:pStyle w:val="IGALLReferences"/>
        <w:ind w:left="567" w:hanging="567"/>
        <w:rPr>
          <w:rStyle w:val="IntenseReference"/>
          <w:rFonts w:ascii="Times New Roman" w:hAnsi="Times New Roman"/>
          <w:b w:val="0"/>
          <w:bCs w:val="0"/>
          <w:smallCaps w:val="0"/>
          <w:color w:val="auto"/>
          <w:spacing w:val="0"/>
          <w:kern w:val="1"/>
          <w:sz w:val="24"/>
          <w:szCs w:val="24"/>
          <w:u w:val="none"/>
          <w:lang w:val="en-GB"/>
        </w:rPr>
      </w:pPr>
      <w:r w:rsidRPr="00E4499B">
        <w:rPr>
          <w:rStyle w:val="IntenseReference"/>
          <w:rFonts w:ascii="Times New Roman" w:hAnsi="Times New Roman"/>
          <w:b w:val="0"/>
          <w:bCs w:val="0"/>
          <w:smallCaps w:val="0"/>
          <w:color w:val="auto"/>
          <w:spacing w:val="0"/>
          <w:kern w:val="1"/>
          <w:sz w:val="24"/>
          <w:szCs w:val="24"/>
          <w:u w:val="none"/>
          <w:lang w:val="en-GB"/>
        </w:rPr>
        <w:t>INTERNATIONAL ATOMIC ENERGY AGENCY, Safety of Nuclear Power Plants: Design, IAEA Safety Standards Series No. SSR-2/1 (Rev. 1), IAEA, Vienna (2016).</w:t>
      </w:r>
    </w:p>
    <w:p w14:paraId="6109C5AD" w14:textId="77777777" w:rsidR="00E4499B" w:rsidRPr="00E4499B" w:rsidRDefault="00E4499B" w:rsidP="00566711">
      <w:pPr>
        <w:pStyle w:val="IGALLReferences"/>
        <w:ind w:left="567" w:hanging="567"/>
        <w:rPr>
          <w:rStyle w:val="IntenseReference"/>
          <w:rFonts w:ascii="Times New Roman" w:hAnsi="Times New Roman"/>
          <w:b w:val="0"/>
          <w:bCs w:val="0"/>
          <w:smallCaps w:val="0"/>
          <w:color w:val="auto"/>
          <w:spacing w:val="0"/>
          <w:kern w:val="1"/>
          <w:sz w:val="24"/>
          <w:szCs w:val="24"/>
          <w:u w:val="none"/>
          <w:lang w:val="en-GB"/>
        </w:rPr>
      </w:pPr>
      <w:r w:rsidRPr="00E4499B">
        <w:rPr>
          <w:rStyle w:val="IntenseReference"/>
          <w:rFonts w:ascii="Times New Roman" w:hAnsi="Times New Roman"/>
          <w:b w:val="0"/>
          <w:bCs w:val="0"/>
          <w:smallCaps w:val="0"/>
          <w:color w:val="auto"/>
          <w:spacing w:val="0"/>
          <w:kern w:val="1"/>
          <w:sz w:val="24"/>
          <w:szCs w:val="24"/>
          <w:u w:val="none"/>
          <w:lang w:val="en-GB"/>
        </w:rPr>
        <w:t>INTERNATIONAL ATOMIC ENERGY AGENCY, Safety of Nuclear Power Plants: Commissioning and Operation, IAEA Safety Standards Series No. SSR-2/2 (Rev. 1),</w:t>
      </w:r>
      <w:r>
        <w:rPr>
          <w:rStyle w:val="IntenseReference"/>
          <w:rFonts w:ascii="Times New Roman" w:hAnsi="Times New Roman"/>
          <w:b w:val="0"/>
          <w:bCs w:val="0"/>
          <w:smallCaps w:val="0"/>
          <w:color w:val="auto"/>
          <w:spacing w:val="0"/>
          <w:kern w:val="1"/>
          <w:sz w:val="24"/>
          <w:szCs w:val="24"/>
          <w:u w:val="none"/>
          <w:lang w:val="en-GB"/>
        </w:rPr>
        <w:t xml:space="preserve"> </w:t>
      </w:r>
      <w:r w:rsidRPr="00E4499B">
        <w:rPr>
          <w:rStyle w:val="IntenseReference"/>
          <w:rFonts w:ascii="Times New Roman" w:hAnsi="Times New Roman"/>
          <w:b w:val="0"/>
          <w:bCs w:val="0"/>
          <w:smallCaps w:val="0"/>
          <w:color w:val="auto"/>
          <w:spacing w:val="0"/>
          <w:kern w:val="1"/>
          <w:sz w:val="24"/>
          <w:szCs w:val="24"/>
          <w:u w:val="none"/>
          <w:lang w:val="en-GB"/>
        </w:rPr>
        <w:t>IAEA, Vienna (2016).</w:t>
      </w:r>
    </w:p>
    <w:p w14:paraId="4EF1627A" w14:textId="77777777" w:rsidR="009F1D65" w:rsidRPr="000542DA" w:rsidRDefault="009F1D65" w:rsidP="00566711">
      <w:pPr>
        <w:pStyle w:val="IGALLReferences"/>
        <w:ind w:left="567" w:hanging="567"/>
        <w:rPr>
          <w:rStyle w:val="IntenseReference"/>
          <w:rFonts w:ascii="Times New Roman" w:hAnsi="Times New Roman"/>
          <w:b w:val="0"/>
          <w:bCs w:val="0"/>
          <w:smallCaps w:val="0"/>
          <w:color w:val="auto"/>
          <w:spacing w:val="0"/>
          <w:kern w:val="1"/>
          <w:sz w:val="24"/>
          <w:szCs w:val="24"/>
          <w:u w:val="none"/>
          <w:lang w:val="en-GB"/>
        </w:rPr>
      </w:pPr>
      <w:r w:rsidRPr="000542DA">
        <w:rPr>
          <w:rStyle w:val="IntenseReference"/>
          <w:rFonts w:ascii="Times New Roman" w:hAnsi="Times New Roman"/>
          <w:b w:val="0"/>
          <w:bCs w:val="0"/>
          <w:smallCaps w:val="0"/>
          <w:color w:val="auto"/>
          <w:spacing w:val="0"/>
          <w:kern w:val="1"/>
          <w:sz w:val="24"/>
          <w:szCs w:val="24"/>
          <w:u w:val="none"/>
          <w:lang w:val="en-GB"/>
        </w:rPr>
        <w:lastRenderedPageBreak/>
        <w:t xml:space="preserve">INTERNATIONAL ATOMIC ENERGY AGENCY, </w:t>
      </w:r>
      <w:r w:rsidR="00103052" w:rsidRPr="000542DA">
        <w:rPr>
          <w:rStyle w:val="IntenseReference"/>
          <w:rFonts w:ascii="Times New Roman" w:hAnsi="Times New Roman"/>
          <w:b w:val="0"/>
          <w:bCs w:val="0"/>
          <w:smallCaps w:val="0"/>
          <w:color w:val="auto"/>
          <w:spacing w:val="0"/>
          <w:kern w:val="1"/>
          <w:sz w:val="24"/>
          <w:szCs w:val="24"/>
          <w:u w:val="none"/>
          <w:lang w:val="en-GB"/>
        </w:rPr>
        <w:t>“</w:t>
      </w:r>
      <w:r w:rsidRPr="000542DA">
        <w:rPr>
          <w:rStyle w:val="IntenseReference"/>
          <w:rFonts w:ascii="Times New Roman" w:hAnsi="Times New Roman"/>
          <w:b w:val="0"/>
          <w:bCs w:val="0"/>
          <w:smallCaps w:val="0"/>
          <w:color w:val="auto"/>
          <w:spacing w:val="0"/>
          <w:kern w:val="1"/>
          <w:sz w:val="24"/>
          <w:szCs w:val="24"/>
          <w:u w:val="none"/>
          <w:lang w:val="en-GB"/>
        </w:rPr>
        <w:t>Ageing Management</w:t>
      </w:r>
      <w:r w:rsidR="00AE59D4" w:rsidRPr="000542DA">
        <w:rPr>
          <w:rStyle w:val="IntenseReference"/>
          <w:rFonts w:ascii="Times New Roman" w:hAnsi="Times New Roman"/>
          <w:b w:val="0"/>
          <w:bCs w:val="0"/>
          <w:smallCaps w:val="0"/>
          <w:color w:val="auto"/>
          <w:spacing w:val="0"/>
          <w:kern w:val="1"/>
          <w:sz w:val="24"/>
          <w:szCs w:val="24"/>
          <w:u w:val="none"/>
          <w:lang w:val="en-GB"/>
        </w:rPr>
        <w:t xml:space="preserve"> and Development of a Programme for Long Term Operation of </w:t>
      </w:r>
      <w:r w:rsidRPr="000542DA">
        <w:rPr>
          <w:rStyle w:val="IntenseReference"/>
          <w:rFonts w:ascii="Times New Roman" w:hAnsi="Times New Roman"/>
          <w:b w:val="0"/>
          <w:bCs w:val="0"/>
          <w:smallCaps w:val="0"/>
          <w:color w:val="auto"/>
          <w:spacing w:val="0"/>
          <w:kern w:val="1"/>
          <w:sz w:val="24"/>
          <w:szCs w:val="24"/>
          <w:u w:val="none"/>
          <w:lang w:val="en-GB"/>
        </w:rPr>
        <w:t>Nuclear Power Plants</w:t>
      </w:r>
      <w:r w:rsidR="00103052" w:rsidRPr="000542DA">
        <w:rPr>
          <w:rStyle w:val="IntenseReference"/>
          <w:rFonts w:ascii="Times New Roman" w:hAnsi="Times New Roman"/>
          <w:b w:val="0"/>
          <w:bCs w:val="0"/>
          <w:smallCaps w:val="0"/>
          <w:color w:val="auto"/>
          <w:spacing w:val="0"/>
          <w:kern w:val="1"/>
          <w:sz w:val="24"/>
          <w:szCs w:val="24"/>
          <w:u w:val="none"/>
          <w:lang w:val="en-GB"/>
        </w:rPr>
        <w:t>”</w:t>
      </w:r>
      <w:r w:rsidRPr="000542DA">
        <w:rPr>
          <w:rStyle w:val="IntenseReference"/>
          <w:rFonts w:ascii="Times New Roman" w:hAnsi="Times New Roman"/>
          <w:b w:val="0"/>
          <w:bCs w:val="0"/>
          <w:smallCaps w:val="0"/>
          <w:color w:val="auto"/>
          <w:spacing w:val="0"/>
          <w:kern w:val="1"/>
          <w:sz w:val="24"/>
          <w:szCs w:val="24"/>
          <w:u w:val="none"/>
          <w:lang w:val="en-GB"/>
        </w:rPr>
        <w:t xml:space="preserve">, </w:t>
      </w:r>
      <w:r w:rsidR="00AE59D4" w:rsidRPr="000542DA">
        <w:rPr>
          <w:rStyle w:val="IntenseReference"/>
          <w:rFonts w:ascii="Times New Roman" w:hAnsi="Times New Roman"/>
          <w:b w:val="0"/>
          <w:bCs w:val="0"/>
          <w:smallCaps w:val="0"/>
          <w:color w:val="auto"/>
          <w:spacing w:val="0"/>
          <w:kern w:val="1"/>
          <w:sz w:val="24"/>
          <w:szCs w:val="24"/>
          <w:u w:val="none"/>
          <w:lang w:val="en-GB"/>
        </w:rPr>
        <w:t xml:space="preserve">Specific </w:t>
      </w:r>
      <w:r w:rsidRPr="000542DA">
        <w:rPr>
          <w:rStyle w:val="IntenseReference"/>
          <w:rFonts w:ascii="Times New Roman" w:hAnsi="Times New Roman"/>
          <w:b w:val="0"/>
          <w:bCs w:val="0"/>
          <w:smallCaps w:val="0"/>
          <w:color w:val="auto"/>
          <w:spacing w:val="0"/>
          <w:kern w:val="1"/>
          <w:sz w:val="24"/>
          <w:szCs w:val="24"/>
          <w:u w:val="none"/>
          <w:lang w:val="en-GB"/>
        </w:rPr>
        <w:t xml:space="preserve">Safety Guide No. </w:t>
      </w:r>
      <w:r w:rsidR="00AE59D4" w:rsidRPr="000542DA">
        <w:rPr>
          <w:rStyle w:val="IntenseReference"/>
          <w:rFonts w:ascii="Times New Roman" w:hAnsi="Times New Roman"/>
          <w:b w:val="0"/>
          <w:bCs w:val="0"/>
          <w:smallCaps w:val="0"/>
          <w:color w:val="auto"/>
          <w:spacing w:val="0"/>
          <w:kern w:val="1"/>
          <w:sz w:val="24"/>
          <w:szCs w:val="24"/>
          <w:u w:val="none"/>
          <w:lang w:val="en-GB"/>
        </w:rPr>
        <w:t>SS</w:t>
      </w:r>
      <w:r w:rsidRPr="000542DA">
        <w:rPr>
          <w:rStyle w:val="IntenseReference"/>
          <w:rFonts w:ascii="Times New Roman" w:hAnsi="Times New Roman"/>
          <w:b w:val="0"/>
          <w:bCs w:val="0"/>
          <w:smallCaps w:val="0"/>
          <w:color w:val="auto"/>
          <w:spacing w:val="0"/>
          <w:kern w:val="1"/>
          <w:sz w:val="24"/>
          <w:szCs w:val="24"/>
          <w:u w:val="none"/>
          <w:lang w:val="en-GB"/>
        </w:rPr>
        <w:t>G-</w:t>
      </w:r>
      <w:r w:rsidR="00AE59D4" w:rsidRPr="000542DA">
        <w:rPr>
          <w:rStyle w:val="IntenseReference"/>
          <w:rFonts w:ascii="Times New Roman" w:hAnsi="Times New Roman"/>
          <w:b w:val="0"/>
          <w:bCs w:val="0"/>
          <w:smallCaps w:val="0"/>
          <w:color w:val="auto"/>
          <w:spacing w:val="0"/>
          <w:kern w:val="1"/>
          <w:sz w:val="24"/>
          <w:szCs w:val="24"/>
          <w:u w:val="none"/>
          <w:lang w:val="en-GB"/>
        </w:rPr>
        <w:t>48</w:t>
      </w:r>
      <w:r w:rsidRPr="000542DA">
        <w:rPr>
          <w:rStyle w:val="IntenseReference"/>
          <w:rFonts w:ascii="Times New Roman" w:hAnsi="Times New Roman"/>
          <w:b w:val="0"/>
          <w:bCs w:val="0"/>
          <w:smallCaps w:val="0"/>
          <w:color w:val="auto"/>
          <w:spacing w:val="0"/>
          <w:kern w:val="1"/>
          <w:sz w:val="24"/>
          <w:szCs w:val="24"/>
          <w:u w:val="none"/>
          <w:lang w:val="en-GB"/>
        </w:rPr>
        <w:t>, IAEA, Vienna</w:t>
      </w:r>
      <w:r w:rsidR="00103052" w:rsidRPr="000542DA">
        <w:rPr>
          <w:rStyle w:val="IntenseReference"/>
          <w:rFonts w:ascii="Times New Roman" w:hAnsi="Times New Roman"/>
          <w:b w:val="0"/>
          <w:bCs w:val="0"/>
          <w:smallCaps w:val="0"/>
          <w:color w:val="auto"/>
          <w:spacing w:val="0"/>
          <w:kern w:val="1"/>
          <w:sz w:val="24"/>
          <w:szCs w:val="24"/>
          <w:u w:val="none"/>
          <w:lang w:val="en-GB"/>
        </w:rPr>
        <w:t>, 2018</w:t>
      </w:r>
      <w:r w:rsidRPr="000542DA">
        <w:rPr>
          <w:rStyle w:val="IntenseReference"/>
          <w:rFonts w:ascii="Times New Roman" w:hAnsi="Times New Roman"/>
          <w:b w:val="0"/>
          <w:bCs w:val="0"/>
          <w:smallCaps w:val="0"/>
          <w:color w:val="auto"/>
          <w:spacing w:val="0"/>
          <w:kern w:val="1"/>
          <w:sz w:val="24"/>
          <w:szCs w:val="24"/>
          <w:u w:val="none"/>
          <w:lang w:val="en-GB"/>
        </w:rPr>
        <w:t>.</w:t>
      </w:r>
    </w:p>
    <w:p w14:paraId="1D5BB9FD" w14:textId="77777777" w:rsidR="009F1D65" w:rsidRPr="000542DA" w:rsidRDefault="009F1D65" w:rsidP="00566711">
      <w:pPr>
        <w:pStyle w:val="IGALLReferences"/>
        <w:ind w:left="567" w:hanging="567"/>
        <w:rPr>
          <w:rStyle w:val="IntenseReference"/>
          <w:rFonts w:ascii="Times New Roman" w:hAnsi="Times New Roman"/>
          <w:b w:val="0"/>
          <w:bCs w:val="0"/>
          <w:smallCaps w:val="0"/>
          <w:color w:val="auto"/>
          <w:spacing w:val="0"/>
          <w:kern w:val="1"/>
          <w:sz w:val="24"/>
          <w:szCs w:val="24"/>
          <w:u w:val="none"/>
          <w:lang w:val="en-GB"/>
        </w:rPr>
      </w:pPr>
      <w:r w:rsidRPr="000542DA">
        <w:rPr>
          <w:rStyle w:val="IntenseReference"/>
          <w:rFonts w:ascii="Times New Roman" w:hAnsi="Times New Roman"/>
          <w:b w:val="0"/>
          <w:bCs w:val="0"/>
          <w:smallCaps w:val="0"/>
          <w:color w:val="auto"/>
          <w:spacing w:val="0"/>
          <w:kern w:val="1"/>
          <w:sz w:val="24"/>
          <w:szCs w:val="24"/>
          <w:u w:val="none"/>
          <w:lang w:val="en-GB"/>
        </w:rPr>
        <w:t xml:space="preserve">INTERNATIONAL ATOMIC ENERGY AGENCY, </w:t>
      </w:r>
      <w:r w:rsidR="00103052" w:rsidRPr="000542DA">
        <w:rPr>
          <w:rStyle w:val="IntenseReference"/>
          <w:rFonts w:ascii="Times New Roman" w:hAnsi="Times New Roman"/>
          <w:b w:val="0"/>
          <w:bCs w:val="0"/>
          <w:smallCaps w:val="0"/>
          <w:color w:val="auto"/>
          <w:spacing w:val="0"/>
          <w:kern w:val="1"/>
          <w:sz w:val="24"/>
          <w:szCs w:val="24"/>
          <w:u w:val="none"/>
          <w:lang w:val="en-GB"/>
        </w:rPr>
        <w:t>“</w:t>
      </w:r>
      <w:r w:rsidRPr="000542DA">
        <w:rPr>
          <w:rStyle w:val="IntenseReference"/>
          <w:rFonts w:ascii="Times New Roman" w:hAnsi="Times New Roman"/>
          <w:b w:val="0"/>
          <w:bCs w:val="0"/>
          <w:smallCaps w:val="0"/>
          <w:color w:val="auto"/>
          <w:spacing w:val="0"/>
          <w:kern w:val="1"/>
          <w:sz w:val="24"/>
          <w:szCs w:val="24"/>
          <w:u w:val="none"/>
          <w:lang w:val="en-GB"/>
        </w:rPr>
        <w:t>Equipment Qualification in Operational Nuclear Power Plants: Upgrading, Preserving, and Reviewing</w:t>
      </w:r>
      <w:r w:rsidR="00103052" w:rsidRPr="000542DA">
        <w:rPr>
          <w:rStyle w:val="IntenseReference"/>
          <w:rFonts w:ascii="Times New Roman" w:hAnsi="Times New Roman"/>
          <w:b w:val="0"/>
          <w:bCs w:val="0"/>
          <w:smallCaps w:val="0"/>
          <w:color w:val="auto"/>
          <w:spacing w:val="0"/>
          <w:kern w:val="1"/>
          <w:sz w:val="24"/>
          <w:szCs w:val="24"/>
          <w:u w:val="none"/>
          <w:lang w:val="en-GB"/>
        </w:rPr>
        <w:t>”</w:t>
      </w:r>
      <w:r w:rsidRPr="000542DA">
        <w:rPr>
          <w:rStyle w:val="IntenseReference"/>
          <w:rFonts w:ascii="Times New Roman" w:hAnsi="Times New Roman"/>
          <w:b w:val="0"/>
          <w:bCs w:val="0"/>
          <w:smallCaps w:val="0"/>
          <w:color w:val="auto"/>
          <w:spacing w:val="0"/>
          <w:kern w:val="1"/>
          <w:sz w:val="24"/>
          <w:szCs w:val="24"/>
          <w:u w:val="none"/>
          <w:lang w:val="en-GB"/>
        </w:rPr>
        <w:t>, Safety Report Series No.3, IAEA, Vienna</w:t>
      </w:r>
      <w:r w:rsidR="00103052" w:rsidRPr="000542DA">
        <w:rPr>
          <w:rStyle w:val="IntenseReference"/>
          <w:rFonts w:ascii="Times New Roman" w:hAnsi="Times New Roman"/>
          <w:b w:val="0"/>
          <w:bCs w:val="0"/>
          <w:smallCaps w:val="0"/>
          <w:color w:val="auto"/>
          <w:spacing w:val="0"/>
          <w:kern w:val="1"/>
          <w:sz w:val="24"/>
          <w:szCs w:val="24"/>
          <w:u w:val="none"/>
          <w:lang w:val="en-GB"/>
        </w:rPr>
        <w:t>, 1998</w:t>
      </w:r>
      <w:r w:rsidRPr="000542DA">
        <w:rPr>
          <w:rStyle w:val="IntenseReference"/>
          <w:rFonts w:ascii="Times New Roman" w:hAnsi="Times New Roman"/>
          <w:b w:val="0"/>
          <w:bCs w:val="0"/>
          <w:smallCaps w:val="0"/>
          <w:color w:val="auto"/>
          <w:spacing w:val="0"/>
          <w:kern w:val="1"/>
          <w:sz w:val="24"/>
          <w:szCs w:val="24"/>
          <w:u w:val="none"/>
          <w:lang w:val="en-GB"/>
        </w:rPr>
        <w:t>.</w:t>
      </w:r>
    </w:p>
    <w:p w14:paraId="62FAE651" w14:textId="77777777" w:rsidR="00C8396E" w:rsidRPr="000542DA" w:rsidRDefault="00C8396E" w:rsidP="00566711">
      <w:pPr>
        <w:pStyle w:val="IGALLReferences"/>
        <w:ind w:left="567" w:hanging="567"/>
        <w:rPr>
          <w:rStyle w:val="IntenseReference"/>
          <w:rFonts w:ascii="Times New Roman" w:hAnsi="Times New Roman"/>
          <w:b w:val="0"/>
          <w:bCs w:val="0"/>
          <w:smallCaps w:val="0"/>
          <w:color w:val="auto"/>
          <w:spacing w:val="0"/>
          <w:kern w:val="1"/>
          <w:sz w:val="24"/>
          <w:szCs w:val="24"/>
          <w:u w:val="none"/>
          <w:lang w:val="en-GB"/>
        </w:rPr>
      </w:pPr>
      <w:bookmarkStart w:id="3" w:name="_Ref353551332"/>
      <w:r w:rsidRPr="000542DA">
        <w:rPr>
          <w:rFonts w:ascii="Times New Roman" w:eastAsia="Arial Unicode MS" w:hAnsi="Times New Roman"/>
          <w:kern w:val="1"/>
          <w:sz w:val="24"/>
          <w:szCs w:val="24"/>
          <w:lang w:val="en-GB"/>
        </w:rPr>
        <w:t>French Association for design, construction and in-service inspection rules for nuclear island components (AFCEN)</w:t>
      </w:r>
      <w:r w:rsidR="00103052" w:rsidRPr="000542DA">
        <w:rPr>
          <w:rFonts w:ascii="Times New Roman" w:eastAsia="Arial Unicode MS" w:hAnsi="Times New Roman"/>
          <w:kern w:val="1"/>
          <w:sz w:val="24"/>
          <w:szCs w:val="24"/>
          <w:lang w:val="en-GB"/>
        </w:rPr>
        <w:t>, “</w:t>
      </w:r>
      <w:r w:rsidRPr="000542DA">
        <w:rPr>
          <w:rFonts w:ascii="Times New Roman" w:eastAsia="Arial Unicode MS" w:hAnsi="Times New Roman"/>
          <w:kern w:val="1"/>
          <w:sz w:val="24"/>
          <w:szCs w:val="24"/>
          <w:lang w:val="en-GB"/>
        </w:rPr>
        <w:t xml:space="preserve">RCC-E: Design and construction rules for electrical equipment of nuclear islands – January </w:t>
      </w:r>
      <w:r w:rsidR="00CC04C6" w:rsidRPr="000542DA">
        <w:rPr>
          <w:rFonts w:ascii="Times New Roman" w:eastAsia="Arial Unicode MS" w:hAnsi="Times New Roman"/>
          <w:kern w:val="1"/>
          <w:sz w:val="24"/>
          <w:szCs w:val="24"/>
          <w:lang w:val="en-GB"/>
        </w:rPr>
        <w:t xml:space="preserve">2016 </w:t>
      </w:r>
      <w:r w:rsidRPr="000542DA">
        <w:rPr>
          <w:rFonts w:ascii="Times New Roman" w:eastAsia="Arial Unicode MS" w:hAnsi="Times New Roman"/>
          <w:kern w:val="1"/>
          <w:sz w:val="24"/>
          <w:szCs w:val="24"/>
          <w:lang w:val="en-GB"/>
        </w:rPr>
        <w:t>Edition</w:t>
      </w:r>
      <w:bookmarkEnd w:id="3"/>
      <w:r w:rsidR="00103052" w:rsidRPr="000542DA">
        <w:rPr>
          <w:rFonts w:ascii="Times New Roman" w:eastAsia="Arial Unicode MS" w:hAnsi="Times New Roman"/>
          <w:kern w:val="1"/>
          <w:sz w:val="24"/>
          <w:szCs w:val="24"/>
          <w:lang w:val="en-GB"/>
        </w:rPr>
        <w:t>”, 2016.</w:t>
      </w:r>
    </w:p>
    <w:p w14:paraId="4E628F3C" w14:textId="77777777" w:rsidR="00C8396E" w:rsidRPr="00D54E87" w:rsidRDefault="008936F0" w:rsidP="00566711">
      <w:pPr>
        <w:pStyle w:val="IGALLReferences"/>
        <w:ind w:left="567" w:hanging="567"/>
        <w:rPr>
          <w:rFonts w:ascii="Times New Roman" w:hAnsi="Times New Roman"/>
          <w:kern w:val="1"/>
          <w:sz w:val="24"/>
          <w:szCs w:val="24"/>
          <w:lang w:val="de-DE"/>
        </w:rPr>
      </w:pPr>
      <w:bookmarkStart w:id="4" w:name="_Ref353551337"/>
      <w:r w:rsidRPr="00D54E87">
        <w:rPr>
          <w:rFonts w:ascii="Times New Roman" w:hAnsi="Times New Roman"/>
          <w:sz w:val="24"/>
          <w:szCs w:val="24"/>
          <w:lang w:val="de-DE"/>
        </w:rPr>
        <w:t xml:space="preserve">KERNTECHNISCHER AUSSCHUSS, </w:t>
      </w:r>
      <w:r w:rsidR="00103052" w:rsidRPr="00D54E87">
        <w:rPr>
          <w:rFonts w:ascii="Times New Roman" w:eastAsia="Arial Unicode MS" w:hAnsi="Times New Roman"/>
          <w:kern w:val="1"/>
          <w:sz w:val="24"/>
          <w:szCs w:val="24"/>
          <w:lang w:val="de-DE"/>
        </w:rPr>
        <w:t>“</w:t>
      </w:r>
      <w:proofErr w:type="spellStart"/>
      <w:r w:rsidRPr="00D54E87">
        <w:rPr>
          <w:rFonts w:ascii="Times New Roman" w:hAnsi="Times New Roman"/>
          <w:sz w:val="24"/>
          <w:szCs w:val="24"/>
          <w:lang w:val="de-DE"/>
        </w:rPr>
        <w:t>Ageing</w:t>
      </w:r>
      <w:proofErr w:type="spellEnd"/>
      <w:r w:rsidRPr="00D54E87">
        <w:rPr>
          <w:rFonts w:ascii="Times New Roman" w:hAnsi="Times New Roman"/>
          <w:sz w:val="24"/>
          <w:szCs w:val="24"/>
          <w:lang w:val="de-DE"/>
        </w:rPr>
        <w:t xml:space="preserve"> Management in Nuclear Power </w:t>
      </w:r>
      <w:proofErr w:type="spellStart"/>
      <w:r w:rsidRPr="00D54E87">
        <w:rPr>
          <w:rFonts w:ascii="Times New Roman" w:hAnsi="Times New Roman"/>
          <w:sz w:val="24"/>
          <w:szCs w:val="24"/>
          <w:lang w:val="de-DE"/>
        </w:rPr>
        <w:t>Plants</w:t>
      </w:r>
      <w:proofErr w:type="spellEnd"/>
      <w:r w:rsidR="00103052" w:rsidRPr="00D54E87">
        <w:rPr>
          <w:rFonts w:ascii="Times New Roman" w:eastAsia="Arial Unicode MS" w:hAnsi="Times New Roman"/>
          <w:kern w:val="1"/>
          <w:sz w:val="24"/>
          <w:szCs w:val="24"/>
          <w:lang w:val="de-DE"/>
        </w:rPr>
        <w:t>”</w:t>
      </w:r>
      <w:r w:rsidRPr="00D54E87">
        <w:rPr>
          <w:rFonts w:ascii="Times New Roman" w:hAnsi="Times New Roman"/>
          <w:sz w:val="24"/>
          <w:szCs w:val="24"/>
          <w:lang w:val="de-DE"/>
        </w:rPr>
        <w:t>, KTA 1403, Germany,</w:t>
      </w:r>
      <w:r w:rsidR="00390293" w:rsidRPr="00D54E87">
        <w:rPr>
          <w:rFonts w:ascii="Times New Roman" w:hAnsi="Times New Roman"/>
          <w:sz w:val="24"/>
          <w:szCs w:val="24"/>
          <w:lang w:val="de-DE"/>
        </w:rPr>
        <w:t xml:space="preserve"> </w:t>
      </w:r>
      <w:r w:rsidRPr="00D54E87">
        <w:rPr>
          <w:rFonts w:ascii="Times New Roman" w:hAnsi="Times New Roman"/>
          <w:sz w:val="24"/>
          <w:szCs w:val="24"/>
          <w:lang w:val="de-DE"/>
        </w:rPr>
        <w:t>November 2010</w:t>
      </w:r>
      <w:bookmarkEnd w:id="4"/>
      <w:r w:rsidRPr="00D54E87">
        <w:rPr>
          <w:rFonts w:ascii="Times New Roman" w:hAnsi="Times New Roman"/>
          <w:sz w:val="24"/>
          <w:szCs w:val="24"/>
          <w:lang w:val="de-DE"/>
        </w:rPr>
        <w:t>.</w:t>
      </w:r>
    </w:p>
    <w:p w14:paraId="361DDA86" w14:textId="77777777" w:rsidR="00581C32" w:rsidRPr="000542DA" w:rsidRDefault="00581C32" w:rsidP="00566711">
      <w:pPr>
        <w:pStyle w:val="IGALLReferences"/>
        <w:ind w:left="567" w:hanging="567"/>
        <w:rPr>
          <w:rFonts w:ascii="Times New Roman" w:hAnsi="Times New Roman"/>
          <w:kern w:val="1"/>
          <w:sz w:val="24"/>
          <w:szCs w:val="24"/>
          <w:lang w:val="en-GB"/>
        </w:rPr>
      </w:pPr>
      <w:bookmarkStart w:id="5" w:name="_Ref5817953"/>
      <w:r w:rsidRPr="000542DA">
        <w:rPr>
          <w:rFonts w:ascii="Times New Roman" w:hAnsi="Times New Roman"/>
          <w:sz w:val="24"/>
          <w:szCs w:val="24"/>
          <w:lang w:val="en-GB"/>
        </w:rPr>
        <w:t xml:space="preserve">KERNTECHNISCHER AUSSCHUSS, </w:t>
      </w:r>
      <w:r w:rsidR="00103052" w:rsidRPr="000542DA">
        <w:rPr>
          <w:rFonts w:ascii="Times New Roman" w:hAnsi="Times New Roman"/>
          <w:sz w:val="24"/>
          <w:szCs w:val="24"/>
          <w:lang w:val="en-GB"/>
        </w:rPr>
        <w:t>“</w:t>
      </w:r>
      <w:r w:rsidRPr="000542DA">
        <w:rPr>
          <w:rFonts w:ascii="Times New Roman" w:hAnsi="Times New Roman"/>
          <w:sz w:val="24"/>
          <w:szCs w:val="24"/>
          <w:lang w:val="en-GB"/>
        </w:rPr>
        <w:t>Ensuring the Loss-of-Coolant-Accident Resistance of Electrotechnical Components and of Components in the Instrumentation and Controls of Operating Nuclear Power Plants</w:t>
      </w:r>
      <w:r w:rsidR="00103052" w:rsidRPr="000542DA">
        <w:rPr>
          <w:rFonts w:ascii="Times New Roman" w:hAnsi="Times New Roman"/>
          <w:sz w:val="24"/>
          <w:szCs w:val="24"/>
          <w:lang w:val="en-GB"/>
        </w:rPr>
        <w:t>”</w:t>
      </w:r>
      <w:r w:rsidRPr="000542DA">
        <w:rPr>
          <w:rFonts w:ascii="Times New Roman" w:hAnsi="Times New Roman"/>
          <w:sz w:val="24"/>
          <w:szCs w:val="24"/>
          <w:lang w:val="en-GB"/>
        </w:rPr>
        <w:t xml:space="preserve"> KTA 3706, Germany</w:t>
      </w:r>
      <w:r w:rsidR="00103052" w:rsidRPr="000542DA">
        <w:rPr>
          <w:rFonts w:ascii="Times New Roman" w:hAnsi="Times New Roman"/>
          <w:sz w:val="24"/>
          <w:szCs w:val="24"/>
          <w:lang w:val="en-GB"/>
        </w:rPr>
        <w:t>,</w:t>
      </w:r>
      <w:r w:rsidRPr="000542DA">
        <w:rPr>
          <w:rFonts w:ascii="Times New Roman" w:hAnsi="Times New Roman"/>
          <w:sz w:val="24"/>
          <w:szCs w:val="24"/>
          <w:lang w:val="en-GB"/>
        </w:rPr>
        <w:t xml:space="preserve"> June 2000.</w:t>
      </w:r>
      <w:bookmarkEnd w:id="5"/>
    </w:p>
    <w:p w14:paraId="32550579" w14:textId="77777777" w:rsidR="009F1D65" w:rsidRPr="000542DA" w:rsidRDefault="00FE258A" w:rsidP="00566711">
      <w:pPr>
        <w:pStyle w:val="IGALLReferences"/>
        <w:ind w:left="567" w:hanging="567"/>
        <w:rPr>
          <w:rStyle w:val="IntenseReference"/>
          <w:rFonts w:ascii="Times New Roman" w:hAnsi="Times New Roman"/>
          <w:b w:val="0"/>
          <w:bCs w:val="0"/>
          <w:smallCaps w:val="0"/>
          <w:color w:val="auto"/>
          <w:spacing w:val="0"/>
          <w:kern w:val="1"/>
          <w:sz w:val="24"/>
          <w:szCs w:val="24"/>
          <w:u w:val="none"/>
          <w:lang w:val="en-GB"/>
        </w:rPr>
      </w:pPr>
      <w:r w:rsidRPr="000542DA">
        <w:rPr>
          <w:rStyle w:val="IntenseReference"/>
          <w:rFonts w:ascii="Times New Roman" w:hAnsi="Times New Roman"/>
          <w:b w:val="0"/>
          <w:bCs w:val="0"/>
          <w:smallCaps w:val="0"/>
          <w:color w:val="auto"/>
          <w:spacing w:val="0"/>
          <w:kern w:val="1"/>
          <w:sz w:val="24"/>
          <w:szCs w:val="24"/>
          <w:u w:val="none"/>
          <w:lang w:val="en-GB"/>
        </w:rPr>
        <w:t xml:space="preserve">INTERNATIONAL ATOMIC ENERGY AGENCY, </w:t>
      </w:r>
      <w:r w:rsidR="00103052" w:rsidRPr="000542DA">
        <w:rPr>
          <w:rStyle w:val="IntenseReference"/>
          <w:rFonts w:ascii="Times New Roman" w:hAnsi="Times New Roman"/>
          <w:b w:val="0"/>
          <w:bCs w:val="0"/>
          <w:smallCaps w:val="0"/>
          <w:color w:val="auto"/>
          <w:spacing w:val="0"/>
          <w:kern w:val="1"/>
          <w:sz w:val="24"/>
          <w:szCs w:val="24"/>
          <w:u w:val="none"/>
          <w:lang w:val="en-GB"/>
        </w:rPr>
        <w:t>“</w:t>
      </w:r>
      <w:r w:rsidRPr="000542DA">
        <w:rPr>
          <w:rStyle w:val="IntenseReference"/>
          <w:rFonts w:ascii="Times New Roman" w:hAnsi="Times New Roman"/>
          <w:b w:val="0"/>
          <w:bCs w:val="0"/>
          <w:smallCaps w:val="0"/>
          <w:color w:val="auto"/>
          <w:spacing w:val="0"/>
          <w:kern w:val="1"/>
          <w:sz w:val="24"/>
          <w:szCs w:val="24"/>
          <w:u w:val="none"/>
          <w:lang w:val="en-GB"/>
        </w:rPr>
        <w:t>IAEA Safety Glossary</w:t>
      </w:r>
      <w:r w:rsidR="00E4499B">
        <w:rPr>
          <w:rStyle w:val="IntenseReference"/>
          <w:rFonts w:ascii="Times New Roman" w:hAnsi="Times New Roman"/>
          <w:b w:val="0"/>
          <w:bCs w:val="0"/>
          <w:smallCaps w:val="0"/>
          <w:color w:val="auto"/>
          <w:spacing w:val="0"/>
          <w:kern w:val="1"/>
          <w:sz w:val="24"/>
          <w:szCs w:val="24"/>
          <w:u w:val="none"/>
          <w:lang w:val="en-GB"/>
        </w:rPr>
        <w:t xml:space="preserve"> </w:t>
      </w:r>
      <w:r w:rsidRPr="000542DA">
        <w:rPr>
          <w:rStyle w:val="IntenseReference"/>
          <w:rFonts w:ascii="Times New Roman" w:hAnsi="Times New Roman"/>
          <w:b w:val="0"/>
          <w:bCs w:val="0"/>
          <w:smallCaps w:val="0"/>
          <w:color w:val="auto"/>
          <w:spacing w:val="0"/>
          <w:kern w:val="1"/>
          <w:sz w:val="24"/>
          <w:szCs w:val="24"/>
          <w:u w:val="none"/>
          <w:lang w:val="en-GB"/>
        </w:rPr>
        <w:t>Terminology Used in Nuclear Safety and Radiation Protection 20</w:t>
      </w:r>
      <w:r w:rsidR="00E4499B">
        <w:rPr>
          <w:rStyle w:val="IntenseReference"/>
          <w:rFonts w:ascii="Times New Roman" w:hAnsi="Times New Roman"/>
          <w:b w:val="0"/>
          <w:bCs w:val="0"/>
          <w:smallCaps w:val="0"/>
          <w:color w:val="auto"/>
          <w:spacing w:val="0"/>
          <w:kern w:val="1"/>
          <w:sz w:val="24"/>
          <w:szCs w:val="24"/>
          <w:u w:val="none"/>
          <w:lang w:val="en-GB"/>
        </w:rPr>
        <w:t>18</w:t>
      </w:r>
      <w:r w:rsidRPr="000542DA">
        <w:rPr>
          <w:rStyle w:val="IntenseReference"/>
          <w:rFonts w:ascii="Times New Roman" w:hAnsi="Times New Roman"/>
          <w:b w:val="0"/>
          <w:bCs w:val="0"/>
          <w:smallCaps w:val="0"/>
          <w:color w:val="auto"/>
          <w:spacing w:val="0"/>
          <w:kern w:val="1"/>
          <w:sz w:val="24"/>
          <w:szCs w:val="24"/>
          <w:u w:val="none"/>
          <w:lang w:val="en-GB"/>
        </w:rPr>
        <w:t xml:space="preserve"> Edition</w:t>
      </w:r>
      <w:r w:rsidR="00103052" w:rsidRPr="000542DA">
        <w:rPr>
          <w:rStyle w:val="IntenseReference"/>
          <w:rFonts w:ascii="Times New Roman" w:hAnsi="Times New Roman"/>
          <w:b w:val="0"/>
          <w:bCs w:val="0"/>
          <w:smallCaps w:val="0"/>
          <w:color w:val="auto"/>
          <w:spacing w:val="0"/>
          <w:kern w:val="1"/>
          <w:sz w:val="24"/>
          <w:szCs w:val="24"/>
          <w:u w:val="none"/>
          <w:lang w:val="en-GB"/>
        </w:rPr>
        <w:t>”</w:t>
      </w:r>
      <w:r w:rsidRPr="000542DA">
        <w:rPr>
          <w:rStyle w:val="IntenseReference"/>
          <w:rFonts w:ascii="Times New Roman" w:hAnsi="Times New Roman"/>
          <w:b w:val="0"/>
          <w:bCs w:val="0"/>
          <w:smallCaps w:val="0"/>
          <w:color w:val="auto"/>
          <w:spacing w:val="0"/>
          <w:kern w:val="1"/>
          <w:sz w:val="24"/>
          <w:szCs w:val="24"/>
          <w:u w:val="none"/>
          <w:lang w:val="en-GB"/>
        </w:rPr>
        <w:t>, IAEA, Vienna, 20</w:t>
      </w:r>
      <w:r w:rsidR="00E4499B">
        <w:rPr>
          <w:rStyle w:val="IntenseReference"/>
          <w:rFonts w:ascii="Times New Roman" w:hAnsi="Times New Roman"/>
          <w:b w:val="0"/>
          <w:bCs w:val="0"/>
          <w:smallCaps w:val="0"/>
          <w:color w:val="auto"/>
          <w:spacing w:val="0"/>
          <w:kern w:val="1"/>
          <w:sz w:val="24"/>
          <w:szCs w:val="24"/>
          <w:u w:val="none"/>
          <w:lang w:val="en-GB"/>
        </w:rPr>
        <w:t>18</w:t>
      </w:r>
      <w:r w:rsidRPr="000542DA">
        <w:rPr>
          <w:rStyle w:val="IntenseReference"/>
          <w:rFonts w:ascii="Times New Roman" w:hAnsi="Times New Roman"/>
          <w:b w:val="0"/>
          <w:bCs w:val="0"/>
          <w:smallCaps w:val="0"/>
          <w:color w:val="auto"/>
          <w:spacing w:val="0"/>
          <w:kern w:val="1"/>
          <w:sz w:val="24"/>
          <w:szCs w:val="24"/>
          <w:u w:val="none"/>
          <w:lang w:val="en-GB"/>
        </w:rPr>
        <w:t>.</w:t>
      </w:r>
    </w:p>
    <w:p w14:paraId="02BFAEAE" w14:textId="77777777" w:rsidR="009F1D65" w:rsidRPr="000542DA" w:rsidRDefault="009F1D65" w:rsidP="00566711">
      <w:pPr>
        <w:pStyle w:val="IGALLReferences"/>
        <w:ind w:left="567" w:hanging="567"/>
        <w:rPr>
          <w:rStyle w:val="IntenseReference"/>
          <w:rFonts w:ascii="Times New Roman" w:hAnsi="Times New Roman"/>
          <w:b w:val="0"/>
          <w:bCs w:val="0"/>
          <w:smallCaps w:val="0"/>
          <w:color w:val="auto"/>
          <w:spacing w:val="0"/>
          <w:kern w:val="1"/>
          <w:sz w:val="24"/>
          <w:szCs w:val="24"/>
          <w:u w:val="none"/>
          <w:lang w:val="en-GB"/>
        </w:rPr>
      </w:pPr>
      <w:r w:rsidRPr="000542DA">
        <w:rPr>
          <w:rStyle w:val="IntenseReference"/>
          <w:rFonts w:ascii="Times New Roman" w:hAnsi="Times New Roman"/>
          <w:b w:val="0"/>
          <w:bCs w:val="0"/>
          <w:smallCaps w:val="0"/>
          <w:color w:val="auto"/>
          <w:spacing w:val="0"/>
          <w:kern w:val="1"/>
          <w:sz w:val="24"/>
          <w:szCs w:val="24"/>
          <w:u w:val="none"/>
          <w:lang w:val="en-GB"/>
        </w:rPr>
        <w:t xml:space="preserve">UNITED STATES NUCLEAR REGULATORY COMMISSION, </w:t>
      </w:r>
      <w:r w:rsidR="00103052" w:rsidRPr="000542DA">
        <w:rPr>
          <w:rStyle w:val="IntenseReference"/>
          <w:rFonts w:ascii="Times New Roman" w:hAnsi="Times New Roman"/>
          <w:b w:val="0"/>
          <w:bCs w:val="0"/>
          <w:smallCaps w:val="0"/>
          <w:color w:val="auto"/>
          <w:spacing w:val="0"/>
          <w:kern w:val="1"/>
          <w:sz w:val="24"/>
          <w:szCs w:val="24"/>
          <w:u w:val="none"/>
          <w:lang w:val="en-GB"/>
        </w:rPr>
        <w:t>“</w:t>
      </w:r>
      <w:r w:rsidRPr="000542DA">
        <w:rPr>
          <w:rStyle w:val="IntenseReference"/>
          <w:rFonts w:ascii="Times New Roman" w:hAnsi="Times New Roman"/>
          <w:b w:val="0"/>
          <w:bCs w:val="0"/>
          <w:smallCaps w:val="0"/>
          <w:color w:val="auto"/>
          <w:spacing w:val="0"/>
          <w:kern w:val="1"/>
          <w:sz w:val="24"/>
          <w:szCs w:val="24"/>
          <w:u w:val="none"/>
          <w:lang w:val="en-GB"/>
        </w:rPr>
        <w:t>Environmental Qualification of Electric Equipment</w:t>
      </w:r>
      <w:r w:rsidR="00103052" w:rsidRPr="000542DA">
        <w:rPr>
          <w:rStyle w:val="IntenseReference"/>
          <w:rFonts w:ascii="Times New Roman" w:hAnsi="Times New Roman"/>
          <w:b w:val="0"/>
          <w:bCs w:val="0"/>
          <w:smallCaps w:val="0"/>
          <w:color w:val="auto"/>
          <w:spacing w:val="0"/>
          <w:kern w:val="1"/>
          <w:sz w:val="24"/>
          <w:szCs w:val="24"/>
          <w:u w:val="none"/>
          <w:lang w:val="en-GB"/>
        </w:rPr>
        <w:t>”</w:t>
      </w:r>
      <w:r w:rsidRPr="000542DA">
        <w:rPr>
          <w:rStyle w:val="IntenseReference"/>
          <w:rFonts w:ascii="Times New Roman" w:hAnsi="Times New Roman"/>
          <w:b w:val="0"/>
          <w:bCs w:val="0"/>
          <w:smallCaps w:val="0"/>
          <w:color w:val="auto"/>
          <w:spacing w:val="0"/>
          <w:kern w:val="1"/>
          <w:sz w:val="24"/>
          <w:szCs w:val="24"/>
          <w:u w:val="none"/>
          <w:lang w:val="en-GB"/>
        </w:rPr>
        <w:t>, NUREG 2191 Vol. 2 Chapter X.</w:t>
      </w:r>
      <w:r w:rsidR="00004ECD" w:rsidRPr="000542DA">
        <w:rPr>
          <w:rStyle w:val="IntenseReference"/>
          <w:rFonts w:ascii="Times New Roman" w:hAnsi="Times New Roman"/>
          <w:b w:val="0"/>
          <w:bCs w:val="0"/>
          <w:smallCaps w:val="0"/>
          <w:color w:val="auto"/>
          <w:spacing w:val="0"/>
          <w:kern w:val="1"/>
          <w:sz w:val="24"/>
          <w:szCs w:val="24"/>
          <w:u w:val="none"/>
          <w:lang w:val="en-GB"/>
        </w:rPr>
        <w:t xml:space="preserve"> </w:t>
      </w:r>
      <w:r w:rsidRPr="000542DA">
        <w:rPr>
          <w:rStyle w:val="IntenseReference"/>
          <w:rFonts w:ascii="Times New Roman" w:hAnsi="Times New Roman"/>
          <w:b w:val="0"/>
          <w:bCs w:val="0"/>
          <w:smallCaps w:val="0"/>
          <w:color w:val="auto"/>
          <w:spacing w:val="0"/>
          <w:kern w:val="1"/>
          <w:sz w:val="24"/>
          <w:szCs w:val="24"/>
          <w:u w:val="none"/>
          <w:lang w:val="en-GB"/>
        </w:rPr>
        <w:t>E1, USNRC, July 2017.</w:t>
      </w:r>
    </w:p>
    <w:p w14:paraId="0E9CF3C6" w14:textId="77777777" w:rsidR="00406A87" w:rsidRPr="000542DA" w:rsidRDefault="00666B4B" w:rsidP="00566711">
      <w:pPr>
        <w:pStyle w:val="IGALLReferences"/>
        <w:ind w:left="567" w:hanging="567"/>
        <w:rPr>
          <w:rStyle w:val="IntenseReference"/>
          <w:rFonts w:ascii="Times New Roman" w:hAnsi="Times New Roman"/>
          <w:b w:val="0"/>
          <w:bCs w:val="0"/>
          <w:smallCaps w:val="0"/>
          <w:color w:val="auto"/>
          <w:spacing w:val="0"/>
          <w:kern w:val="1"/>
          <w:sz w:val="24"/>
          <w:szCs w:val="24"/>
          <w:u w:val="none"/>
          <w:lang w:val="en-GB"/>
        </w:rPr>
      </w:pPr>
      <w:bookmarkStart w:id="6" w:name="_Ref5819170"/>
      <w:r w:rsidRPr="000542DA">
        <w:rPr>
          <w:rFonts w:ascii="Times New Roman" w:hAnsi="Times New Roman"/>
          <w:sz w:val="24"/>
          <w:szCs w:val="24"/>
          <w:lang w:val="en-GB"/>
        </w:rPr>
        <w:t xml:space="preserve">KERNTECHNISCHER AUSSCHUSS, </w:t>
      </w:r>
      <w:r w:rsidR="00103052" w:rsidRPr="000542DA">
        <w:rPr>
          <w:rFonts w:ascii="Times New Roman" w:hAnsi="Times New Roman"/>
          <w:sz w:val="24"/>
          <w:szCs w:val="24"/>
          <w:lang w:val="en-GB"/>
        </w:rPr>
        <w:t>“</w:t>
      </w:r>
      <w:r w:rsidRPr="000542DA">
        <w:rPr>
          <w:rFonts w:ascii="Times New Roman" w:hAnsi="Times New Roman"/>
          <w:sz w:val="24"/>
          <w:szCs w:val="24"/>
          <w:lang w:val="en-GB"/>
        </w:rPr>
        <w:t>Type Testing of Measuring Sensors and Transducers of the Instrumentation and Control System Important to Safety</w:t>
      </w:r>
      <w:r w:rsidR="00103052" w:rsidRPr="000542DA">
        <w:rPr>
          <w:rFonts w:ascii="Times New Roman" w:hAnsi="Times New Roman"/>
          <w:sz w:val="24"/>
          <w:szCs w:val="24"/>
          <w:lang w:val="en-GB"/>
        </w:rPr>
        <w:t>”</w:t>
      </w:r>
      <w:r w:rsidRPr="000542DA">
        <w:rPr>
          <w:rFonts w:ascii="Times New Roman" w:hAnsi="Times New Roman"/>
          <w:sz w:val="24"/>
          <w:szCs w:val="24"/>
          <w:lang w:val="en-GB"/>
        </w:rPr>
        <w:t xml:space="preserve">, </w:t>
      </w:r>
      <w:bookmarkStart w:id="7" w:name="_Hlk5906280"/>
      <w:r w:rsidRPr="000542DA">
        <w:rPr>
          <w:rFonts w:ascii="Times New Roman" w:hAnsi="Times New Roman"/>
          <w:sz w:val="24"/>
          <w:szCs w:val="24"/>
          <w:lang w:val="en-GB"/>
        </w:rPr>
        <w:t>KTA</w:t>
      </w:r>
      <w:r w:rsidR="00103052" w:rsidRPr="000542DA">
        <w:rPr>
          <w:rFonts w:ascii="Times New Roman" w:hAnsi="Times New Roman"/>
          <w:sz w:val="24"/>
          <w:szCs w:val="24"/>
          <w:lang w:val="en-GB"/>
        </w:rPr>
        <w:t xml:space="preserve"> </w:t>
      </w:r>
      <w:r w:rsidRPr="000542DA">
        <w:rPr>
          <w:rFonts w:ascii="Times New Roman" w:hAnsi="Times New Roman"/>
          <w:sz w:val="24"/>
          <w:szCs w:val="24"/>
          <w:lang w:val="en-GB"/>
        </w:rPr>
        <w:t>3505</w:t>
      </w:r>
      <w:bookmarkEnd w:id="7"/>
      <w:r w:rsidRPr="000542DA">
        <w:rPr>
          <w:rFonts w:ascii="Times New Roman" w:hAnsi="Times New Roman"/>
          <w:sz w:val="24"/>
          <w:szCs w:val="24"/>
          <w:lang w:val="en-GB"/>
        </w:rPr>
        <w:t xml:space="preserve"> Germany, November 2015.</w:t>
      </w:r>
      <w:bookmarkEnd w:id="6"/>
    </w:p>
    <w:p w14:paraId="3640AD01" w14:textId="77777777" w:rsidR="005B6860" w:rsidRPr="000542DA" w:rsidRDefault="005B6860" w:rsidP="00566711">
      <w:pPr>
        <w:pStyle w:val="IGALLReferences"/>
        <w:ind w:left="567" w:hanging="567"/>
        <w:rPr>
          <w:rStyle w:val="IntenseReference"/>
          <w:rFonts w:ascii="Times New Roman" w:hAnsi="Times New Roman"/>
          <w:b w:val="0"/>
          <w:bCs w:val="0"/>
          <w:smallCaps w:val="0"/>
          <w:color w:val="auto"/>
          <w:spacing w:val="0"/>
          <w:kern w:val="1"/>
          <w:sz w:val="24"/>
          <w:szCs w:val="24"/>
          <w:u w:val="none"/>
          <w:lang w:val="en-GB"/>
        </w:rPr>
      </w:pPr>
      <w:r w:rsidRPr="000542DA">
        <w:rPr>
          <w:rStyle w:val="IntenseReference"/>
          <w:rFonts w:ascii="Times New Roman" w:hAnsi="Times New Roman"/>
          <w:b w:val="0"/>
          <w:bCs w:val="0"/>
          <w:smallCaps w:val="0"/>
          <w:color w:val="auto"/>
          <w:spacing w:val="0"/>
          <w:kern w:val="1"/>
          <w:sz w:val="24"/>
          <w:szCs w:val="24"/>
          <w:u w:val="none"/>
          <w:lang w:val="en-GB"/>
        </w:rPr>
        <w:t xml:space="preserve">UNITED STATES NUCLEAR REGULATORY COMMISSION, </w:t>
      </w:r>
      <w:r w:rsidR="00103052" w:rsidRPr="000542DA">
        <w:rPr>
          <w:rStyle w:val="IntenseReference"/>
          <w:rFonts w:ascii="Times New Roman" w:hAnsi="Times New Roman"/>
          <w:b w:val="0"/>
          <w:bCs w:val="0"/>
          <w:smallCaps w:val="0"/>
          <w:color w:val="auto"/>
          <w:spacing w:val="0"/>
          <w:kern w:val="1"/>
          <w:sz w:val="24"/>
          <w:szCs w:val="24"/>
          <w:u w:val="none"/>
          <w:lang w:val="en-GB"/>
        </w:rPr>
        <w:t>“</w:t>
      </w:r>
      <w:r w:rsidRPr="000542DA">
        <w:rPr>
          <w:rStyle w:val="IntenseReference"/>
          <w:rFonts w:ascii="Times New Roman" w:hAnsi="Times New Roman"/>
          <w:b w:val="0"/>
          <w:bCs w:val="0"/>
          <w:smallCaps w:val="0"/>
          <w:color w:val="auto"/>
          <w:spacing w:val="0"/>
          <w:kern w:val="1"/>
          <w:sz w:val="24"/>
          <w:szCs w:val="24"/>
          <w:u w:val="none"/>
          <w:lang w:val="en-GB"/>
        </w:rPr>
        <w:t>Environmental Qualification (EQ) of Electric Components</w:t>
      </w:r>
      <w:r w:rsidR="00103052" w:rsidRPr="000542DA">
        <w:rPr>
          <w:rStyle w:val="IntenseReference"/>
          <w:rFonts w:ascii="Times New Roman" w:hAnsi="Times New Roman"/>
          <w:b w:val="0"/>
          <w:bCs w:val="0"/>
          <w:smallCaps w:val="0"/>
          <w:color w:val="auto"/>
          <w:spacing w:val="0"/>
          <w:kern w:val="1"/>
          <w:sz w:val="24"/>
          <w:szCs w:val="24"/>
          <w:u w:val="none"/>
          <w:lang w:val="en-GB"/>
        </w:rPr>
        <w:t>”</w:t>
      </w:r>
      <w:r w:rsidRPr="000542DA">
        <w:rPr>
          <w:rStyle w:val="IntenseReference"/>
          <w:rFonts w:ascii="Times New Roman" w:hAnsi="Times New Roman"/>
          <w:b w:val="0"/>
          <w:bCs w:val="0"/>
          <w:smallCaps w:val="0"/>
          <w:color w:val="auto"/>
          <w:spacing w:val="0"/>
          <w:kern w:val="1"/>
          <w:sz w:val="24"/>
          <w:szCs w:val="24"/>
          <w:u w:val="none"/>
          <w:lang w:val="en-GB"/>
        </w:rPr>
        <w:t>, NUREG 1801 Rev. 2 Chapter X.</w:t>
      </w:r>
      <w:r w:rsidR="007A1D31" w:rsidRPr="000542DA">
        <w:rPr>
          <w:rStyle w:val="IntenseReference"/>
          <w:rFonts w:ascii="Times New Roman" w:hAnsi="Times New Roman"/>
          <w:b w:val="0"/>
          <w:bCs w:val="0"/>
          <w:smallCaps w:val="0"/>
          <w:color w:val="auto"/>
          <w:spacing w:val="0"/>
          <w:kern w:val="1"/>
          <w:sz w:val="24"/>
          <w:szCs w:val="24"/>
          <w:u w:val="none"/>
          <w:lang w:val="en-GB"/>
        </w:rPr>
        <w:t xml:space="preserve"> </w:t>
      </w:r>
      <w:r w:rsidRPr="000542DA">
        <w:rPr>
          <w:rStyle w:val="IntenseReference"/>
          <w:rFonts w:ascii="Times New Roman" w:hAnsi="Times New Roman"/>
          <w:b w:val="0"/>
          <w:bCs w:val="0"/>
          <w:smallCaps w:val="0"/>
          <w:color w:val="auto"/>
          <w:spacing w:val="0"/>
          <w:kern w:val="1"/>
          <w:sz w:val="24"/>
          <w:szCs w:val="24"/>
          <w:u w:val="none"/>
          <w:lang w:val="en-GB"/>
        </w:rPr>
        <w:t>E1, USNRC, December 2010.</w:t>
      </w:r>
    </w:p>
    <w:p w14:paraId="6A39C113" w14:textId="77777777" w:rsidR="00191BB8" w:rsidRPr="000542DA" w:rsidRDefault="00191BB8" w:rsidP="00566711">
      <w:pPr>
        <w:pStyle w:val="IGALLReferences"/>
        <w:ind w:left="567" w:hanging="567"/>
        <w:rPr>
          <w:rStyle w:val="IntenseReference"/>
          <w:rFonts w:ascii="Times New Roman" w:hAnsi="Times New Roman"/>
          <w:b w:val="0"/>
          <w:bCs w:val="0"/>
          <w:smallCaps w:val="0"/>
          <w:color w:val="auto"/>
          <w:spacing w:val="0"/>
          <w:kern w:val="1"/>
          <w:sz w:val="24"/>
          <w:szCs w:val="24"/>
          <w:u w:val="none"/>
          <w:lang w:val="en-GB"/>
        </w:rPr>
      </w:pPr>
      <w:r w:rsidRPr="000542DA">
        <w:rPr>
          <w:rStyle w:val="IntenseReference"/>
          <w:rFonts w:ascii="Times New Roman" w:hAnsi="Times New Roman"/>
          <w:b w:val="0"/>
          <w:bCs w:val="0"/>
          <w:smallCaps w:val="0"/>
          <w:color w:val="auto"/>
          <w:spacing w:val="0"/>
          <w:kern w:val="1"/>
          <w:sz w:val="24"/>
          <w:szCs w:val="24"/>
          <w:u w:val="none"/>
          <w:lang w:val="en-GB"/>
        </w:rPr>
        <w:t xml:space="preserve">INTERNATIONAL ATOMIC ENERGY AGENCY, </w:t>
      </w:r>
      <w:r w:rsidR="00103052" w:rsidRPr="000542DA">
        <w:rPr>
          <w:rStyle w:val="IntenseReference"/>
          <w:rFonts w:ascii="Times New Roman" w:hAnsi="Times New Roman"/>
          <w:b w:val="0"/>
          <w:bCs w:val="0"/>
          <w:smallCaps w:val="0"/>
          <w:color w:val="auto"/>
          <w:spacing w:val="0"/>
          <w:kern w:val="1"/>
          <w:sz w:val="24"/>
          <w:szCs w:val="24"/>
          <w:u w:val="none"/>
          <w:lang w:val="en-GB"/>
        </w:rPr>
        <w:t>“</w:t>
      </w:r>
      <w:r w:rsidRPr="000542DA">
        <w:rPr>
          <w:rStyle w:val="IntenseReference"/>
          <w:rFonts w:ascii="Times New Roman" w:hAnsi="Times New Roman"/>
          <w:b w:val="0"/>
          <w:bCs w:val="0"/>
          <w:smallCaps w:val="0"/>
          <w:color w:val="auto"/>
          <w:spacing w:val="0"/>
          <w:kern w:val="1"/>
          <w:sz w:val="24"/>
          <w:szCs w:val="24"/>
          <w:u w:val="none"/>
          <w:lang w:val="en-GB"/>
        </w:rPr>
        <w:t>Assessing and Managing Cable Ageing in Nuclear Power Plants</w:t>
      </w:r>
      <w:r w:rsidR="00103052" w:rsidRPr="000542DA">
        <w:rPr>
          <w:rStyle w:val="IntenseReference"/>
          <w:rFonts w:ascii="Times New Roman" w:hAnsi="Times New Roman"/>
          <w:b w:val="0"/>
          <w:bCs w:val="0"/>
          <w:smallCaps w:val="0"/>
          <w:color w:val="auto"/>
          <w:spacing w:val="0"/>
          <w:kern w:val="1"/>
          <w:sz w:val="24"/>
          <w:szCs w:val="24"/>
          <w:u w:val="none"/>
          <w:lang w:val="en-GB"/>
        </w:rPr>
        <w:t>”</w:t>
      </w:r>
      <w:r w:rsidRPr="000542DA">
        <w:rPr>
          <w:rStyle w:val="IntenseReference"/>
          <w:rFonts w:ascii="Times New Roman" w:hAnsi="Times New Roman"/>
          <w:b w:val="0"/>
          <w:bCs w:val="0"/>
          <w:smallCaps w:val="0"/>
          <w:color w:val="auto"/>
          <w:spacing w:val="0"/>
          <w:kern w:val="1"/>
          <w:sz w:val="24"/>
          <w:szCs w:val="24"/>
          <w:u w:val="none"/>
          <w:lang w:val="en-GB"/>
        </w:rPr>
        <w:t xml:space="preserve">, IAEA </w:t>
      </w:r>
      <w:r w:rsidR="00103052" w:rsidRPr="000542DA">
        <w:rPr>
          <w:rStyle w:val="IntenseReference"/>
          <w:rFonts w:ascii="Times New Roman" w:hAnsi="Times New Roman"/>
          <w:b w:val="0"/>
          <w:bCs w:val="0"/>
          <w:smallCaps w:val="0"/>
          <w:color w:val="auto"/>
          <w:spacing w:val="0"/>
          <w:kern w:val="1"/>
          <w:sz w:val="24"/>
          <w:szCs w:val="24"/>
          <w:u w:val="none"/>
          <w:lang w:val="en-GB"/>
        </w:rPr>
        <w:t xml:space="preserve">Nuclear Energy Series No. </w:t>
      </w:r>
      <w:r w:rsidRPr="000542DA">
        <w:rPr>
          <w:rStyle w:val="IntenseReference"/>
          <w:rFonts w:ascii="Times New Roman" w:hAnsi="Times New Roman"/>
          <w:b w:val="0"/>
          <w:bCs w:val="0"/>
          <w:smallCaps w:val="0"/>
          <w:color w:val="auto"/>
          <w:spacing w:val="0"/>
          <w:kern w:val="1"/>
          <w:sz w:val="24"/>
          <w:szCs w:val="24"/>
          <w:u w:val="none"/>
          <w:lang w:val="en-GB"/>
        </w:rPr>
        <w:t>NP-T.3.6, IAEA, Vienna</w:t>
      </w:r>
      <w:r w:rsidR="00103052" w:rsidRPr="000542DA">
        <w:rPr>
          <w:rStyle w:val="IntenseReference"/>
          <w:rFonts w:ascii="Times New Roman" w:hAnsi="Times New Roman"/>
          <w:b w:val="0"/>
          <w:bCs w:val="0"/>
          <w:smallCaps w:val="0"/>
          <w:color w:val="auto"/>
          <w:spacing w:val="0"/>
          <w:kern w:val="1"/>
          <w:sz w:val="24"/>
          <w:szCs w:val="24"/>
          <w:u w:val="none"/>
          <w:lang w:val="en-GB"/>
        </w:rPr>
        <w:t>, 2012</w:t>
      </w:r>
      <w:r w:rsidRPr="000542DA">
        <w:rPr>
          <w:rStyle w:val="IntenseReference"/>
          <w:rFonts w:ascii="Times New Roman" w:hAnsi="Times New Roman"/>
          <w:b w:val="0"/>
          <w:bCs w:val="0"/>
          <w:smallCaps w:val="0"/>
          <w:color w:val="auto"/>
          <w:spacing w:val="0"/>
          <w:kern w:val="1"/>
          <w:sz w:val="24"/>
          <w:szCs w:val="24"/>
          <w:u w:val="none"/>
          <w:lang w:val="en-GB"/>
        </w:rPr>
        <w:t>.</w:t>
      </w:r>
    </w:p>
    <w:p w14:paraId="44B0DB35" w14:textId="77777777" w:rsidR="0099516A" w:rsidRPr="000542DA" w:rsidRDefault="0099516A" w:rsidP="00566711">
      <w:pPr>
        <w:pStyle w:val="IGALLReferences"/>
        <w:ind w:left="567" w:hanging="567"/>
        <w:rPr>
          <w:rStyle w:val="IntenseReference"/>
          <w:rFonts w:ascii="Times New Roman" w:hAnsi="Times New Roman"/>
          <w:b w:val="0"/>
          <w:bCs w:val="0"/>
          <w:smallCaps w:val="0"/>
          <w:color w:val="auto"/>
          <w:spacing w:val="0"/>
          <w:kern w:val="1"/>
          <w:sz w:val="24"/>
          <w:szCs w:val="24"/>
          <w:u w:val="none"/>
          <w:lang w:val="en-GB"/>
        </w:rPr>
      </w:pPr>
      <w:r w:rsidRPr="000542DA">
        <w:rPr>
          <w:rStyle w:val="IntenseReference"/>
          <w:rFonts w:ascii="Times New Roman" w:hAnsi="Times New Roman"/>
          <w:b w:val="0"/>
          <w:bCs w:val="0"/>
          <w:smallCaps w:val="0"/>
          <w:color w:val="auto"/>
          <w:spacing w:val="0"/>
          <w:kern w:val="1"/>
          <w:sz w:val="24"/>
          <w:szCs w:val="24"/>
          <w:u w:val="none"/>
          <w:lang w:val="en-GB"/>
        </w:rPr>
        <w:t xml:space="preserve">INTERNATIONAL ATOMIC ENERGY AGENCY, </w:t>
      </w:r>
      <w:r w:rsidR="00103052" w:rsidRPr="000542DA">
        <w:rPr>
          <w:rStyle w:val="IntenseReference"/>
          <w:rFonts w:ascii="Times New Roman" w:hAnsi="Times New Roman"/>
          <w:b w:val="0"/>
          <w:bCs w:val="0"/>
          <w:smallCaps w:val="0"/>
          <w:color w:val="auto"/>
          <w:spacing w:val="0"/>
          <w:kern w:val="1"/>
          <w:sz w:val="24"/>
          <w:szCs w:val="24"/>
          <w:u w:val="none"/>
          <w:lang w:val="en-GB"/>
        </w:rPr>
        <w:t>“</w:t>
      </w:r>
      <w:r w:rsidRPr="000542DA">
        <w:rPr>
          <w:rStyle w:val="IntenseReference"/>
          <w:rFonts w:ascii="Times New Roman" w:hAnsi="Times New Roman"/>
          <w:b w:val="0"/>
          <w:bCs w:val="0"/>
          <w:smallCaps w:val="0"/>
          <w:color w:val="auto"/>
          <w:spacing w:val="0"/>
          <w:kern w:val="1"/>
          <w:sz w:val="24"/>
          <w:szCs w:val="24"/>
          <w:u w:val="none"/>
          <w:lang w:val="en-GB"/>
        </w:rPr>
        <w:t>Assessment and management of ageing of major nuclear power plant components important to safety: In-containment instrumentation and control cables</w:t>
      </w:r>
      <w:r w:rsidR="00103052" w:rsidRPr="000542DA">
        <w:rPr>
          <w:rStyle w:val="IntenseReference"/>
          <w:rFonts w:ascii="Times New Roman" w:hAnsi="Times New Roman"/>
          <w:b w:val="0"/>
          <w:bCs w:val="0"/>
          <w:smallCaps w:val="0"/>
          <w:color w:val="auto"/>
          <w:spacing w:val="0"/>
          <w:kern w:val="1"/>
          <w:sz w:val="24"/>
          <w:szCs w:val="24"/>
          <w:u w:val="none"/>
          <w:lang w:val="en-GB"/>
        </w:rPr>
        <w:t>”</w:t>
      </w:r>
      <w:r w:rsidRPr="000542DA">
        <w:rPr>
          <w:rStyle w:val="IntenseReference"/>
          <w:rFonts w:ascii="Times New Roman" w:hAnsi="Times New Roman"/>
          <w:b w:val="0"/>
          <w:bCs w:val="0"/>
          <w:smallCaps w:val="0"/>
          <w:color w:val="auto"/>
          <w:spacing w:val="0"/>
          <w:kern w:val="1"/>
          <w:sz w:val="24"/>
          <w:szCs w:val="24"/>
          <w:u w:val="none"/>
          <w:lang w:val="en-GB"/>
        </w:rPr>
        <w:t xml:space="preserve">, </w:t>
      </w:r>
      <w:r w:rsidR="00103052" w:rsidRPr="000542DA">
        <w:rPr>
          <w:rStyle w:val="IntenseReference"/>
          <w:rFonts w:ascii="Times New Roman" w:hAnsi="Times New Roman"/>
          <w:b w:val="0"/>
          <w:bCs w:val="0"/>
          <w:smallCaps w:val="0"/>
          <w:color w:val="auto"/>
          <w:spacing w:val="0"/>
          <w:kern w:val="1"/>
          <w:sz w:val="24"/>
          <w:szCs w:val="24"/>
          <w:u w:val="none"/>
          <w:lang w:val="en-GB"/>
        </w:rPr>
        <w:t>IAEA-</w:t>
      </w:r>
      <w:r w:rsidRPr="000542DA">
        <w:rPr>
          <w:rStyle w:val="IntenseReference"/>
          <w:rFonts w:ascii="Times New Roman" w:hAnsi="Times New Roman"/>
          <w:b w:val="0"/>
          <w:bCs w:val="0"/>
          <w:smallCaps w:val="0"/>
          <w:color w:val="auto"/>
          <w:spacing w:val="0"/>
          <w:kern w:val="1"/>
          <w:sz w:val="24"/>
          <w:szCs w:val="24"/>
          <w:u w:val="none"/>
          <w:lang w:val="en-GB"/>
        </w:rPr>
        <w:t>TECDOC</w:t>
      </w:r>
      <w:r w:rsidR="00103052" w:rsidRPr="000542DA">
        <w:rPr>
          <w:rStyle w:val="IntenseReference"/>
          <w:rFonts w:ascii="Times New Roman" w:hAnsi="Times New Roman"/>
          <w:b w:val="0"/>
          <w:bCs w:val="0"/>
          <w:smallCaps w:val="0"/>
          <w:color w:val="auto"/>
          <w:spacing w:val="0"/>
          <w:kern w:val="1"/>
          <w:sz w:val="24"/>
          <w:szCs w:val="24"/>
          <w:u w:val="none"/>
          <w:lang w:val="en-GB"/>
        </w:rPr>
        <w:t>-</w:t>
      </w:r>
      <w:r w:rsidRPr="000542DA">
        <w:rPr>
          <w:rStyle w:val="IntenseReference"/>
          <w:rFonts w:ascii="Times New Roman" w:hAnsi="Times New Roman"/>
          <w:b w:val="0"/>
          <w:bCs w:val="0"/>
          <w:smallCaps w:val="0"/>
          <w:color w:val="auto"/>
          <w:spacing w:val="0"/>
          <w:kern w:val="1"/>
          <w:sz w:val="24"/>
          <w:szCs w:val="24"/>
          <w:u w:val="none"/>
          <w:lang w:val="en-GB"/>
        </w:rPr>
        <w:t>1188</w:t>
      </w:r>
      <w:r w:rsidR="00874232" w:rsidRPr="000542DA">
        <w:rPr>
          <w:rStyle w:val="IntenseReference"/>
          <w:rFonts w:ascii="Times New Roman" w:hAnsi="Times New Roman"/>
          <w:b w:val="0"/>
          <w:bCs w:val="0"/>
          <w:smallCaps w:val="0"/>
          <w:color w:val="auto"/>
          <w:spacing w:val="0"/>
          <w:kern w:val="1"/>
          <w:sz w:val="24"/>
          <w:szCs w:val="24"/>
          <w:u w:val="none"/>
          <w:lang w:val="en-GB"/>
        </w:rPr>
        <w:t xml:space="preserve"> </w:t>
      </w:r>
      <w:r w:rsidRPr="000542DA">
        <w:rPr>
          <w:rStyle w:val="IntenseReference"/>
          <w:rFonts w:ascii="Times New Roman" w:hAnsi="Times New Roman"/>
          <w:b w:val="0"/>
          <w:bCs w:val="0"/>
          <w:smallCaps w:val="0"/>
          <w:color w:val="auto"/>
          <w:spacing w:val="0"/>
          <w:kern w:val="1"/>
          <w:sz w:val="24"/>
          <w:szCs w:val="24"/>
          <w:u w:val="none"/>
          <w:lang w:val="en-GB"/>
        </w:rPr>
        <w:t>Volume I, pp.3</w:t>
      </w:r>
      <w:r w:rsidR="003753E1" w:rsidRPr="000542DA">
        <w:rPr>
          <w:rStyle w:val="IntenseReference"/>
          <w:rFonts w:ascii="Times New Roman" w:hAnsi="Times New Roman"/>
          <w:b w:val="0"/>
          <w:bCs w:val="0"/>
          <w:smallCaps w:val="0"/>
          <w:color w:val="auto"/>
          <w:spacing w:val="0"/>
          <w:kern w:val="1"/>
          <w:sz w:val="24"/>
          <w:szCs w:val="24"/>
          <w:u w:val="none"/>
          <w:lang w:val="en-GB"/>
        </w:rPr>
        <w:t>5</w:t>
      </w:r>
      <w:r w:rsidRPr="000542DA">
        <w:rPr>
          <w:rStyle w:val="IntenseReference"/>
          <w:rFonts w:ascii="Times New Roman" w:hAnsi="Times New Roman"/>
          <w:b w:val="0"/>
          <w:bCs w:val="0"/>
          <w:smallCaps w:val="0"/>
          <w:color w:val="auto"/>
          <w:spacing w:val="0"/>
          <w:kern w:val="1"/>
          <w:sz w:val="24"/>
          <w:szCs w:val="24"/>
          <w:u w:val="none"/>
          <w:lang w:val="en-GB"/>
        </w:rPr>
        <w:t>-</w:t>
      </w:r>
      <w:r w:rsidR="003753E1" w:rsidRPr="000542DA">
        <w:rPr>
          <w:rStyle w:val="IntenseReference"/>
          <w:rFonts w:ascii="Times New Roman" w:hAnsi="Times New Roman"/>
          <w:b w:val="0"/>
          <w:bCs w:val="0"/>
          <w:smallCaps w:val="0"/>
          <w:color w:val="auto"/>
          <w:spacing w:val="0"/>
          <w:kern w:val="1"/>
          <w:sz w:val="24"/>
          <w:szCs w:val="24"/>
          <w:u w:val="none"/>
          <w:lang w:val="en-GB"/>
        </w:rPr>
        <w:t>39</w:t>
      </w:r>
      <w:r w:rsidRPr="000542DA">
        <w:rPr>
          <w:rStyle w:val="IntenseReference"/>
          <w:rFonts w:ascii="Times New Roman" w:hAnsi="Times New Roman"/>
          <w:b w:val="0"/>
          <w:bCs w:val="0"/>
          <w:smallCaps w:val="0"/>
          <w:color w:val="auto"/>
          <w:spacing w:val="0"/>
          <w:kern w:val="1"/>
          <w:sz w:val="24"/>
          <w:szCs w:val="24"/>
          <w:u w:val="none"/>
          <w:lang w:val="en-GB"/>
        </w:rPr>
        <w:t>, IAEA, Vienna</w:t>
      </w:r>
      <w:r w:rsidR="007D773B" w:rsidRPr="000542DA">
        <w:rPr>
          <w:rStyle w:val="IntenseReference"/>
          <w:rFonts w:ascii="Times New Roman" w:hAnsi="Times New Roman"/>
          <w:b w:val="0"/>
          <w:bCs w:val="0"/>
          <w:smallCaps w:val="0"/>
          <w:color w:val="auto"/>
          <w:spacing w:val="0"/>
          <w:kern w:val="1"/>
          <w:sz w:val="24"/>
          <w:szCs w:val="24"/>
          <w:u w:val="none"/>
          <w:lang w:val="en-GB"/>
        </w:rPr>
        <w:t>, 2000</w:t>
      </w:r>
      <w:r w:rsidRPr="000542DA">
        <w:rPr>
          <w:rStyle w:val="IntenseReference"/>
          <w:rFonts w:ascii="Times New Roman" w:hAnsi="Times New Roman"/>
          <w:b w:val="0"/>
          <w:bCs w:val="0"/>
          <w:smallCaps w:val="0"/>
          <w:color w:val="auto"/>
          <w:spacing w:val="0"/>
          <w:kern w:val="1"/>
          <w:sz w:val="24"/>
          <w:szCs w:val="24"/>
          <w:u w:val="none"/>
          <w:lang w:val="en-GB"/>
        </w:rPr>
        <w:t>.</w:t>
      </w:r>
    </w:p>
    <w:p w14:paraId="4FD649E8" w14:textId="77777777" w:rsidR="0099516A" w:rsidRPr="000542DA" w:rsidRDefault="0099516A" w:rsidP="00566711">
      <w:pPr>
        <w:pStyle w:val="IGALLReferences"/>
        <w:ind w:left="567" w:hanging="567"/>
        <w:rPr>
          <w:rStyle w:val="IntenseReference"/>
          <w:rFonts w:ascii="Times New Roman" w:hAnsi="Times New Roman"/>
          <w:b w:val="0"/>
          <w:bCs w:val="0"/>
          <w:smallCaps w:val="0"/>
          <w:color w:val="auto"/>
          <w:spacing w:val="0"/>
          <w:kern w:val="1"/>
          <w:sz w:val="24"/>
          <w:szCs w:val="24"/>
          <w:u w:val="none"/>
          <w:lang w:val="en-GB"/>
        </w:rPr>
      </w:pPr>
      <w:r w:rsidRPr="000542DA">
        <w:rPr>
          <w:rStyle w:val="IntenseReference"/>
          <w:rFonts w:ascii="Times New Roman" w:hAnsi="Times New Roman"/>
          <w:b w:val="0"/>
          <w:bCs w:val="0"/>
          <w:smallCaps w:val="0"/>
          <w:color w:val="auto"/>
          <w:spacing w:val="0"/>
          <w:kern w:val="1"/>
          <w:sz w:val="24"/>
          <w:szCs w:val="24"/>
          <w:u w:val="none"/>
          <w:lang w:val="en-GB"/>
        </w:rPr>
        <w:t xml:space="preserve">NUCLEAR ENERGY AGENCY, </w:t>
      </w:r>
      <w:r w:rsidR="00C007E0" w:rsidRPr="000542DA">
        <w:rPr>
          <w:rStyle w:val="IntenseReference"/>
          <w:rFonts w:ascii="Times New Roman" w:hAnsi="Times New Roman"/>
          <w:b w:val="0"/>
          <w:bCs w:val="0"/>
          <w:smallCaps w:val="0"/>
          <w:color w:val="auto"/>
          <w:spacing w:val="0"/>
          <w:kern w:val="1"/>
          <w:sz w:val="24"/>
          <w:szCs w:val="24"/>
          <w:u w:val="none"/>
          <w:lang w:val="en-GB"/>
        </w:rPr>
        <w:t>“</w:t>
      </w:r>
      <w:r w:rsidRPr="000542DA">
        <w:rPr>
          <w:rStyle w:val="IntenseReference"/>
          <w:rFonts w:ascii="Times New Roman" w:hAnsi="Times New Roman"/>
          <w:b w:val="0"/>
          <w:bCs w:val="0"/>
          <w:smallCaps w:val="0"/>
          <w:color w:val="auto"/>
          <w:spacing w:val="0"/>
          <w:kern w:val="1"/>
          <w:sz w:val="24"/>
          <w:szCs w:val="24"/>
          <w:u w:val="none"/>
          <w:lang w:val="en-GB"/>
        </w:rPr>
        <w:t>Technical Basis for Commendable Practices on Ageing Management - SCC and Cable Ageing Project (SCAP) Final Report</w:t>
      </w:r>
      <w:r w:rsidR="00204AC9" w:rsidRPr="000542DA">
        <w:rPr>
          <w:rStyle w:val="IntenseReference"/>
          <w:rFonts w:ascii="Times New Roman" w:hAnsi="Times New Roman"/>
          <w:b w:val="0"/>
          <w:bCs w:val="0"/>
          <w:smallCaps w:val="0"/>
          <w:color w:val="auto"/>
          <w:spacing w:val="0"/>
          <w:kern w:val="1"/>
          <w:sz w:val="24"/>
          <w:szCs w:val="24"/>
          <w:u w:val="none"/>
          <w:lang w:val="en-GB"/>
        </w:rPr>
        <w:t>”,</w:t>
      </w:r>
      <w:r w:rsidRPr="000542DA">
        <w:rPr>
          <w:rStyle w:val="IntenseReference"/>
          <w:rFonts w:ascii="Times New Roman" w:hAnsi="Times New Roman"/>
          <w:b w:val="0"/>
          <w:bCs w:val="0"/>
          <w:smallCaps w:val="0"/>
          <w:color w:val="auto"/>
          <w:spacing w:val="0"/>
          <w:kern w:val="1"/>
          <w:sz w:val="24"/>
          <w:szCs w:val="24"/>
          <w:u w:val="none"/>
          <w:lang w:val="en-GB"/>
        </w:rPr>
        <w:t xml:space="preserve"> NEA/CSNI/R(2010)15,</w:t>
      </w:r>
      <w:r w:rsidR="00204AC9" w:rsidRPr="000542DA">
        <w:rPr>
          <w:rStyle w:val="IntenseReference"/>
          <w:rFonts w:ascii="Times New Roman" w:hAnsi="Times New Roman"/>
          <w:b w:val="0"/>
          <w:bCs w:val="0"/>
          <w:smallCaps w:val="0"/>
          <w:color w:val="auto"/>
          <w:spacing w:val="0"/>
          <w:kern w:val="1"/>
          <w:sz w:val="24"/>
          <w:szCs w:val="24"/>
          <w:u w:val="none"/>
          <w:lang w:val="en-GB"/>
        </w:rPr>
        <w:t xml:space="preserve"> pp.77-84,</w:t>
      </w:r>
      <w:r w:rsidRPr="000542DA">
        <w:rPr>
          <w:rStyle w:val="IntenseReference"/>
          <w:rFonts w:ascii="Times New Roman" w:hAnsi="Times New Roman"/>
          <w:b w:val="0"/>
          <w:bCs w:val="0"/>
          <w:smallCaps w:val="0"/>
          <w:color w:val="auto"/>
          <w:spacing w:val="0"/>
          <w:kern w:val="1"/>
          <w:sz w:val="24"/>
          <w:szCs w:val="24"/>
          <w:u w:val="none"/>
          <w:lang w:val="en-GB"/>
        </w:rPr>
        <w:t xml:space="preserve"> April 2011.</w:t>
      </w:r>
    </w:p>
    <w:p w14:paraId="6ADE3853" w14:textId="77777777" w:rsidR="0099516A" w:rsidRPr="000542DA" w:rsidRDefault="0099516A" w:rsidP="00566711">
      <w:pPr>
        <w:pStyle w:val="IGALLReferences"/>
        <w:ind w:left="567" w:hanging="567"/>
        <w:rPr>
          <w:rStyle w:val="IntenseReference"/>
          <w:rFonts w:ascii="Times New Roman" w:hAnsi="Times New Roman"/>
          <w:b w:val="0"/>
          <w:bCs w:val="0"/>
          <w:smallCaps w:val="0"/>
          <w:color w:val="auto"/>
          <w:spacing w:val="0"/>
          <w:kern w:val="1"/>
          <w:sz w:val="24"/>
          <w:szCs w:val="24"/>
          <w:u w:val="none"/>
          <w:lang w:val="en-GB"/>
        </w:rPr>
      </w:pPr>
      <w:r w:rsidRPr="000542DA">
        <w:rPr>
          <w:rStyle w:val="IntenseReference"/>
          <w:rFonts w:ascii="Times New Roman" w:hAnsi="Times New Roman"/>
          <w:b w:val="0"/>
          <w:bCs w:val="0"/>
          <w:smallCaps w:val="0"/>
          <w:color w:val="auto"/>
          <w:spacing w:val="0"/>
          <w:kern w:val="1"/>
          <w:sz w:val="24"/>
          <w:szCs w:val="24"/>
          <w:u w:val="none"/>
          <w:lang w:val="en-GB"/>
        </w:rPr>
        <w:t>UNITED STATES NUCLEAR REGULATORY COMMISSION, Regulatory Guide 1.211, Qualification of Safety-Related Cables and Field Splices for Nuclear Power Plants, US</w:t>
      </w:r>
      <w:r w:rsidR="007647A4">
        <w:rPr>
          <w:rStyle w:val="IntenseReference"/>
          <w:rFonts w:ascii="Times New Roman" w:hAnsi="Times New Roman"/>
          <w:b w:val="0"/>
          <w:bCs w:val="0"/>
          <w:smallCaps w:val="0"/>
          <w:color w:val="auto"/>
          <w:spacing w:val="0"/>
          <w:kern w:val="1"/>
          <w:sz w:val="24"/>
          <w:szCs w:val="24"/>
          <w:u w:val="none"/>
          <w:lang w:val="en-GB"/>
        </w:rPr>
        <w:t xml:space="preserve"> </w:t>
      </w:r>
      <w:r w:rsidRPr="000542DA">
        <w:rPr>
          <w:rStyle w:val="IntenseReference"/>
          <w:rFonts w:ascii="Times New Roman" w:hAnsi="Times New Roman"/>
          <w:b w:val="0"/>
          <w:bCs w:val="0"/>
          <w:smallCaps w:val="0"/>
          <w:color w:val="auto"/>
          <w:spacing w:val="0"/>
          <w:kern w:val="1"/>
          <w:sz w:val="24"/>
          <w:szCs w:val="24"/>
          <w:u w:val="none"/>
          <w:lang w:val="en-GB"/>
        </w:rPr>
        <w:t>NRC</w:t>
      </w:r>
      <w:r w:rsidR="007647A4">
        <w:rPr>
          <w:rStyle w:val="IntenseReference"/>
          <w:rFonts w:ascii="Times New Roman" w:hAnsi="Times New Roman"/>
          <w:b w:val="0"/>
          <w:bCs w:val="0"/>
          <w:smallCaps w:val="0"/>
          <w:color w:val="auto"/>
          <w:spacing w:val="0"/>
          <w:kern w:val="1"/>
          <w:sz w:val="24"/>
          <w:szCs w:val="24"/>
          <w:u w:val="none"/>
          <w:lang w:val="en-GB"/>
        </w:rPr>
        <w:t>, April 2009</w:t>
      </w:r>
      <w:r w:rsidRPr="000542DA">
        <w:rPr>
          <w:rStyle w:val="IntenseReference"/>
          <w:rFonts w:ascii="Times New Roman" w:hAnsi="Times New Roman"/>
          <w:b w:val="0"/>
          <w:bCs w:val="0"/>
          <w:smallCaps w:val="0"/>
          <w:color w:val="auto"/>
          <w:spacing w:val="0"/>
          <w:kern w:val="1"/>
          <w:sz w:val="24"/>
          <w:szCs w:val="24"/>
          <w:u w:val="none"/>
          <w:lang w:val="en-GB"/>
        </w:rPr>
        <w:t>.</w:t>
      </w:r>
    </w:p>
    <w:p w14:paraId="6A23A955" w14:textId="77777777" w:rsidR="0099516A" w:rsidRPr="000542DA" w:rsidRDefault="0099516A" w:rsidP="00566711">
      <w:pPr>
        <w:pStyle w:val="IGALLReferences"/>
        <w:ind w:left="567" w:hanging="567"/>
        <w:rPr>
          <w:rStyle w:val="IntenseReference"/>
          <w:rFonts w:ascii="Times New Roman" w:hAnsi="Times New Roman"/>
          <w:b w:val="0"/>
          <w:bCs w:val="0"/>
          <w:smallCaps w:val="0"/>
          <w:color w:val="auto"/>
          <w:spacing w:val="0"/>
          <w:kern w:val="1"/>
          <w:sz w:val="24"/>
          <w:szCs w:val="24"/>
          <w:u w:val="none"/>
          <w:lang w:val="en-GB"/>
        </w:rPr>
      </w:pPr>
      <w:r w:rsidRPr="000542DA">
        <w:rPr>
          <w:rStyle w:val="IntenseReference"/>
          <w:rFonts w:ascii="Times New Roman" w:hAnsi="Times New Roman"/>
          <w:b w:val="0"/>
          <w:bCs w:val="0"/>
          <w:smallCaps w:val="0"/>
          <w:color w:val="auto"/>
          <w:spacing w:val="0"/>
          <w:kern w:val="1"/>
          <w:sz w:val="24"/>
          <w:szCs w:val="24"/>
          <w:u w:val="none"/>
          <w:lang w:val="en-GB"/>
        </w:rPr>
        <w:t>N</w:t>
      </w:r>
      <w:r w:rsidR="00113078" w:rsidRPr="000542DA">
        <w:rPr>
          <w:rStyle w:val="IntenseReference"/>
          <w:rFonts w:ascii="Times New Roman" w:hAnsi="Times New Roman"/>
          <w:b w:val="0"/>
          <w:bCs w:val="0"/>
          <w:smallCaps w:val="0"/>
          <w:color w:val="auto"/>
          <w:spacing w:val="0"/>
          <w:kern w:val="1"/>
          <w:sz w:val="24"/>
          <w:szCs w:val="24"/>
          <w:u w:val="none"/>
          <w:lang w:val="en-GB"/>
        </w:rPr>
        <w:t>UCLEAR</w:t>
      </w:r>
      <w:r w:rsidRPr="000542DA">
        <w:rPr>
          <w:rStyle w:val="IntenseReference"/>
          <w:rFonts w:ascii="Times New Roman" w:hAnsi="Times New Roman"/>
          <w:b w:val="0"/>
          <w:bCs w:val="0"/>
          <w:smallCaps w:val="0"/>
          <w:color w:val="auto"/>
          <w:spacing w:val="0"/>
          <w:kern w:val="1"/>
          <w:sz w:val="24"/>
          <w:szCs w:val="24"/>
          <w:u w:val="none"/>
          <w:lang w:val="en-GB"/>
        </w:rPr>
        <w:t xml:space="preserve"> and I</w:t>
      </w:r>
      <w:r w:rsidR="00113078" w:rsidRPr="000542DA">
        <w:rPr>
          <w:rStyle w:val="IntenseReference"/>
          <w:rFonts w:ascii="Times New Roman" w:hAnsi="Times New Roman"/>
          <w:b w:val="0"/>
          <w:bCs w:val="0"/>
          <w:smallCaps w:val="0"/>
          <w:color w:val="auto"/>
          <w:spacing w:val="0"/>
          <w:kern w:val="1"/>
          <w:sz w:val="24"/>
          <w:szCs w:val="24"/>
          <w:u w:val="none"/>
          <w:lang w:val="en-GB"/>
        </w:rPr>
        <w:t>NDUSTRIAL</w:t>
      </w:r>
      <w:r w:rsidRPr="000542DA">
        <w:rPr>
          <w:rStyle w:val="IntenseReference"/>
          <w:rFonts w:ascii="Times New Roman" w:hAnsi="Times New Roman"/>
          <w:b w:val="0"/>
          <w:bCs w:val="0"/>
          <w:smallCaps w:val="0"/>
          <w:color w:val="auto"/>
          <w:spacing w:val="0"/>
          <w:kern w:val="1"/>
          <w:sz w:val="24"/>
          <w:szCs w:val="24"/>
          <w:u w:val="none"/>
          <w:lang w:val="en-GB"/>
        </w:rPr>
        <w:t xml:space="preserve"> S</w:t>
      </w:r>
      <w:r w:rsidR="00113078" w:rsidRPr="000542DA">
        <w:rPr>
          <w:rStyle w:val="IntenseReference"/>
          <w:rFonts w:ascii="Times New Roman" w:hAnsi="Times New Roman"/>
          <w:b w:val="0"/>
          <w:bCs w:val="0"/>
          <w:smallCaps w:val="0"/>
          <w:color w:val="auto"/>
          <w:spacing w:val="0"/>
          <w:kern w:val="1"/>
          <w:sz w:val="24"/>
          <w:szCs w:val="24"/>
          <w:u w:val="none"/>
          <w:lang w:val="en-GB"/>
        </w:rPr>
        <w:t>AFETY</w:t>
      </w:r>
      <w:r w:rsidRPr="000542DA">
        <w:rPr>
          <w:rStyle w:val="IntenseReference"/>
          <w:rFonts w:ascii="Times New Roman" w:hAnsi="Times New Roman"/>
          <w:b w:val="0"/>
          <w:bCs w:val="0"/>
          <w:smallCaps w:val="0"/>
          <w:color w:val="auto"/>
          <w:spacing w:val="0"/>
          <w:kern w:val="1"/>
          <w:sz w:val="24"/>
          <w:szCs w:val="24"/>
          <w:u w:val="none"/>
          <w:lang w:val="en-GB"/>
        </w:rPr>
        <w:t xml:space="preserve"> A</w:t>
      </w:r>
      <w:r w:rsidR="00113078" w:rsidRPr="000542DA">
        <w:rPr>
          <w:rStyle w:val="IntenseReference"/>
          <w:rFonts w:ascii="Times New Roman" w:hAnsi="Times New Roman"/>
          <w:b w:val="0"/>
          <w:bCs w:val="0"/>
          <w:smallCaps w:val="0"/>
          <w:color w:val="auto"/>
          <w:spacing w:val="0"/>
          <w:kern w:val="1"/>
          <w:sz w:val="24"/>
          <w:szCs w:val="24"/>
          <w:u w:val="none"/>
          <w:lang w:val="en-GB"/>
        </w:rPr>
        <w:t>GENCY</w:t>
      </w:r>
      <w:r w:rsidRPr="000542DA">
        <w:rPr>
          <w:rStyle w:val="IntenseReference"/>
          <w:rFonts w:ascii="Times New Roman" w:hAnsi="Times New Roman"/>
          <w:b w:val="0"/>
          <w:bCs w:val="0"/>
          <w:smallCaps w:val="0"/>
          <w:color w:val="auto"/>
          <w:spacing w:val="0"/>
          <w:kern w:val="1"/>
          <w:sz w:val="24"/>
          <w:szCs w:val="24"/>
          <w:u w:val="none"/>
          <w:lang w:val="en-GB"/>
        </w:rPr>
        <w:t>, Environmental Monitoring for Safety-related Cables in Primary Containment Vessels of Nuclear Power Plants (in Japanese), NISA-167b-07-1, October 2007.</w:t>
      </w:r>
    </w:p>
    <w:p w14:paraId="75241258" w14:textId="77777777" w:rsidR="005841BB" w:rsidRPr="000542DA" w:rsidRDefault="005841BB" w:rsidP="00566711">
      <w:pPr>
        <w:pStyle w:val="IGALLReferences"/>
        <w:ind w:left="567" w:hanging="567"/>
        <w:rPr>
          <w:rStyle w:val="IntenseReference"/>
          <w:rFonts w:ascii="Times New Roman" w:hAnsi="Times New Roman"/>
          <w:b w:val="0"/>
          <w:bCs w:val="0"/>
          <w:smallCaps w:val="0"/>
          <w:color w:val="auto"/>
          <w:spacing w:val="0"/>
          <w:kern w:val="1"/>
          <w:sz w:val="24"/>
          <w:szCs w:val="24"/>
          <w:u w:val="none"/>
          <w:lang w:val="en-GB"/>
        </w:rPr>
      </w:pPr>
      <w:r w:rsidRPr="000542DA">
        <w:rPr>
          <w:rStyle w:val="IntenseReference"/>
          <w:rFonts w:ascii="Times New Roman" w:hAnsi="Times New Roman"/>
          <w:b w:val="0"/>
          <w:bCs w:val="0"/>
          <w:smallCaps w:val="0"/>
          <w:color w:val="auto"/>
          <w:spacing w:val="0"/>
          <w:kern w:val="1"/>
          <w:sz w:val="24"/>
          <w:szCs w:val="24"/>
          <w:u w:val="none"/>
          <w:lang w:val="en-GB"/>
        </w:rPr>
        <w:t xml:space="preserve">IEC/IEEE, </w:t>
      </w:r>
      <w:r w:rsidR="00DF498E" w:rsidRPr="000542DA">
        <w:rPr>
          <w:rStyle w:val="IntenseReference"/>
          <w:rFonts w:ascii="Times New Roman" w:hAnsi="Times New Roman"/>
          <w:b w:val="0"/>
          <w:bCs w:val="0"/>
          <w:smallCaps w:val="0"/>
          <w:color w:val="auto"/>
          <w:spacing w:val="0"/>
          <w:kern w:val="1"/>
          <w:sz w:val="24"/>
          <w:szCs w:val="24"/>
          <w:u w:val="none"/>
          <w:lang w:val="en-GB"/>
        </w:rPr>
        <w:t>“</w:t>
      </w:r>
      <w:r w:rsidRPr="000542DA">
        <w:rPr>
          <w:rStyle w:val="IntenseReference"/>
          <w:rFonts w:ascii="Times New Roman" w:hAnsi="Times New Roman"/>
          <w:b w:val="0"/>
          <w:bCs w:val="0"/>
          <w:smallCaps w:val="0"/>
          <w:color w:val="auto"/>
          <w:spacing w:val="0"/>
          <w:kern w:val="1"/>
          <w:sz w:val="24"/>
          <w:szCs w:val="24"/>
          <w:u w:val="none"/>
          <w:lang w:val="en-GB"/>
        </w:rPr>
        <w:t>Nuclear power plants – Instrumentation and control important to safety Electrical equipment condition monitoring methods</w:t>
      </w:r>
      <w:r w:rsidR="00DF498E" w:rsidRPr="000542DA">
        <w:rPr>
          <w:rStyle w:val="IntenseReference"/>
          <w:rFonts w:ascii="Times New Roman" w:hAnsi="Times New Roman"/>
          <w:b w:val="0"/>
          <w:bCs w:val="0"/>
          <w:smallCaps w:val="0"/>
          <w:color w:val="auto"/>
          <w:spacing w:val="0"/>
          <w:kern w:val="1"/>
          <w:sz w:val="24"/>
          <w:szCs w:val="24"/>
          <w:u w:val="none"/>
          <w:lang w:val="en-GB"/>
        </w:rPr>
        <w:t>”</w:t>
      </w:r>
      <w:r w:rsidR="00113078" w:rsidRPr="000542DA">
        <w:rPr>
          <w:rStyle w:val="IntenseReference"/>
          <w:rFonts w:ascii="Times New Roman" w:hAnsi="Times New Roman"/>
          <w:b w:val="0"/>
          <w:bCs w:val="0"/>
          <w:smallCaps w:val="0"/>
          <w:color w:val="auto"/>
          <w:spacing w:val="0"/>
          <w:kern w:val="1"/>
          <w:sz w:val="24"/>
          <w:szCs w:val="24"/>
          <w:u w:val="none"/>
          <w:lang w:val="en-GB"/>
        </w:rPr>
        <w:t>, IEC/IEEE 62582</w:t>
      </w:r>
      <w:r w:rsidRPr="000542DA">
        <w:rPr>
          <w:rStyle w:val="IntenseReference"/>
          <w:rFonts w:ascii="Times New Roman" w:hAnsi="Times New Roman"/>
          <w:b w:val="0"/>
          <w:bCs w:val="0"/>
          <w:smallCaps w:val="0"/>
          <w:color w:val="auto"/>
          <w:spacing w:val="0"/>
          <w:kern w:val="1"/>
          <w:sz w:val="24"/>
          <w:szCs w:val="24"/>
          <w:u w:val="none"/>
          <w:lang w:val="en-GB"/>
        </w:rPr>
        <w:t>.</w:t>
      </w:r>
    </w:p>
    <w:p w14:paraId="03E0AC77" w14:textId="77777777" w:rsidR="005D24AB" w:rsidRPr="000542DA" w:rsidRDefault="005D24AB" w:rsidP="00566711">
      <w:pPr>
        <w:pStyle w:val="IGALLReferences"/>
        <w:ind w:left="567" w:hanging="567"/>
        <w:rPr>
          <w:rStyle w:val="IntenseReference"/>
          <w:rFonts w:ascii="Times New Roman" w:hAnsi="Times New Roman"/>
          <w:b w:val="0"/>
          <w:bCs w:val="0"/>
          <w:smallCaps w:val="0"/>
          <w:color w:val="auto"/>
          <w:spacing w:val="0"/>
          <w:kern w:val="1"/>
          <w:sz w:val="24"/>
          <w:szCs w:val="24"/>
          <w:u w:val="none"/>
          <w:lang w:val="en-GB"/>
        </w:rPr>
      </w:pPr>
      <w:r w:rsidRPr="000542DA">
        <w:rPr>
          <w:rStyle w:val="IntenseReference"/>
          <w:rFonts w:ascii="Times New Roman" w:hAnsi="Times New Roman"/>
          <w:b w:val="0"/>
          <w:bCs w:val="0"/>
          <w:smallCaps w:val="0"/>
          <w:color w:val="auto"/>
          <w:spacing w:val="0"/>
          <w:kern w:val="1"/>
          <w:sz w:val="24"/>
          <w:szCs w:val="24"/>
          <w:u w:val="none"/>
          <w:lang w:val="en-GB"/>
        </w:rPr>
        <w:lastRenderedPageBreak/>
        <w:t>J</w:t>
      </w:r>
      <w:r w:rsidR="00DF498E" w:rsidRPr="000542DA">
        <w:rPr>
          <w:rStyle w:val="IntenseReference"/>
          <w:rFonts w:ascii="Times New Roman" w:hAnsi="Times New Roman"/>
          <w:b w:val="0"/>
          <w:bCs w:val="0"/>
          <w:smallCaps w:val="0"/>
          <w:color w:val="auto"/>
          <w:spacing w:val="0"/>
          <w:kern w:val="1"/>
          <w:sz w:val="24"/>
          <w:szCs w:val="24"/>
          <w:u w:val="none"/>
          <w:lang w:val="en-GB"/>
        </w:rPr>
        <w:t>APAN</w:t>
      </w:r>
      <w:r w:rsidRPr="000542DA">
        <w:rPr>
          <w:rStyle w:val="IntenseReference"/>
          <w:rFonts w:ascii="Times New Roman" w:hAnsi="Times New Roman"/>
          <w:b w:val="0"/>
          <w:bCs w:val="0"/>
          <w:smallCaps w:val="0"/>
          <w:color w:val="auto"/>
          <w:spacing w:val="0"/>
          <w:kern w:val="1"/>
          <w:sz w:val="24"/>
          <w:szCs w:val="24"/>
          <w:u w:val="none"/>
          <w:lang w:val="en-GB"/>
        </w:rPr>
        <w:t xml:space="preserve"> N</w:t>
      </w:r>
      <w:r w:rsidR="00DF498E" w:rsidRPr="000542DA">
        <w:rPr>
          <w:rStyle w:val="IntenseReference"/>
          <w:rFonts w:ascii="Times New Roman" w:hAnsi="Times New Roman"/>
          <w:b w:val="0"/>
          <w:bCs w:val="0"/>
          <w:smallCaps w:val="0"/>
          <w:color w:val="auto"/>
          <w:spacing w:val="0"/>
          <w:kern w:val="1"/>
          <w:sz w:val="24"/>
          <w:szCs w:val="24"/>
          <w:u w:val="none"/>
          <w:lang w:val="en-GB"/>
        </w:rPr>
        <w:t>UCLEAR</w:t>
      </w:r>
      <w:r w:rsidRPr="000542DA">
        <w:rPr>
          <w:rStyle w:val="IntenseReference"/>
          <w:rFonts w:ascii="Times New Roman" w:hAnsi="Times New Roman"/>
          <w:b w:val="0"/>
          <w:bCs w:val="0"/>
          <w:smallCaps w:val="0"/>
          <w:color w:val="auto"/>
          <w:spacing w:val="0"/>
          <w:kern w:val="1"/>
          <w:sz w:val="24"/>
          <w:szCs w:val="24"/>
          <w:u w:val="none"/>
          <w:lang w:val="en-GB"/>
        </w:rPr>
        <w:t xml:space="preserve"> E</w:t>
      </w:r>
      <w:r w:rsidR="00DF498E" w:rsidRPr="000542DA">
        <w:rPr>
          <w:rStyle w:val="IntenseReference"/>
          <w:rFonts w:ascii="Times New Roman" w:hAnsi="Times New Roman"/>
          <w:b w:val="0"/>
          <w:bCs w:val="0"/>
          <w:smallCaps w:val="0"/>
          <w:color w:val="auto"/>
          <w:spacing w:val="0"/>
          <w:kern w:val="1"/>
          <w:sz w:val="24"/>
          <w:szCs w:val="24"/>
          <w:u w:val="none"/>
          <w:lang w:val="en-GB"/>
        </w:rPr>
        <w:t>NERGY</w:t>
      </w:r>
      <w:r w:rsidRPr="000542DA">
        <w:rPr>
          <w:rStyle w:val="IntenseReference"/>
          <w:rFonts w:ascii="Times New Roman" w:hAnsi="Times New Roman"/>
          <w:b w:val="0"/>
          <w:bCs w:val="0"/>
          <w:smallCaps w:val="0"/>
          <w:color w:val="auto"/>
          <w:spacing w:val="0"/>
          <w:kern w:val="1"/>
          <w:sz w:val="24"/>
          <w:szCs w:val="24"/>
          <w:u w:val="none"/>
          <w:lang w:val="en-GB"/>
        </w:rPr>
        <w:t xml:space="preserve"> S</w:t>
      </w:r>
      <w:r w:rsidR="00DF498E" w:rsidRPr="000542DA">
        <w:rPr>
          <w:rStyle w:val="IntenseReference"/>
          <w:rFonts w:ascii="Times New Roman" w:hAnsi="Times New Roman"/>
          <w:b w:val="0"/>
          <w:bCs w:val="0"/>
          <w:smallCaps w:val="0"/>
          <w:color w:val="auto"/>
          <w:spacing w:val="0"/>
          <w:kern w:val="1"/>
          <w:sz w:val="24"/>
          <w:szCs w:val="24"/>
          <w:u w:val="none"/>
          <w:lang w:val="en-GB"/>
        </w:rPr>
        <w:t>AFETY</w:t>
      </w:r>
      <w:r w:rsidRPr="000542DA">
        <w:rPr>
          <w:rStyle w:val="IntenseReference"/>
          <w:rFonts w:ascii="Times New Roman" w:hAnsi="Times New Roman"/>
          <w:b w:val="0"/>
          <w:bCs w:val="0"/>
          <w:smallCaps w:val="0"/>
          <w:color w:val="auto"/>
          <w:spacing w:val="0"/>
          <w:kern w:val="1"/>
          <w:sz w:val="24"/>
          <w:szCs w:val="24"/>
          <w:u w:val="none"/>
          <w:lang w:val="en-GB"/>
        </w:rPr>
        <w:t xml:space="preserve"> O</w:t>
      </w:r>
      <w:r w:rsidR="00DF498E" w:rsidRPr="000542DA">
        <w:rPr>
          <w:rStyle w:val="IntenseReference"/>
          <w:rFonts w:ascii="Times New Roman" w:hAnsi="Times New Roman"/>
          <w:b w:val="0"/>
          <w:bCs w:val="0"/>
          <w:smallCaps w:val="0"/>
          <w:color w:val="auto"/>
          <w:spacing w:val="0"/>
          <w:kern w:val="1"/>
          <w:sz w:val="24"/>
          <w:szCs w:val="24"/>
          <w:u w:val="none"/>
          <w:lang w:val="en-GB"/>
        </w:rPr>
        <w:t>RGANIZATION</w:t>
      </w:r>
      <w:r w:rsidRPr="000542DA">
        <w:rPr>
          <w:rStyle w:val="IntenseReference"/>
          <w:rFonts w:ascii="Times New Roman" w:hAnsi="Times New Roman"/>
          <w:b w:val="0"/>
          <w:bCs w:val="0"/>
          <w:smallCaps w:val="0"/>
          <w:color w:val="auto"/>
          <w:spacing w:val="0"/>
          <w:kern w:val="1"/>
          <w:sz w:val="24"/>
          <w:szCs w:val="24"/>
          <w:u w:val="none"/>
          <w:lang w:val="en-GB"/>
        </w:rPr>
        <w:t>, “The Final Report of the Project of “Assessment of Cable Aging for Nuclear Power Plants”</w:t>
      </w:r>
      <w:r w:rsidR="00DF498E" w:rsidRPr="000542DA">
        <w:rPr>
          <w:rStyle w:val="IntenseReference"/>
          <w:rFonts w:ascii="Times New Roman" w:hAnsi="Times New Roman"/>
          <w:b w:val="0"/>
          <w:bCs w:val="0"/>
          <w:smallCaps w:val="0"/>
          <w:color w:val="auto"/>
          <w:spacing w:val="0"/>
          <w:kern w:val="1"/>
          <w:sz w:val="24"/>
          <w:szCs w:val="24"/>
          <w:u w:val="none"/>
          <w:lang w:val="en-GB"/>
        </w:rPr>
        <w:t>, JNES-SS-0903,</w:t>
      </w:r>
      <w:r w:rsidRPr="000542DA">
        <w:rPr>
          <w:rStyle w:val="IntenseReference"/>
          <w:rFonts w:ascii="Times New Roman" w:hAnsi="Times New Roman"/>
          <w:b w:val="0"/>
          <w:bCs w:val="0"/>
          <w:smallCaps w:val="0"/>
          <w:color w:val="auto"/>
          <w:spacing w:val="0"/>
          <w:kern w:val="1"/>
          <w:sz w:val="24"/>
          <w:szCs w:val="24"/>
          <w:u w:val="none"/>
          <w:lang w:val="en-GB"/>
        </w:rPr>
        <w:t xml:space="preserve"> July 2009.</w:t>
      </w:r>
    </w:p>
    <w:p w14:paraId="5D44F352" w14:textId="77777777" w:rsidR="00113078" w:rsidRPr="000542DA" w:rsidRDefault="00113078" w:rsidP="00566711">
      <w:pPr>
        <w:pStyle w:val="IGALLReferences"/>
        <w:ind w:left="567" w:hanging="567"/>
        <w:rPr>
          <w:rStyle w:val="IntenseReference"/>
          <w:rFonts w:ascii="Times New Roman" w:hAnsi="Times New Roman"/>
          <w:b w:val="0"/>
          <w:bCs w:val="0"/>
          <w:smallCaps w:val="0"/>
          <w:color w:val="auto"/>
          <w:spacing w:val="0"/>
          <w:kern w:val="1"/>
          <w:sz w:val="24"/>
          <w:szCs w:val="24"/>
          <w:u w:val="none"/>
          <w:lang w:val="en-GB"/>
        </w:rPr>
      </w:pPr>
      <w:r w:rsidRPr="000542DA">
        <w:rPr>
          <w:rStyle w:val="IntenseReference"/>
          <w:rFonts w:ascii="Times New Roman" w:hAnsi="Times New Roman"/>
          <w:b w:val="0"/>
          <w:bCs w:val="0"/>
          <w:smallCaps w:val="0"/>
          <w:color w:val="auto"/>
          <w:spacing w:val="0"/>
          <w:kern w:val="1"/>
          <w:sz w:val="24"/>
          <w:szCs w:val="24"/>
          <w:u w:val="none"/>
          <w:lang w:val="en-GB"/>
        </w:rPr>
        <w:t xml:space="preserve">IEEE, </w:t>
      </w:r>
      <w:r w:rsidR="00DF498E" w:rsidRPr="000542DA">
        <w:rPr>
          <w:rStyle w:val="IntenseReference"/>
          <w:rFonts w:ascii="Times New Roman" w:hAnsi="Times New Roman"/>
          <w:b w:val="0"/>
          <w:bCs w:val="0"/>
          <w:smallCaps w:val="0"/>
          <w:color w:val="auto"/>
          <w:spacing w:val="0"/>
          <w:kern w:val="1"/>
          <w:sz w:val="24"/>
          <w:szCs w:val="24"/>
          <w:u w:val="none"/>
          <w:lang w:val="en-GB"/>
        </w:rPr>
        <w:t>“</w:t>
      </w:r>
      <w:r w:rsidRPr="000542DA">
        <w:rPr>
          <w:rStyle w:val="IntenseReference"/>
          <w:rFonts w:ascii="Times New Roman" w:hAnsi="Times New Roman"/>
          <w:b w:val="0"/>
          <w:bCs w:val="0"/>
          <w:smallCaps w:val="0"/>
          <w:color w:val="auto"/>
          <w:spacing w:val="0"/>
          <w:kern w:val="1"/>
          <w:sz w:val="24"/>
          <w:szCs w:val="24"/>
          <w:u w:val="none"/>
          <w:lang w:val="en-GB"/>
        </w:rPr>
        <w:t>IEEE Standard for Qualifying Class 1E Equipment for Nuclear Power Generating Stations</w:t>
      </w:r>
      <w:r w:rsidR="00DF498E" w:rsidRPr="000542DA">
        <w:rPr>
          <w:rStyle w:val="IntenseReference"/>
          <w:rFonts w:ascii="Times New Roman" w:hAnsi="Times New Roman"/>
          <w:b w:val="0"/>
          <w:bCs w:val="0"/>
          <w:smallCaps w:val="0"/>
          <w:color w:val="auto"/>
          <w:spacing w:val="0"/>
          <w:kern w:val="1"/>
          <w:sz w:val="24"/>
          <w:szCs w:val="24"/>
          <w:u w:val="none"/>
          <w:lang w:val="en-GB"/>
        </w:rPr>
        <w:t>”</w:t>
      </w:r>
      <w:r w:rsidRPr="000542DA">
        <w:rPr>
          <w:rStyle w:val="IntenseReference"/>
          <w:rFonts w:ascii="Times New Roman" w:hAnsi="Times New Roman"/>
          <w:b w:val="0"/>
          <w:bCs w:val="0"/>
          <w:smallCaps w:val="0"/>
          <w:color w:val="auto"/>
          <w:spacing w:val="0"/>
          <w:kern w:val="1"/>
          <w:sz w:val="24"/>
          <w:szCs w:val="24"/>
          <w:u w:val="none"/>
          <w:lang w:val="en-GB"/>
        </w:rPr>
        <w:t>, IEEE Std 323-1974, 1974.</w:t>
      </w:r>
    </w:p>
    <w:p w14:paraId="3937836E" w14:textId="77777777" w:rsidR="005D24AB" w:rsidRPr="000542DA" w:rsidRDefault="00113078" w:rsidP="00566711">
      <w:pPr>
        <w:pStyle w:val="IGALLReferences"/>
        <w:ind w:left="567" w:hanging="567"/>
        <w:rPr>
          <w:rStyle w:val="IntenseReference"/>
          <w:rFonts w:ascii="Times New Roman" w:hAnsi="Times New Roman"/>
          <w:b w:val="0"/>
          <w:bCs w:val="0"/>
          <w:smallCaps w:val="0"/>
          <w:color w:val="auto"/>
          <w:spacing w:val="0"/>
          <w:kern w:val="1"/>
          <w:sz w:val="24"/>
          <w:szCs w:val="24"/>
          <w:u w:val="none"/>
          <w:lang w:val="en-GB"/>
        </w:rPr>
      </w:pPr>
      <w:r w:rsidRPr="000542DA">
        <w:rPr>
          <w:rStyle w:val="IntenseReference"/>
          <w:rFonts w:ascii="Times New Roman" w:hAnsi="Times New Roman"/>
          <w:b w:val="0"/>
          <w:bCs w:val="0"/>
          <w:smallCaps w:val="0"/>
          <w:color w:val="auto"/>
          <w:spacing w:val="0"/>
          <w:kern w:val="1"/>
          <w:sz w:val="24"/>
          <w:szCs w:val="24"/>
          <w:u w:val="none"/>
          <w:lang w:val="en-GB"/>
        </w:rPr>
        <w:t xml:space="preserve">SANDIA NATIONAL LABORATORIES, </w:t>
      </w:r>
      <w:r w:rsidR="00217B64" w:rsidRPr="000542DA">
        <w:rPr>
          <w:rStyle w:val="IntenseReference"/>
          <w:rFonts w:ascii="Times New Roman" w:hAnsi="Times New Roman"/>
          <w:b w:val="0"/>
          <w:bCs w:val="0"/>
          <w:smallCaps w:val="0"/>
          <w:color w:val="auto"/>
          <w:spacing w:val="0"/>
          <w:kern w:val="1"/>
          <w:sz w:val="24"/>
          <w:szCs w:val="24"/>
          <w:u w:val="none"/>
          <w:lang w:val="en-GB"/>
        </w:rPr>
        <w:t>“N</w:t>
      </w:r>
      <w:r w:rsidRPr="000542DA">
        <w:rPr>
          <w:rStyle w:val="IntenseReference"/>
          <w:rFonts w:ascii="Times New Roman" w:hAnsi="Times New Roman"/>
          <w:b w:val="0"/>
          <w:bCs w:val="0"/>
          <w:smallCaps w:val="0"/>
          <w:color w:val="auto"/>
          <w:spacing w:val="0"/>
          <w:kern w:val="1"/>
          <w:sz w:val="24"/>
          <w:szCs w:val="24"/>
          <w:u w:val="none"/>
          <w:lang w:val="en-GB"/>
        </w:rPr>
        <w:t xml:space="preserve">uclear </w:t>
      </w:r>
      <w:r w:rsidR="00217B64" w:rsidRPr="000542DA">
        <w:rPr>
          <w:rStyle w:val="IntenseReference"/>
          <w:rFonts w:ascii="Times New Roman" w:hAnsi="Times New Roman"/>
          <w:b w:val="0"/>
          <w:bCs w:val="0"/>
          <w:smallCaps w:val="0"/>
          <w:color w:val="auto"/>
          <w:spacing w:val="0"/>
          <w:kern w:val="1"/>
          <w:sz w:val="24"/>
          <w:szCs w:val="24"/>
          <w:u w:val="none"/>
          <w:lang w:val="en-GB"/>
        </w:rPr>
        <w:t>P</w:t>
      </w:r>
      <w:r w:rsidRPr="000542DA">
        <w:rPr>
          <w:rStyle w:val="IntenseReference"/>
          <w:rFonts w:ascii="Times New Roman" w:hAnsi="Times New Roman"/>
          <w:b w:val="0"/>
          <w:bCs w:val="0"/>
          <w:smallCaps w:val="0"/>
          <w:color w:val="auto"/>
          <w:spacing w:val="0"/>
          <w:kern w:val="1"/>
          <w:sz w:val="24"/>
          <w:szCs w:val="24"/>
          <w:u w:val="none"/>
          <w:lang w:val="en-GB"/>
        </w:rPr>
        <w:t xml:space="preserve">ower </w:t>
      </w:r>
      <w:r w:rsidR="00217B64" w:rsidRPr="000542DA">
        <w:rPr>
          <w:rStyle w:val="IntenseReference"/>
          <w:rFonts w:ascii="Times New Roman" w:hAnsi="Times New Roman"/>
          <w:b w:val="0"/>
          <w:bCs w:val="0"/>
          <w:smallCaps w:val="0"/>
          <w:color w:val="auto"/>
          <w:spacing w:val="0"/>
          <w:kern w:val="1"/>
          <w:sz w:val="24"/>
          <w:szCs w:val="24"/>
          <w:u w:val="none"/>
          <w:lang w:val="en-GB"/>
        </w:rPr>
        <w:t>P</w:t>
      </w:r>
      <w:r w:rsidRPr="000542DA">
        <w:rPr>
          <w:rStyle w:val="IntenseReference"/>
          <w:rFonts w:ascii="Times New Roman" w:hAnsi="Times New Roman"/>
          <w:b w:val="0"/>
          <w:bCs w:val="0"/>
          <w:smallCaps w:val="0"/>
          <w:color w:val="auto"/>
          <w:spacing w:val="0"/>
          <w:kern w:val="1"/>
          <w:sz w:val="24"/>
          <w:szCs w:val="24"/>
          <w:u w:val="none"/>
          <w:lang w:val="en-GB"/>
        </w:rPr>
        <w:t>lant</w:t>
      </w:r>
      <w:r w:rsidR="00217B64" w:rsidRPr="000542DA">
        <w:rPr>
          <w:rStyle w:val="IntenseReference"/>
          <w:rFonts w:ascii="Times New Roman" w:hAnsi="Times New Roman"/>
          <w:b w:val="0"/>
          <w:bCs w:val="0"/>
          <w:smallCaps w:val="0"/>
          <w:color w:val="auto"/>
          <w:spacing w:val="0"/>
          <w:kern w:val="1"/>
          <w:sz w:val="24"/>
          <w:szCs w:val="24"/>
          <w:u w:val="none"/>
          <w:lang w:val="en-GB"/>
        </w:rPr>
        <w:t xml:space="preserve"> </w:t>
      </w:r>
      <w:r w:rsidRPr="000542DA">
        <w:rPr>
          <w:rStyle w:val="IntenseReference"/>
          <w:rFonts w:ascii="Times New Roman" w:hAnsi="Times New Roman"/>
          <w:b w:val="0"/>
          <w:bCs w:val="0"/>
          <w:smallCaps w:val="0"/>
          <w:color w:val="auto"/>
          <w:spacing w:val="0"/>
          <w:kern w:val="1"/>
          <w:sz w:val="24"/>
          <w:szCs w:val="24"/>
          <w:u w:val="none"/>
          <w:lang w:val="en-GB"/>
        </w:rPr>
        <w:t>C</w:t>
      </w:r>
      <w:r w:rsidR="00217B64" w:rsidRPr="000542DA">
        <w:rPr>
          <w:rStyle w:val="IntenseReference"/>
          <w:rFonts w:ascii="Times New Roman" w:hAnsi="Times New Roman"/>
          <w:b w:val="0"/>
          <w:bCs w:val="0"/>
          <w:smallCaps w:val="0"/>
          <w:color w:val="auto"/>
          <w:spacing w:val="0"/>
          <w:kern w:val="1"/>
          <w:sz w:val="24"/>
          <w:szCs w:val="24"/>
          <w:u w:val="none"/>
          <w:lang w:val="en-GB"/>
        </w:rPr>
        <w:t xml:space="preserve">able </w:t>
      </w:r>
      <w:r w:rsidRPr="000542DA">
        <w:rPr>
          <w:rStyle w:val="IntenseReference"/>
          <w:rFonts w:ascii="Times New Roman" w:hAnsi="Times New Roman"/>
          <w:b w:val="0"/>
          <w:bCs w:val="0"/>
          <w:smallCaps w:val="0"/>
          <w:color w:val="auto"/>
          <w:spacing w:val="0"/>
          <w:kern w:val="1"/>
          <w:sz w:val="24"/>
          <w:szCs w:val="24"/>
          <w:u w:val="none"/>
          <w:lang w:val="en-GB"/>
        </w:rPr>
        <w:t>M</w:t>
      </w:r>
      <w:r w:rsidR="00217B64" w:rsidRPr="000542DA">
        <w:rPr>
          <w:rStyle w:val="IntenseReference"/>
          <w:rFonts w:ascii="Times New Roman" w:hAnsi="Times New Roman"/>
          <w:b w:val="0"/>
          <w:bCs w:val="0"/>
          <w:smallCaps w:val="0"/>
          <w:color w:val="auto"/>
          <w:spacing w:val="0"/>
          <w:kern w:val="1"/>
          <w:sz w:val="24"/>
          <w:szCs w:val="24"/>
          <w:u w:val="none"/>
          <w:lang w:val="en-GB"/>
        </w:rPr>
        <w:t>aterials</w:t>
      </w:r>
      <w:r w:rsidRPr="000542DA">
        <w:rPr>
          <w:rStyle w:val="IntenseReference"/>
          <w:rFonts w:ascii="Times New Roman" w:hAnsi="Times New Roman"/>
          <w:b w:val="0"/>
          <w:bCs w:val="0"/>
          <w:smallCaps w:val="0"/>
          <w:color w:val="auto"/>
          <w:spacing w:val="0"/>
          <w:kern w:val="1"/>
          <w:sz w:val="24"/>
          <w:szCs w:val="24"/>
          <w:u w:val="none"/>
          <w:lang w:val="en-GB"/>
        </w:rPr>
        <w:t>:</w:t>
      </w:r>
      <w:r w:rsidR="00217B64" w:rsidRPr="000542DA">
        <w:rPr>
          <w:rStyle w:val="IntenseReference"/>
          <w:rFonts w:ascii="Times New Roman" w:hAnsi="Times New Roman"/>
          <w:b w:val="0"/>
          <w:bCs w:val="0"/>
          <w:smallCaps w:val="0"/>
          <w:color w:val="auto"/>
          <w:spacing w:val="0"/>
          <w:kern w:val="1"/>
          <w:sz w:val="24"/>
          <w:szCs w:val="24"/>
          <w:u w:val="none"/>
          <w:lang w:val="en-GB"/>
        </w:rPr>
        <w:t xml:space="preserve"> Review of </w:t>
      </w:r>
      <w:r w:rsidRPr="000542DA">
        <w:rPr>
          <w:rStyle w:val="IntenseReference"/>
          <w:rFonts w:ascii="Times New Roman" w:hAnsi="Times New Roman"/>
          <w:b w:val="0"/>
          <w:bCs w:val="0"/>
          <w:smallCaps w:val="0"/>
          <w:color w:val="auto"/>
          <w:spacing w:val="0"/>
          <w:kern w:val="1"/>
          <w:sz w:val="24"/>
          <w:szCs w:val="24"/>
          <w:u w:val="none"/>
          <w:lang w:val="en-GB"/>
        </w:rPr>
        <w:t>Q</w:t>
      </w:r>
      <w:r w:rsidR="00217B64" w:rsidRPr="000542DA">
        <w:rPr>
          <w:rStyle w:val="IntenseReference"/>
          <w:rFonts w:ascii="Times New Roman" w:hAnsi="Times New Roman"/>
          <w:b w:val="0"/>
          <w:bCs w:val="0"/>
          <w:smallCaps w:val="0"/>
          <w:color w:val="auto"/>
          <w:spacing w:val="0"/>
          <w:kern w:val="1"/>
          <w:sz w:val="24"/>
          <w:szCs w:val="24"/>
          <w:u w:val="none"/>
          <w:lang w:val="en-GB"/>
        </w:rPr>
        <w:t xml:space="preserve">ualification and </w:t>
      </w:r>
      <w:r w:rsidRPr="000542DA">
        <w:rPr>
          <w:rStyle w:val="IntenseReference"/>
          <w:rFonts w:ascii="Times New Roman" w:hAnsi="Times New Roman"/>
          <w:b w:val="0"/>
          <w:bCs w:val="0"/>
          <w:smallCaps w:val="0"/>
          <w:color w:val="auto"/>
          <w:spacing w:val="0"/>
          <w:kern w:val="1"/>
          <w:sz w:val="24"/>
          <w:szCs w:val="24"/>
          <w:u w:val="none"/>
          <w:lang w:val="en-GB"/>
        </w:rPr>
        <w:t>C</w:t>
      </w:r>
      <w:r w:rsidR="00217B64" w:rsidRPr="000542DA">
        <w:rPr>
          <w:rStyle w:val="IntenseReference"/>
          <w:rFonts w:ascii="Times New Roman" w:hAnsi="Times New Roman"/>
          <w:b w:val="0"/>
          <w:bCs w:val="0"/>
          <w:smallCaps w:val="0"/>
          <w:color w:val="auto"/>
          <w:spacing w:val="0"/>
          <w:kern w:val="1"/>
          <w:sz w:val="24"/>
          <w:szCs w:val="24"/>
          <w:u w:val="none"/>
          <w:lang w:val="en-GB"/>
        </w:rPr>
        <w:t xml:space="preserve">urrently </w:t>
      </w:r>
      <w:r w:rsidRPr="000542DA">
        <w:rPr>
          <w:rStyle w:val="IntenseReference"/>
          <w:rFonts w:ascii="Times New Roman" w:hAnsi="Times New Roman"/>
          <w:b w:val="0"/>
          <w:bCs w:val="0"/>
          <w:smallCaps w:val="0"/>
          <w:color w:val="auto"/>
          <w:spacing w:val="0"/>
          <w:kern w:val="1"/>
          <w:sz w:val="24"/>
          <w:szCs w:val="24"/>
          <w:u w:val="none"/>
          <w:lang w:val="en-GB"/>
        </w:rPr>
        <w:t>A</w:t>
      </w:r>
      <w:r w:rsidR="00217B64" w:rsidRPr="000542DA">
        <w:rPr>
          <w:rStyle w:val="IntenseReference"/>
          <w:rFonts w:ascii="Times New Roman" w:hAnsi="Times New Roman"/>
          <w:b w:val="0"/>
          <w:bCs w:val="0"/>
          <w:smallCaps w:val="0"/>
          <w:color w:val="auto"/>
          <w:spacing w:val="0"/>
          <w:kern w:val="1"/>
          <w:sz w:val="24"/>
          <w:szCs w:val="24"/>
          <w:u w:val="none"/>
          <w:lang w:val="en-GB"/>
        </w:rPr>
        <w:t xml:space="preserve">vailable </w:t>
      </w:r>
      <w:r w:rsidRPr="000542DA">
        <w:rPr>
          <w:rStyle w:val="IntenseReference"/>
          <w:rFonts w:ascii="Times New Roman" w:hAnsi="Times New Roman"/>
          <w:b w:val="0"/>
          <w:bCs w:val="0"/>
          <w:smallCaps w:val="0"/>
          <w:color w:val="auto"/>
          <w:spacing w:val="0"/>
          <w:kern w:val="1"/>
          <w:sz w:val="24"/>
          <w:szCs w:val="24"/>
          <w:u w:val="none"/>
          <w:lang w:val="en-GB"/>
        </w:rPr>
        <w:t>A</w:t>
      </w:r>
      <w:r w:rsidR="00217B64" w:rsidRPr="000542DA">
        <w:rPr>
          <w:rStyle w:val="IntenseReference"/>
          <w:rFonts w:ascii="Times New Roman" w:hAnsi="Times New Roman"/>
          <w:b w:val="0"/>
          <w:bCs w:val="0"/>
          <w:smallCaps w:val="0"/>
          <w:color w:val="auto"/>
          <w:spacing w:val="0"/>
          <w:kern w:val="1"/>
          <w:sz w:val="24"/>
          <w:szCs w:val="24"/>
          <w:u w:val="none"/>
          <w:lang w:val="en-GB"/>
        </w:rPr>
        <w:t xml:space="preserve">geing Data for Margin </w:t>
      </w:r>
      <w:r w:rsidRPr="000542DA">
        <w:rPr>
          <w:rStyle w:val="IntenseReference"/>
          <w:rFonts w:ascii="Times New Roman" w:hAnsi="Times New Roman"/>
          <w:b w:val="0"/>
          <w:bCs w:val="0"/>
          <w:smallCaps w:val="0"/>
          <w:color w:val="auto"/>
          <w:spacing w:val="0"/>
          <w:kern w:val="1"/>
          <w:sz w:val="24"/>
          <w:szCs w:val="24"/>
          <w:u w:val="none"/>
          <w:lang w:val="en-GB"/>
        </w:rPr>
        <w:t>A</w:t>
      </w:r>
      <w:r w:rsidR="00217B64" w:rsidRPr="000542DA">
        <w:rPr>
          <w:rStyle w:val="IntenseReference"/>
          <w:rFonts w:ascii="Times New Roman" w:hAnsi="Times New Roman"/>
          <w:b w:val="0"/>
          <w:bCs w:val="0"/>
          <w:smallCaps w:val="0"/>
          <w:color w:val="auto"/>
          <w:spacing w:val="0"/>
          <w:kern w:val="1"/>
          <w:sz w:val="24"/>
          <w:szCs w:val="24"/>
          <w:u w:val="none"/>
          <w:lang w:val="en-GB"/>
        </w:rPr>
        <w:t>ssessment</w:t>
      </w:r>
      <w:r w:rsidRPr="000542DA">
        <w:rPr>
          <w:rStyle w:val="IntenseReference"/>
          <w:rFonts w:ascii="Times New Roman" w:hAnsi="Times New Roman"/>
          <w:b w:val="0"/>
          <w:bCs w:val="0"/>
          <w:smallCaps w:val="0"/>
          <w:color w:val="auto"/>
          <w:spacing w:val="0"/>
          <w:kern w:val="1"/>
          <w:sz w:val="24"/>
          <w:szCs w:val="24"/>
          <w:u w:val="none"/>
          <w:lang w:val="en-GB"/>
        </w:rPr>
        <w:t>s</w:t>
      </w:r>
      <w:r w:rsidR="00217B64" w:rsidRPr="000542DA">
        <w:rPr>
          <w:rStyle w:val="IntenseReference"/>
          <w:rFonts w:ascii="Times New Roman" w:hAnsi="Times New Roman"/>
          <w:b w:val="0"/>
          <w:bCs w:val="0"/>
          <w:smallCaps w:val="0"/>
          <w:color w:val="auto"/>
          <w:spacing w:val="0"/>
          <w:kern w:val="1"/>
          <w:sz w:val="24"/>
          <w:szCs w:val="24"/>
          <w:u w:val="none"/>
          <w:lang w:val="en-GB"/>
        </w:rPr>
        <w:t xml:space="preserve"> in </w:t>
      </w:r>
      <w:r w:rsidRPr="000542DA">
        <w:rPr>
          <w:rStyle w:val="IntenseReference"/>
          <w:rFonts w:ascii="Times New Roman" w:hAnsi="Times New Roman"/>
          <w:b w:val="0"/>
          <w:bCs w:val="0"/>
          <w:smallCaps w:val="0"/>
          <w:color w:val="auto"/>
          <w:spacing w:val="0"/>
          <w:kern w:val="1"/>
          <w:sz w:val="24"/>
          <w:szCs w:val="24"/>
          <w:u w:val="none"/>
          <w:lang w:val="en-GB"/>
        </w:rPr>
        <w:t>C</w:t>
      </w:r>
      <w:r w:rsidR="00217B64" w:rsidRPr="000542DA">
        <w:rPr>
          <w:rStyle w:val="IntenseReference"/>
          <w:rFonts w:ascii="Times New Roman" w:hAnsi="Times New Roman"/>
          <w:b w:val="0"/>
          <w:bCs w:val="0"/>
          <w:smallCaps w:val="0"/>
          <w:color w:val="auto"/>
          <w:spacing w:val="0"/>
          <w:kern w:val="1"/>
          <w:sz w:val="24"/>
          <w:szCs w:val="24"/>
          <w:u w:val="none"/>
          <w:lang w:val="en-GB"/>
        </w:rPr>
        <w:t xml:space="preserve">able Performance”, </w:t>
      </w:r>
      <w:r w:rsidRPr="000542DA">
        <w:rPr>
          <w:rStyle w:val="IntenseReference"/>
          <w:rFonts w:ascii="Times New Roman" w:hAnsi="Times New Roman"/>
          <w:b w:val="0"/>
          <w:bCs w:val="0"/>
          <w:smallCaps w:val="0"/>
          <w:color w:val="auto"/>
          <w:spacing w:val="0"/>
          <w:kern w:val="1"/>
          <w:sz w:val="24"/>
          <w:szCs w:val="24"/>
          <w:u w:val="none"/>
          <w:lang w:val="en-GB"/>
        </w:rPr>
        <w:t xml:space="preserve">SAND 2013-2388, </w:t>
      </w:r>
      <w:r w:rsidR="00217B64" w:rsidRPr="000542DA">
        <w:rPr>
          <w:rStyle w:val="IntenseReference"/>
          <w:rFonts w:ascii="Times New Roman" w:hAnsi="Times New Roman"/>
          <w:b w:val="0"/>
          <w:bCs w:val="0"/>
          <w:smallCaps w:val="0"/>
          <w:color w:val="auto"/>
          <w:spacing w:val="0"/>
          <w:kern w:val="1"/>
          <w:sz w:val="24"/>
          <w:szCs w:val="24"/>
          <w:u w:val="none"/>
          <w:lang w:val="en-GB"/>
        </w:rPr>
        <w:t>2013.</w:t>
      </w:r>
    </w:p>
    <w:p w14:paraId="21B9E95B" w14:textId="77777777" w:rsidR="00865141" w:rsidRPr="000542DA" w:rsidRDefault="00C00CD0" w:rsidP="00566711">
      <w:pPr>
        <w:pStyle w:val="IGALLReferences"/>
        <w:ind w:left="567" w:hanging="567"/>
        <w:rPr>
          <w:rStyle w:val="IntenseReference"/>
          <w:rFonts w:ascii="Times New Roman" w:hAnsi="Times New Roman"/>
          <w:b w:val="0"/>
          <w:bCs w:val="0"/>
          <w:smallCaps w:val="0"/>
          <w:color w:val="auto"/>
          <w:spacing w:val="0"/>
          <w:kern w:val="1"/>
          <w:sz w:val="24"/>
          <w:szCs w:val="24"/>
          <w:u w:val="none"/>
          <w:lang w:val="en-GB"/>
        </w:rPr>
      </w:pPr>
      <w:r w:rsidRPr="000542DA">
        <w:rPr>
          <w:rStyle w:val="IntenseReference"/>
          <w:rFonts w:ascii="Times New Roman" w:hAnsi="Times New Roman"/>
          <w:b w:val="0"/>
          <w:bCs w:val="0"/>
          <w:smallCaps w:val="0"/>
          <w:color w:val="auto"/>
          <w:spacing w:val="0"/>
          <w:kern w:val="1"/>
          <w:sz w:val="24"/>
          <w:szCs w:val="24"/>
          <w:u w:val="none"/>
          <w:lang w:val="en-GB"/>
        </w:rPr>
        <w:t xml:space="preserve">UNITED STATES NUCLEAR REGULATORY COMMISSION, </w:t>
      </w:r>
      <w:r w:rsidR="00DF498E" w:rsidRPr="000542DA">
        <w:rPr>
          <w:rStyle w:val="IntenseReference"/>
          <w:rFonts w:ascii="Times New Roman" w:hAnsi="Times New Roman"/>
          <w:b w:val="0"/>
          <w:bCs w:val="0"/>
          <w:smallCaps w:val="0"/>
          <w:color w:val="auto"/>
          <w:spacing w:val="0"/>
          <w:kern w:val="1"/>
          <w:sz w:val="24"/>
          <w:szCs w:val="24"/>
          <w:u w:val="none"/>
          <w:lang w:val="en-GB"/>
        </w:rPr>
        <w:t>“</w:t>
      </w:r>
      <w:r w:rsidRPr="000542DA">
        <w:rPr>
          <w:rStyle w:val="IntenseReference"/>
          <w:rFonts w:ascii="Times New Roman" w:hAnsi="Times New Roman"/>
          <w:b w:val="0"/>
          <w:bCs w:val="0"/>
          <w:smallCaps w:val="0"/>
          <w:color w:val="auto"/>
          <w:spacing w:val="0"/>
          <w:kern w:val="1"/>
          <w:sz w:val="24"/>
          <w:szCs w:val="24"/>
          <w:u w:val="none"/>
          <w:lang w:val="en-GB"/>
        </w:rPr>
        <w:t>10 CFR Part 50, Appendix B, Quality Assurance Criteria for Nuclear Power Plants</w:t>
      </w:r>
      <w:r w:rsidR="00DF498E" w:rsidRPr="000542DA">
        <w:rPr>
          <w:rStyle w:val="IntenseReference"/>
          <w:rFonts w:ascii="Times New Roman" w:hAnsi="Times New Roman"/>
          <w:b w:val="0"/>
          <w:bCs w:val="0"/>
          <w:smallCaps w:val="0"/>
          <w:color w:val="auto"/>
          <w:spacing w:val="0"/>
          <w:kern w:val="1"/>
          <w:sz w:val="24"/>
          <w:szCs w:val="24"/>
          <w:u w:val="none"/>
          <w:lang w:val="en-GB"/>
        </w:rPr>
        <w:t>”</w:t>
      </w:r>
      <w:r w:rsidRPr="000542DA">
        <w:rPr>
          <w:rStyle w:val="IntenseReference"/>
          <w:rFonts w:ascii="Times New Roman" w:hAnsi="Times New Roman"/>
          <w:b w:val="0"/>
          <w:bCs w:val="0"/>
          <w:smallCaps w:val="0"/>
          <w:color w:val="auto"/>
          <w:spacing w:val="0"/>
          <w:kern w:val="1"/>
          <w:sz w:val="24"/>
          <w:szCs w:val="24"/>
          <w:u w:val="none"/>
          <w:lang w:val="en-GB"/>
        </w:rPr>
        <w:t xml:space="preserve">, Office of the Federal Register, National Archives and Records Administration, USNRC, </w:t>
      </w:r>
      <w:r w:rsidR="000C4242" w:rsidRPr="000542DA">
        <w:rPr>
          <w:rStyle w:val="IntenseReference"/>
          <w:rFonts w:ascii="Times New Roman" w:hAnsi="Times New Roman"/>
          <w:b w:val="0"/>
          <w:bCs w:val="0"/>
          <w:smallCaps w:val="0"/>
          <w:color w:val="auto"/>
          <w:spacing w:val="0"/>
          <w:kern w:val="1"/>
          <w:sz w:val="24"/>
          <w:szCs w:val="24"/>
          <w:u w:val="none"/>
          <w:lang w:val="en-GB"/>
        </w:rPr>
        <w:t>Latest edition</w:t>
      </w:r>
      <w:r w:rsidRPr="000542DA">
        <w:rPr>
          <w:rStyle w:val="IntenseReference"/>
          <w:rFonts w:ascii="Times New Roman" w:hAnsi="Times New Roman"/>
          <w:b w:val="0"/>
          <w:bCs w:val="0"/>
          <w:smallCaps w:val="0"/>
          <w:color w:val="auto"/>
          <w:spacing w:val="0"/>
          <w:kern w:val="1"/>
          <w:sz w:val="24"/>
          <w:szCs w:val="24"/>
          <w:u w:val="none"/>
          <w:lang w:val="en-GB"/>
        </w:rPr>
        <w:t>.</w:t>
      </w:r>
    </w:p>
    <w:p w14:paraId="743A0C17" w14:textId="77777777" w:rsidR="00C00CD0" w:rsidRDefault="00C00CD0" w:rsidP="00566711">
      <w:pPr>
        <w:pStyle w:val="IGALLReferences"/>
        <w:ind w:left="567" w:hanging="567"/>
        <w:rPr>
          <w:rStyle w:val="IntenseReference"/>
          <w:rFonts w:ascii="Times New Roman" w:hAnsi="Times New Roman"/>
          <w:b w:val="0"/>
          <w:bCs w:val="0"/>
          <w:smallCaps w:val="0"/>
          <w:color w:val="auto"/>
          <w:spacing w:val="0"/>
          <w:kern w:val="1"/>
          <w:sz w:val="24"/>
          <w:szCs w:val="24"/>
          <w:u w:val="none"/>
          <w:lang w:val="en-GB"/>
        </w:rPr>
      </w:pPr>
      <w:r w:rsidRPr="000542DA">
        <w:rPr>
          <w:rStyle w:val="IntenseReference"/>
          <w:rFonts w:ascii="Times New Roman" w:hAnsi="Times New Roman"/>
          <w:b w:val="0"/>
          <w:bCs w:val="0"/>
          <w:smallCaps w:val="0"/>
          <w:color w:val="auto"/>
          <w:spacing w:val="0"/>
          <w:kern w:val="1"/>
          <w:sz w:val="24"/>
          <w:szCs w:val="24"/>
          <w:u w:val="none"/>
          <w:lang w:val="en-GB"/>
        </w:rPr>
        <w:t xml:space="preserve">KERNTECHNISCHER AUSSCHUSS, </w:t>
      </w:r>
      <w:r w:rsidR="00113078" w:rsidRPr="000542DA">
        <w:rPr>
          <w:rStyle w:val="IntenseReference"/>
          <w:rFonts w:ascii="Times New Roman" w:hAnsi="Times New Roman"/>
          <w:b w:val="0"/>
          <w:bCs w:val="0"/>
          <w:smallCaps w:val="0"/>
          <w:color w:val="auto"/>
          <w:spacing w:val="0"/>
          <w:kern w:val="1"/>
          <w:sz w:val="24"/>
          <w:szCs w:val="24"/>
          <w:u w:val="none"/>
          <w:lang w:val="en-GB"/>
        </w:rPr>
        <w:t>“</w:t>
      </w:r>
      <w:r w:rsidRPr="000542DA">
        <w:rPr>
          <w:rStyle w:val="IntenseReference"/>
          <w:rFonts w:ascii="Times New Roman" w:hAnsi="Times New Roman"/>
          <w:b w:val="0"/>
          <w:bCs w:val="0"/>
          <w:smallCaps w:val="0"/>
          <w:color w:val="auto"/>
          <w:spacing w:val="0"/>
          <w:kern w:val="1"/>
          <w:sz w:val="24"/>
          <w:szCs w:val="24"/>
          <w:u w:val="none"/>
          <w:lang w:val="en-GB"/>
        </w:rPr>
        <w:t xml:space="preserve">General Requirements for the Quality Assurance, </w:t>
      </w:r>
      <w:r w:rsidRPr="000542DA">
        <w:rPr>
          <w:rFonts w:ascii="Times New Roman" w:hAnsi="Times New Roman"/>
          <w:sz w:val="24"/>
          <w:szCs w:val="24"/>
          <w:lang w:val="en-GB"/>
        </w:rPr>
        <w:t xml:space="preserve">KTA1401, </w:t>
      </w:r>
      <w:r w:rsidRPr="000542DA">
        <w:rPr>
          <w:rStyle w:val="IntenseReference"/>
          <w:rFonts w:ascii="Times New Roman" w:hAnsi="Times New Roman"/>
          <w:b w:val="0"/>
          <w:bCs w:val="0"/>
          <w:smallCaps w:val="0"/>
          <w:color w:val="auto"/>
          <w:spacing w:val="0"/>
          <w:kern w:val="1"/>
          <w:sz w:val="24"/>
          <w:szCs w:val="24"/>
          <w:u w:val="none"/>
          <w:lang w:val="en-GB"/>
        </w:rPr>
        <w:t>Germany, November 2017.</w:t>
      </w:r>
    </w:p>
    <w:p w14:paraId="71EECBDC" w14:textId="77777777" w:rsidR="00D54E87" w:rsidRPr="00FE1DA9" w:rsidRDefault="00922C68" w:rsidP="00566711">
      <w:pPr>
        <w:pStyle w:val="IGALLReferences"/>
        <w:ind w:left="567" w:hanging="567"/>
        <w:rPr>
          <w:rStyle w:val="IntenseReference"/>
          <w:rFonts w:ascii="Times New Roman" w:hAnsi="Times New Roman"/>
          <w:b w:val="0"/>
          <w:bCs w:val="0"/>
          <w:smallCaps w:val="0"/>
          <w:color w:val="auto"/>
          <w:spacing w:val="0"/>
          <w:kern w:val="1"/>
          <w:sz w:val="24"/>
          <w:szCs w:val="24"/>
          <w:u w:val="none"/>
          <w:lang w:val="en-GB"/>
        </w:rPr>
      </w:pPr>
      <w:r w:rsidRPr="000542DA">
        <w:rPr>
          <w:rStyle w:val="IntenseReference"/>
          <w:rFonts w:ascii="Times New Roman" w:hAnsi="Times New Roman"/>
          <w:b w:val="0"/>
          <w:bCs w:val="0"/>
          <w:smallCaps w:val="0"/>
          <w:color w:val="auto"/>
          <w:spacing w:val="0"/>
          <w:kern w:val="1"/>
          <w:sz w:val="24"/>
          <w:szCs w:val="24"/>
          <w:u w:val="none"/>
          <w:lang w:val="en-GB"/>
        </w:rPr>
        <w:t>INTERNATIONAL ATOMIC ENERGY AGENCY</w:t>
      </w:r>
      <w:r w:rsidRPr="003D6CBC" w:rsidDel="00922C68">
        <w:rPr>
          <w:rStyle w:val="IntenseReference"/>
          <w:rFonts w:ascii="Times New Roman" w:hAnsi="Times New Roman"/>
          <w:b w:val="0"/>
          <w:bCs w:val="0"/>
          <w:smallCaps w:val="0"/>
          <w:color w:val="auto"/>
          <w:spacing w:val="0"/>
          <w:kern w:val="1"/>
          <w:sz w:val="24"/>
          <w:szCs w:val="24"/>
          <w:u w:val="none"/>
          <w:lang w:val="en-GB"/>
        </w:rPr>
        <w:t xml:space="preserve"> </w:t>
      </w:r>
      <w:r w:rsidR="003D6CBC" w:rsidRPr="00922C68">
        <w:rPr>
          <w:rStyle w:val="IntenseReference"/>
          <w:rFonts w:ascii="Times New Roman" w:hAnsi="Times New Roman"/>
          <w:b w:val="0"/>
          <w:bCs w:val="0"/>
          <w:smallCaps w:val="0"/>
          <w:color w:val="auto"/>
          <w:spacing w:val="0"/>
          <w:kern w:val="1"/>
          <w:sz w:val="24"/>
          <w:szCs w:val="24"/>
          <w:u w:val="none"/>
          <w:lang w:val="en-GB"/>
        </w:rPr>
        <w:t>Equipment Qualification for Nuclear Installations</w:t>
      </w:r>
      <w:r>
        <w:rPr>
          <w:rStyle w:val="IntenseReference"/>
          <w:rFonts w:ascii="Times New Roman" w:hAnsi="Times New Roman"/>
          <w:b w:val="0"/>
          <w:bCs w:val="0"/>
          <w:smallCaps w:val="0"/>
          <w:color w:val="auto"/>
          <w:spacing w:val="0"/>
          <w:kern w:val="1"/>
          <w:sz w:val="24"/>
          <w:szCs w:val="24"/>
          <w:u w:val="none"/>
          <w:lang w:val="en-GB"/>
        </w:rPr>
        <w:t xml:space="preserve">, Draft </w:t>
      </w:r>
      <w:r w:rsidRPr="00922C68">
        <w:rPr>
          <w:rStyle w:val="IntenseReference"/>
          <w:rFonts w:ascii="Times New Roman" w:hAnsi="Times New Roman"/>
          <w:b w:val="0"/>
          <w:bCs w:val="0"/>
          <w:smallCaps w:val="0"/>
          <w:color w:val="auto"/>
          <w:spacing w:val="0"/>
          <w:kern w:val="1"/>
          <w:sz w:val="24"/>
          <w:szCs w:val="24"/>
          <w:u w:val="none"/>
          <w:lang w:val="en-GB"/>
        </w:rPr>
        <w:t xml:space="preserve">IAEA Safety Standards Series No. </w:t>
      </w:r>
      <w:r>
        <w:rPr>
          <w:rStyle w:val="IntenseReference"/>
          <w:rFonts w:ascii="Times New Roman" w:hAnsi="Times New Roman"/>
          <w:b w:val="0"/>
          <w:bCs w:val="0"/>
          <w:smallCaps w:val="0"/>
          <w:color w:val="auto"/>
          <w:spacing w:val="0"/>
          <w:kern w:val="1"/>
          <w:sz w:val="24"/>
          <w:szCs w:val="24"/>
          <w:u w:val="none"/>
          <w:lang w:val="en-GB"/>
        </w:rPr>
        <w:t>DS514</w:t>
      </w:r>
      <w:r w:rsidRPr="00922C68">
        <w:rPr>
          <w:rStyle w:val="IntenseReference"/>
          <w:rFonts w:ascii="Times New Roman" w:hAnsi="Times New Roman"/>
          <w:b w:val="0"/>
          <w:bCs w:val="0"/>
          <w:smallCaps w:val="0"/>
          <w:color w:val="auto"/>
          <w:spacing w:val="0"/>
          <w:kern w:val="1"/>
          <w:sz w:val="24"/>
          <w:szCs w:val="24"/>
          <w:u w:val="none"/>
          <w:lang w:val="en-GB"/>
        </w:rPr>
        <w:t>, IAEA, Vienna</w:t>
      </w:r>
      <w:r w:rsidR="003D6CBC" w:rsidRPr="003D6CBC">
        <w:rPr>
          <w:rStyle w:val="IntenseReference"/>
          <w:color w:val="auto"/>
          <w:spacing w:val="0"/>
          <w:kern w:val="1"/>
          <w:sz w:val="24"/>
          <w:szCs w:val="24"/>
          <w:u w:val="none"/>
        </w:rPr>
        <w:t xml:space="preserve"> </w:t>
      </w:r>
    </w:p>
    <w:p w14:paraId="710F9A59" w14:textId="77777777" w:rsidR="00FE1DA9" w:rsidRPr="00FE1DA9" w:rsidRDefault="00FE1DA9" w:rsidP="00566711">
      <w:pPr>
        <w:pStyle w:val="IGALLReferences"/>
        <w:ind w:left="567" w:hanging="567"/>
        <w:rPr>
          <w:rStyle w:val="IntenseReference"/>
          <w:rFonts w:ascii="Times New Roman" w:hAnsi="Times New Roman"/>
          <w:b w:val="0"/>
          <w:bCs w:val="0"/>
          <w:smallCaps w:val="0"/>
          <w:color w:val="auto"/>
          <w:spacing w:val="0"/>
          <w:kern w:val="1"/>
          <w:sz w:val="24"/>
          <w:szCs w:val="24"/>
          <w:u w:val="none"/>
          <w:lang w:val="en-GB"/>
        </w:rPr>
      </w:pPr>
      <w:r w:rsidRPr="00FE1DA9">
        <w:rPr>
          <w:rStyle w:val="IntenseReference"/>
          <w:rFonts w:ascii="Times New Roman" w:hAnsi="Times New Roman"/>
          <w:b w:val="0"/>
          <w:bCs w:val="0"/>
          <w:smallCaps w:val="0"/>
          <w:color w:val="auto"/>
          <w:spacing w:val="0"/>
          <w:kern w:val="1"/>
          <w:sz w:val="24"/>
          <w:szCs w:val="24"/>
          <w:u w:val="none"/>
          <w:lang w:val="en-GB"/>
        </w:rPr>
        <w:t>INTERNATIONAL ATOMIC ENERGY AGENCY,</w:t>
      </w:r>
      <w:r w:rsidRPr="00070FC5">
        <w:t xml:space="preserve"> </w:t>
      </w:r>
      <w:r>
        <w:t>“</w:t>
      </w:r>
      <w:r w:rsidRPr="00FE1DA9">
        <w:rPr>
          <w:rStyle w:val="IntenseReference"/>
          <w:rFonts w:ascii="Times New Roman" w:hAnsi="Times New Roman"/>
          <w:b w:val="0"/>
          <w:bCs w:val="0"/>
          <w:smallCaps w:val="0"/>
          <w:color w:val="auto"/>
          <w:spacing w:val="0"/>
          <w:kern w:val="1"/>
          <w:sz w:val="24"/>
          <w:szCs w:val="24"/>
          <w:u w:val="none"/>
          <w:lang w:val="en-GB"/>
        </w:rPr>
        <w:t>Benchmark analysis for condition monitoring test techniques of aged low voltage cables in nuclear power plants”, IAEA-TECDOC 1825, IAEA, Vienna, 2017</w:t>
      </w:r>
    </w:p>
    <w:p w14:paraId="7EA14A08" w14:textId="77777777" w:rsidR="00EC06CA" w:rsidRPr="00566711" w:rsidRDefault="00EF0A6C" w:rsidP="00566711">
      <w:pPr>
        <w:pStyle w:val="IGALLReferences"/>
        <w:ind w:left="567" w:hanging="567"/>
        <w:rPr>
          <w:rStyle w:val="IntenseReference"/>
          <w:rFonts w:ascii="Times New Roman" w:hAnsi="Times New Roman"/>
          <w:b w:val="0"/>
          <w:bCs w:val="0"/>
          <w:smallCaps w:val="0"/>
          <w:color w:val="FF0000"/>
          <w:spacing w:val="0"/>
          <w:kern w:val="1"/>
          <w:sz w:val="24"/>
          <w:szCs w:val="24"/>
          <w:u w:val="none"/>
          <w:lang w:val="en-GB"/>
        </w:rPr>
      </w:pPr>
      <w:r w:rsidRPr="00566711">
        <w:rPr>
          <w:rStyle w:val="IntenseReference"/>
          <w:rFonts w:ascii="Times New Roman" w:hAnsi="Times New Roman"/>
          <w:b w:val="0"/>
          <w:bCs w:val="0"/>
          <w:smallCaps w:val="0"/>
          <w:color w:val="FF0000"/>
          <w:spacing w:val="0"/>
          <w:kern w:val="1"/>
          <w:sz w:val="24"/>
          <w:szCs w:val="24"/>
          <w:u w:val="none"/>
          <w:lang w:val="en-GB"/>
        </w:rPr>
        <w:t>INTERNATIONAL ATOMIC ENERGY AGENCY</w:t>
      </w:r>
      <w:r w:rsidR="0047395E" w:rsidRPr="00566711">
        <w:rPr>
          <w:rStyle w:val="IntenseReference"/>
          <w:rFonts w:ascii="Times New Roman" w:hAnsi="Times New Roman"/>
          <w:b w:val="0"/>
          <w:bCs w:val="0"/>
          <w:smallCaps w:val="0"/>
          <w:color w:val="FF0000"/>
          <w:spacing w:val="0"/>
          <w:kern w:val="1"/>
          <w:sz w:val="24"/>
          <w:szCs w:val="24"/>
          <w:u w:val="none"/>
          <w:lang w:val="en-GB"/>
        </w:rPr>
        <w:t>, “Ageing Management for Nuclear Power Plants: International Generic Ageing Lessons Learned (IGALL)”, IAEA SRS No.82 (Rev.1), IAEA, Vienna, 2020</w:t>
      </w:r>
    </w:p>
    <w:p w14:paraId="0CA1FEEF" w14:textId="7F87FD80" w:rsidR="00171749" w:rsidRPr="00566711" w:rsidRDefault="00171749" w:rsidP="00566711">
      <w:pPr>
        <w:pStyle w:val="IGALLReferences"/>
        <w:ind w:left="567" w:hanging="567"/>
        <w:rPr>
          <w:rStyle w:val="IntenseReference"/>
          <w:rFonts w:ascii="Times New Roman" w:hAnsi="Times New Roman"/>
          <w:b w:val="0"/>
          <w:bCs w:val="0"/>
          <w:smallCaps w:val="0"/>
          <w:color w:val="FF0000"/>
          <w:spacing w:val="0"/>
          <w:kern w:val="1"/>
          <w:sz w:val="24"/>
          <w:szCs w:val="24"/>
          <w:u w:val="none"/>
          <w:lang w:val="en-GB"/>
        </w:rPr>
      </w:pPr>
      <w:bookmarkStart w:id="8" w:name="_Ref72795371"/>
      <w:r w:rsidRPr="00566711">
        <w:rPr>
          <w:rStyle w:val="IntenseReference"/>
          <w:rFonts w:ascii="Times New Roman" w:hAnsi="Times New Roman"/>
          <w:b w:val="0"/>
          <w:bCs w:val="0"/>
          <w:smallCaps w:val="0"/>
          <w:color w:val="FF0000"/>
          <w:spacing w:val="0"/>
          <w:kern w:val="1"/>
          <w:sz w:val="24"/>
          <w:szCs w:val="24"/>
          <w:u w:val="none"/>
          <w:lang w:val="en-GB"/>
        </w:rPr>
        <w:t>ELECTRIC POWER RESEARCH INSTITUTE</w:t>
      </w:r>
      <w:r w:rsidR="00566711">
        <w:rPr>
          <w:rStyle w:val="IntenseReference"/>
          <w:rFonts w:ascii="Times New Roman" w:hAnsi="Times New Roman"/>
          <w:b w:val="0"/>
          <w:bCs w:val="0"/>
          <w:smallCaps w:val="0"/>
          <w:color w:val="FF0000"/>
          <w:spacing w:val="0"/>
          <w:kern w:val="1"/>
          <w:sz w:val="24"/>
          <w:szCs w:val="24"/>
          <w:u w:val="none"/>
          <w:lang w:val="en-GB"/>
        </w:rPr>
        <w:t>,</w:t>
      </w:r>
      <w:r w:rsidRPr="00566711">
        <w:rPr>
          <w:rStyle w:val="IntenseReference"/>
          <w:rFonts w:ascii="Times New Roman" w:hAnsi="Times New Roman"/>
          <w:b w:val="0"/>
          <w:bCs w:val="0"/>
          <w:smallCaps w:val="0"/>
          <w:color w:val="FF0000"/>
          <w:spacing w:val="0"/>
          <w:kern w:val="1"/>
          <w:sz w:val="24"/>
          <w:szCs w:val="24"/>
          <w:u w:val="none"/>
          <w:lang w:val="en-GB"/>
        </w:rPr>
        <w:t xml:space="preserve"> “Plant Support Engineering: Nuclear Power Plant Equipment Qualification Reference Manual”, Revision 1. EPRI, Palo Alto, CA: 2010. 1021067</w:t>
      </w:r>
      <w:bookmarkEnd w:id="8"/>
    </w:p>
    <w:p w14:paraId="3DBDCB33" w14:textId="77777777" w:rsidR="00171749" w:rsidRPr="00566711" w:rsidRDefault="00171749" w:rsidP="00566711">
      <w:pPr>
        <w:pStyle w:val="IGALLReferences"/>
        <w:ind w:left="567" w:hanging="567"/>
        <w:rPr>
          <w:rStyle w:val="IntenseReference"/>
          <w:rFonts w:ascii="Times New Roman" w:hAnsi="Times New Roman"/>
          <w:b w:val="0"/>
          <w:bCs w:val="0"/>
          <w:smallCaps w:val="0"/>
          <w:color w:val="FF0000"/>
          <w:spacing w:val="0"/>
          <w:kern w:val="1"/>
          <w:sz w:val="24"/>
          <w:szCs w:val="24"/>
          <w:u w:val="none"/>
          <w:lang w:val="en-GB"/>
        </w:rPr>
      </w:pPr>
      <w:bookmarkStart w:id="9" w:name="_Ref72795374"/>
      <w:r w:rsidRPr="00566711">
        <w:rPr>
          <w:rStyle w:val="IntenseReference"/>
          <w:rFonts w:ascii="Times New Roman" w:hAnsi="Times New Roman"/>
          <w:b w:val="0"/>
          <w:bCs w:val="0"/>
          <w:smallCaps w:val="0"/>
          <w:color w:val="FF0000"/>
          <w:spacing w:val="0"/>
          <w:kern w:val="1"/>
          <w:sz w:val="24"/>
          <w:szCs w:val="24"/>
          <w:u w:val="none"/>
          <w:lang w:val="en-GB"/>
        </w:rPr>
        <w:t>ELECTRIC POWER RESEARCH INSTITUTE Long Term Operations: Subsequent License Renewal Electrical Handbook. EPRI, Palo Alto, CA: 2018. 3002010401</w:t>
      </w:r>
      <w:bookmarkEnd w:id="9"/>
    </w:p>
    <w:sectPr w:rsidR="00171749" w:rsidRPr="00566711" w:rsidSect="00A4245F">
      <w:footerReference w:type="default" r:id="rId16"/>
      <w:pgSz w:w="11906" w:h="16838"/>
      <w:pgMar w:top="1417" w:right="1274" w:bottom="1417" w:left="1418" w:header="708" w:footer="85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1ED2A" w14:textId="77777777" w:rsidR="0082278D" w:rsidRDefault="0082278D" w:rsidP="0018708D">
      <w:r>
        <w:separator/>
      </w:r>
    </w:p>
  </w:endnote>
  <w:endnote w:type="continuationSeparator" w:id="0">
    <w:p w14:paraId="7C2BA3CC" w14:textId="77777777" w:rsidR="0082278D" w:rsidRDefault="0082278D" w:rsidP="00187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46A0E" w14:textId="77777777" w:rsidR="00A016AD" w:rsidRDefault="00A016AD" w:rsidP="00524A01">
    <w:pPr>
      <w:pStyle w:val="Footer"/>
      <w:spacing w:before="240"/>
      <w:jc w:val="center"/>
    </w:pPr>
    <w:r>
      <w:fldChar w:fldCharType="begin"/>
    </w:r>
    <w:r>
      <w:instrText xml:space="preserve"> PAGE   \* MERGEFORMAT </w:instrText>
    </w:r>
    <w:r>
      <w:fldChar w:fldCharType="separate"/>
    </w:r>
    <w:r w:rsidR="004B0F60">
      <w:rPr>
        <w:noProof/>
      </w:rPr>
      <w:t>12</w:t>
    </w:r>
    <w:r>
      <w:rPr>
        <w:noProof/>
      </w:rPr>
      <w:fldChar w:fldCharType="end"/>
    </w:r>
  </w:p>
  <w:p w14:paraId="55A5675D" w14:textId="77777777" w:rsidR="00A016AD" w:rsidRDefault="00A016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93C18" w14:textId="77777777" w:rsidR="0082278D" w:rsidRDefault="0082278D" w:rsidP="0018708D">
      <w:r>
        <w:separator/>
      </w:r>
    </w:p>
  </w:footnote>
  <w:footnote w:type="continuationSeparator" w:id="0">
    <w:p w14:paraId="51F91989" w14:textId="77777777" w:rsidR="0082278D" w:rsidRDefault="0082278D" w:rsidP="0018708D">
      <w:r>
        <w:continuationSeparator/>
      </w:r>
    </w:p>
  </w:footnote>
  <w:footnote w:id="1">
    <w:p w14:paraId="6C23F787" w14:textId="77777777" w:rsidR="003077D3" w:rsidRPr="00BE5F82" w:rsidRDefault="003077D3">
      <w:pPr>
        <w:pStyle w:val="FootnoteText"/>
        <w:rPr>
          <w:color w:val="FF0000"/>
        </w:rPr>
      </w:pPr>
      <w:r w:rsidRPr="00BE5F82">
        <w:rPr>
          <w:rStyle w:val="FootnoteReference"/>
          <w:color w:val="FF0000"/>
        </w:rPr>
        <w:footnoteRef/>
      </w:r>
      <w:r w:rsidRPr="00BE5F82">
        <w:rPr>
          <w:color w:val="FF0000"/>
        </w:rPr>
        <w:t xml:space="preserve"> E</w:t>
      </w:r>
      <w:proofErr w:type="spellStart"/>
      <w:r w:rsidRPr="00BE5F82">
        <w:rPr>
          <w:color w:val="FF0000"/>
          <w:lang w:val="en-GB"/>
        </w:rPr>
        <w:t>nvironments</w:t>
      </w:r>
      <w:proofErr w:type="spellEnd"/>
      <w:r w:rsidRPr="00BE5F82">
        <w:rPr>
          <w:color w:val="FF0000"/>
          <w:lang w:val="en-GB"/>
        </w:rPr>
        <w:t xml:space="preserve"> that would at no time be significantly more severe than the environment that would occur during normal plant operation, including anticipated operational occurrences)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04D0A"/>
    <w:multiLevelType w:val="hybridMultilevel"/>
    <w:tmpl w:val="04DE3446"/>
    <w:lvl w:ilvl="0" w:tplc="FBEAFE80">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19B1AD9"/>
    <w:multiLevelType w:val="hybridMultilevel"/>
    <w:tmpl w:val="5E8ED5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9A17A74"/>
    <w:multiLevelType w:val="hybridMultilevel"/>
    <w:tmpl w:val="66843CB8"/>
    <w:lvl w:ilvl="0" w:tplc="C52CDFD0">
      <w:start w:val="1"/>
      <w:numFmt w:val="decimal"/>
      <w:pStyle w:val="IGALLReferences"/>
      <w:lvlText w:val="[%1]"/>
      <w:lvlJc w:val="left"/>
      <w:pPr>
        <w:ind w:left="786" w:hanging="360"/>
      </w:pPr>
      <w:rPr>
        <w:rFonts w:ascii="Times New Roman" w:hAnsi="Times New Roman" w:hint="default"/>
        <w:kern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0535622"/>
    <w:multiLevelType w:val="hybridMultilevel"/>
    <w:tmpl w:val="0CC8B13A"/>
    <w:lvl w:ilvl="0" w:tplc="724AF90A">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0EE02B5"/>
    <w:multiLevelType w:val="hybridMultilevel"/>
    <w:tmpl w:val="3392CCF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60F4BC1"/>
    <w:multiLevelType w:val="singleLevel"/>
    <w:tmpl w:val="151AEF70"/>
    <w:lvl w:ilvl="0">
      <w:start w:val="1"/>
      <w:numFmt w:val="decimal"/>
      <w:pStyle w:val="BodyNumbered"/>
      <w:lvlText w:val="%1."/>
      <w:lvlJc w:val="left"/>
      <w:pPr>
        <w:tabs>
          <w:tab w:val="num" w:pos="360"/>
        </w:tabs>
        <w:ind w:left="360" w:hanging="360"/>
      </w:pPr>
      <w:rPr>
        <w:rFonts w:cs="Times New Roman" w:hint="default"/>
        <w:b/>
      </w:rPr>
    </w:lvl>
  </w:abstractNum>
  <w:abstractNum w:abstractNumId="6" w15:restartNumberingAfterBreak="0">
    <w:nsid w:val="2B7C75AD"/>
    <w:multiLevelType w:val="hybridMultilevel"/>
    <w:tmpl w:val="5EB83808"/>
    <w:lvl w:ilvl="0" w:tplc="1EC83A36">
      <w:start w:val="1"/>
      <w:numFmt w:val="bullet"/>
      <w:lvlText w:val=""/>
      <w:lvlJc w:val="left"/>
      <w:pPr>
        <w:ind w:left="726" w:hanging="360"/>
      </w:pPr>
      <w:rPr>
        <w:rFonts w:ascii="Symbol" w:hAnsi="Symbol" w:hint="default"/>
      </w:rPr>
    </w:lvl>
    <w:lvl w:ilvl="1" w:tplc="0C0A0003" w:tentative="1">
      <w:start w:val="1"/>
      <w:numFmt w:val="bullet"/>
      <w:lvlText w:val="o"/>
      <w:lvlJc w:val="left"/>
      <w:pPr>
        <w:ind w:left="1446" w:hanging="360"/>
      </w:pPr>
      <w:rPr>
        <w:rFonts w:ascii="Courier New" w:hAnsi="Courier New" w:cs="Courier New" w:hint="default"/>
      </w:rPr>
    </w:lvl>
    <w:lvl w:ilvl="2" w:tplc="0C0A0005" w:tentative="1">
      <w:start w:val="1"/>
      <w:numFmt w:val="bullet"/>
      <w:lvlText w:val=""/>
      <w:lvlJc w:val="left"/>
      <w:pPr>
        <w:ind w:left="2166" w:hanging="360"/>
      </w:pPr>
      <w:rPr>
        <w:rFonts w:ascii="Wingdings" w:hAnsi="Wingdings" w:hint="default"/>
      </w:rPr>
    </w:lvl>
    <w:lvl w:ilvl="3" w:tplc="0C0A0001" w:tentative="1">
      <w:start w:val="1"/>
      <w:numFmt w:val="bullet"/>
      <w:lvlText w:val=""/>
      <w:lvlJc w:val="left"/>
      <w:pPr>
        <w:ind w:left="2886" w:hanging="360"/>
      </w:pPr>
      <w:rPr>
        <w:rFonts w:ascii="Symbol" w:hAnsi="Symbol" w:hint="default"/>
      </w:rPr>
    </w:lvl>
    <w:lvl w:ilvl="4" w:tplc="0C0A0003" w:tentative="1">
      <w:start w:val="1"/>
      <w:numFmt w:val="bullet"/>
      <w:lvlText w:val="o"/>
      <w:lvlJc w:val="left"/>
      <w:pPr>
        <w:ind w:left="3606" w:hanging="360"/>
      </w:pPr>
      <w:rPr>
        <w:rFonts w:ascii="Courier New" w:hAnsi="Courier New" w:cs="Courier New" w:hint="default"/>
      </w:rPr>
    </w:lvl>
    <w:lvl w:ilvl="5" w:tplc="0C0A0005" w:tentative="1">
      <w:start w:val="1"/>
      <w:numFmt w:val="bullet"/>
      <w:lvlText w:val=""/>
      <w:lvlJc w:val="left"/>
      <w:pPr>
        <w:ind w:left="4326" w:hanging="360"/>
      </w:pPr>
      <w:rPr>
        <w:rFonts w:ascii="Wingdings" w:hAnsi="Wingdings" w:hint="default"/>
      </w:rPr>
    </w:lvl>
    <w:lvl w:ilvl="6" w:tplc="0C0A0001" w:tentative="1">
      <w:start w:val="1"/>
      <w:numFmt w:val="bullet"/>
      <w:lvlText w:val=""/>
      <w:lvlJc w:val="left"/>
      <w:pPr>
        <w:ind w:left="5046" w:hanging="360"/>
      </w:pPr>
      <w:rPr>
        <w:rFonts w:ascii="Symbol" w:hAnsi="Symbol" w:hint="default"/>
      </w:rPr>
    </w:lvl>
    <w:lvl w:ilvl="7" w:tplc="0C0A0003" w:tentative="1">
      <w:start w:val="1"/>
      <w:numFmt w:val="bullet"/>
      <w:lvlText w:val="o"/>
      <w:lvlJc w:val="left"/>
      <w:pPr>
        <w:ind w:left="5766" w:hanging="360"/>
      </w:pPr>
      <w:rPr>
        <w:rFonts w:ascii="Courier New" w:hAnsi="Courier New" w:cs="Courier New" w:hint="default"/>
      </w:rPr>
    </w:lvl>
    <w:lvl w:ilvl="8" w:tplc="0C0A0005" w:tentative="1">
      <w:start w:val="1"/>
      <w:numFmt w:val="bullet"/>
      <w:lvlText w:val=""/>
      <w:lvlJc w:val="left"/>
      <w:pPr>
        <w:ind w:left="6486" w:hanging="360"/>
      </w:pPr>
      <w:rPr>
        <w:rFonts w:ascii="Wingdings" w:hAnsi="Wingdings" w:hint="default"/>
      </w:rPr>
    </w:lvl>
  </w:abstractNum>
  <w:abstractNum w:abstractNumId="7" w15:restartNumberingAfterBreak="0">
    <w:nsid w:val="3C193BF4"/>
    <w:multiLevelType w:val="hybridMultilevel"/>
    <w:tmpl w:val="654A5E54"/>
    <w:lvl w:ilvl="0" w:tplc="B46ACF1E">
      <w:start w:val="1"/>
      <w:numFmt w:val="bullet"/>
      <w:lvlText w:val="-"/>
      <w:lvlJc w:val="left"/>
      <w:pPr>
        <w:ind w:left="720" w:hanging="360"/>
      </w:pPr>
      <w:rPr>
        <w:rFonts w:ascii="Century" w:hAnsi="Century"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EE23252"/>
    <w:multiLevelType w:val="hybridMultilevel"/>
    <w:tmpl w:val="75DAC74E"/>
    <w:lvl w:ilvl="0" w:tplc="71A6739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0FD6BB2"/>
    <w:multiLevelType w:val="hybridMultilevel"/>
    <w:tmpl w:val="C2A27D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1E76C2B"/>
    <w:multiLevelType w:val="hybridMultilevel"/>
    <w:tmpl w:val="F2C61F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4831DA5"/>
    <w:multiLevelType w:val="hybridMultilevel"/>
    <w:tmpl w:val="06C4D59A"/>
    <w:lvl w:ilvl="0" w:tplc="0C0A0001">
      <w:start w:val="1"/>
      <w:numFmt w:val="bullet"/>
      <w:lvlText w:val=""/>
      <w:lvlJc w:val="left"/>
      <w:pPr>
        <w:ind w:left="480" w:hanging="420"/>
      </w:pPr>
      <w:rPr>
        <w:rFonts w:ascii="Symbol" w:hAnsi="Symbol" w:hint="default"/>
      </w:rPr>
    </w:lvl>
    <w:lvl w:ilvl="1" w:tplc="0409000B" w:tentative="1">
      <w:start w:val="1"/>
      <w:numFmt w:val="bullet"/>
      <w:lvlText w:val=""/>
      <w:lvlJc w:val="left"/>
      <w:pPr>
        <w:ind w:left="900" w:hanging="420"/>
      </w:pPr>
      <w:rPr>
        <w:rFonts w:ascii="Wingdings" w:hAnsi="Wingdings" w:hint="default"/>
      </w:rPr>
    </w:lvl>
    <w:lvl w:ilvl="2" w:tplc="0409000D" w:tentative="1">
      <w:start w:val="1"/>
      <w:numFmt w:val="bullet"/>
      <w:lvlText w:val=""/>
      <w:lvlJc w:val="left"/>
      <w:pPr>
        <w:ind w:left="1320" w:hanging="420"/>
      </w:pPr>
      <w:rPr>
        <w:rFonts w:ascii="Wingdings" w:hAnsi="Wingdings" w:hint="default"/>
      </w:rPr>
    </w:lvl>
    <w:lvl w:ilvl="3" w:tplc="04090001" w:tentative="1">
      <w:start w:val="1"/>
      <w:numFmt w:val="bullet"/>
      <w:lvlText w:val=""/>
      <w:lvlJc w:val="left"/>
      <w:pPr>
        <w:ind w:left="1740" w:hanging="420"/>
      </w:pPr>
      <w:rPr>
        <w:rFonts w:ascii="Wingdings" w:hAnsi="Wingdings" w:hint="default"/>
      </w:rPr>
    </w:lvl>
    <w:lvl w:ilvl="4" w:tplc="0409000B" w:tentative="1">
      <w:start w:val="1"/>
      <w:numFmt w:val="bullet"/>
      <w:lvlText w:val=""/>
      <w:lvlJc w:val="left"/>
      <w:pPr>
        <w:ind w:left="2160" w:hanging="420"/>
      </w:pPr>
      <w:rPr>
        <w:rFonts w:ascii="Wingdings" w:hAnsi="Wingdings" w:hint="default"/>
      </w:rPr>
    </w:lvl>
    <w:lvl w:ilvl="5" w:tplc="0409000D" w:tentative="1">
      <w:start w:val="1"/>
      <w:numFmt w:val="bullet"/>
      <w:lvlText w:val=""/>
      <w:lvlJc w:val="left"/>
      <w:pPr>
        <w:ind w:left="2580" w:hanging="420"/>
      </w:pPr>
      <w:rPr>
        <w:rFonts w:ascii="Wingdings" w:hAnsi="Wingdings" w:hint="default"/>
      </w:rPr>
    </w:lvl>
    <w:lvl w:ilvl="6" w:tplc="04090001" w:tentative="1">
      <w:start w:val="1"/>
      <w:numFmt w:val="bullet"/>
      <w:lvlText w:val=""/>
      <w:lvlJc w:val="left"/>
      <w:pPr>
        <w:ind w:left="3000" w:hanging="420"/>
      </w:pPr>
      <w:rPr>
        <w:rFonts w:ascii="Wingdings" w:hAnsi="Wingdings" w:hint="default"/>
      </w:rPr>
    </w:lvl>
    <w:lvl w:ilvl="7" w:tplc="0409000B" w:tentative="1">
      <w:start w:val="1"/>
      <w:numFmt w:val="bullet"/>
      <w:lvlText w:val=""/>
      <w:lvlJc w:val="left"/>
      <w:pPr>
        <w:ind w:left="3420" w:hanging="420"/>
      </w:pPr>
      <w:rPr>
        <w:rFonts w:ascii="Wingdings" w:hAnsi="Wingdings" w:hint="default"/>
      </w:rPr>
    </w:lvl>
    <w:lvl w:ilvl="8" w:tplc="0409000D" w:tentative="1">
      <w:start w:val="1"/>
      <w:numFmt w:val="bullet"/>
      <w:lvlText w:val=""/>
      <w:lvlJc w:val="left"/>
      <w:pPr>
        <w:ind w:left="3840" w:hanging="420"/>
      </w:pPr>
      <w:rPr>
        <w:rFonts w:ascii="Wingdings" w:hAnsi="Wingdings" w:hint="default"/>
      </w:rPr>
    </w:lvl>
  </w:abstractNum>
  <w:abstractNum w:abstractNumId="12" w15:restartNumberingAfterBreak="0">
    <w:nsid w:val="47FB3A6E"/>
    <w:multiLevelType w:val="hybridMultilevel"/>
    <w:tmpl w:val="71AAF03C"/>
    <w:lvl w:ilvl="0" w:tplc="DDAA737A">
      <w:start w:val="1"/>
      <w:numFmt w:val="decimal"/>
      <w:lvlText w:val="[%1]"/>
      <w:lvlJc w:val="left"/>
      <w:pPr>
        <w:tabs>
          <w:tab w:val="num" w:pos="1200"/>
        </w:tabs>
        <w:ind w:left="1200" w:hanging="360"/>
      </w:pPr>
      <w:rPr>
        <w:rFonts w:ascii="Arial" w:hAnsi="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4B694998"/>
    <w:multiLevelType w:val="hybridMultilevel"/>
    <w:tmpl w:val="2390B57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4EEC7FE9"/>
    <w:multiLevelType w:val="hybridMultilevel"/>
    <w:tmpl w:val="E8B62B26"/>
    <w:lvl w:ilvl="0" w:tplc="0C0A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510565A7"/>
    <w:multiLevelType w:val="hybridMultilevel"/>
    <w:tmpl w:val="5E0A301C"/>
    <w:lvl w:ilvl="0" w:tplc="B46ACF1E">
      <w:start w:val="1"/>
      <w:numFmt w:val="bullet"/>
      <w:lvlText w:val="-"/>
      <w:lvlJc w:val="left"/>
      <w:pPr>
        <w:ind w:left="726" w:hanging="360"/>
      </w:pPr>
      <w:rPr>
        <w:rFonts w:ascii="Century" w:hAnsi="Century" w:hint="default"/>
      </w:rPr>
    </w:lvl>
    <w:lvl w:ilvl="1" w:tplc="0C0A0003" w:tentative="1">
      <w:start w:val="1"/>
      <w:numFmt w:val="bullet"/>
      <w:lvlText w:val="o"/>
      <w:lvlJc w:val="left"/>
      <w:pPr>
        <w:ind w:left="1446" w:hanging="360"/>
      </w:pPr>
      <w:rPr>
        <w:rFonts w:ascii="Courier New" w:hAnsi="Courier New" w:cs="Courier New" w:hint="default"/>
      </w:rPr>
    </w:lvl>
    <w:lvl w:ilvl="2" w:tplc="0C0A0005" w:tentative="1">
      <w:start w:val="1"/>
      <w:numFmt w:val="bullet"/>
      <w:lvlText w:val=""/>
      <w:lvlJc w:val="left"/>
      <w:pPr>
        <w:ind w:left="2166" w:hanging="360"/>
      </w:pPr>
      <w:rPr>
        <w:rFonts w:ascii="Wingdings" w:hAnsi="Wingdings" w:hint="default"/>
      </w:rPr>
    </w:lvl>
    <w:lvl w:ilvl="3" w:tplc="0C0A0001" w:tentative="1">
      <w:start w:val="1"/>
      <w:numFmt w:val="bullet"/>
      <w:lvlText w:val=""/>
      <w:lvlJc w:val="left"/>
      <w:pPr>
        <w:ind w:left="2886" w:hanging="360"/>
      </w:pPr>
      <w:rPr>
        <w:rFonts w:ascii="Symbol" w:hAnsi="Symbol" w:hint="default"/>
      </w:rPr>
    </w:lvl>
    <w:lvl w:ilvl="4" w:tplc="0C0A0003" w:tentative="1">
      <w:start w:val="1"/>
      <w:numFmt w:val="bullet"/>
      <w:lvlText w:val="o"/>
      <w:lvlJc w:val="left"/>
      <w:pPr>
        <w:ind w:left="3606" w:hanging="360"/>
      </w:pPr>
      <w:rPr>
        <w:rFonts w:ascii="Courier New" w:hAnsi="Courier New" w:cs="Courier New" w:hint="default"/>
      </w:rPr>
    </w:lvl>
    <w:lvl w:ilvl="5" w:tplc="0C0A0005" w:tentative="1">
      <w:start w:val="1"/>
      <w:numFmt w:val="bullet"/>
      <w:lvlText w:val=""/>
      <w:lvlJc w:val="left"/>
      <w:pPr>
        <w:ind w:left="4326" w:hanging="360"/>
      </w:pPr>
      <w:rPr>
        <w:rFonts w:ascii="Wingdings" w:hAnsi="Wingdings" w:hint="default"/>
      </w:rPr>
    </w:lvl>
    <w:lvl w:ilvl="6" w:tplc="0C0A0001" w:tentative="1">
      <w:start w:val="1"/>
      <w:numFmt w:val="bullet"/>
      <w:lvlText w:val=""/>
      <w:lvlJc w:val="left"/>
      <w:pPr>
        <w:ind w:left="5046" w:hanging="360"/>
      </w:pPr>
      <w:rPr>
        <w:rFonts w:ascii="Symbol" w:hAnsi="Symbol" w:hint="default"/>
      </w:rPr>
    </w:lvl>
    <w:lvl w:ilvl="7" w:tplc="0C0A0003" w:tentative="1">
      <w:start w:val="1"/>
      <w:numFmt w:val="bullet"/>
      <w:lvlText w:val="o"/>
      <w:lvlJc w:val="left"/>
      <w:pPr>
        <w:ind w:left="5766" w:hanging="360"/>
      </w:pPr>
      <w:rPr>
        <w:rFonts w:ascii="Courier New" w:hAnsi="Courier New" w:cs="Courier New" w:hint="default"/>
      </w:rPr>
    </w:lvl>
    <w:lvl w:ilvl="8" w:tplc="0C0A0005" w:tentative="1">
      <w:start w:val="1"/>
      <w:numFmt w:val="bullet"/>
      <w:lvlText w:val=""/>
      <w:lvlJc w:val="left"/>
      <w:pPr>
        <w:ind w:left="6486" w:hanging="360"/>
      </w:pPr>
      <w:rPr>
        <w:rFonts w:ascii="Wingdings" w:hAnsi="Wingdings" w:hint="default"/>
      </w:rPr>
    </w:lvl>
  </w:abstractNum>
  <w:abstractNum w:abstractNumId="16" w15:restartNumberingAfterBreak="0">
    <w:nsid w:val="518C2428"/>
    <w:multiLevelType w:val="hybridMultilevel"/>
    <w:tmpl w:val="A230A6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4F57940"/>
    <w:multiLevelType w:val="hybridMultilevel"/>
    <w:tmpl w:val="D962045A"/>
    <w:lvl w:ilvl="0" w:tplc="724AF90A">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ADD7F9B"/>
    <w:multiLevelType w:val="hybridMultilevel"/>
    <w:tmpl w:val="6CDCD1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7D8778A"/>
    <w:multiLevelType w:val="hybridMultilevel"/>
    <w:tmpl w:val="C928BCD6"/>
    <w:lvl w:ilvl="0" w:tplc="D2129000">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7A586365"/>
    <w:multiLevelType w:val="hybridMultilevel"/>
    <w:tmpl w:val="43CC7FF4"/>
    <w:lvl w:ilvl="0" w:tplc="5B7E6E24">
      <w:start w:val="1"/>
      <w:numFmt w:val="decimal"/>
      <w:pStyle w:val="IGALLTitle3"/>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15:restartNumberingAfterBreak="0">
    <w:nsid w:val="7E70511A"/>
    <w:multiLevelType w:val="hybridMultilevel"/>
    <w:tmpl w:val="3828E94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0"/>
  </w:num>
  <w:num w:numId="2">
    <w:abstractNumId w:val="1"/>
  </w:num>
  <w:num w:numId="3">
    <w:abstractNumId w:val="21"/>
  </w:num>
  <w:num w:numId="4">
    <w:abstractNumId w:val="13"/>
  </w:num>
  <w:num w:numId="5">
    <w:abstractNumId w:val="4"/>
  </w:num>
  <w:num w:numId="6">
    <w:abstractNumId w:val="9"/>
  </w:num>
  <w:num w:numId="7">
    <w:abstractNumId w:val="18"/>
  </w:num>
  <w:num w:numId="8">
    <w:abstractNumId w:val="12"/>
  </w:num>
  <w:num w:numId="9">
    <w:abstractNumId w:val="8"/>
  </w:num>
  <w:num w:numId="10">
    <w:abstractNumId w:val="20"/>
  </w:num>
  <w:num w:numId="11">
    <w:abstractNumId w:val="5"/>
  </w:num>
  <w:num w:numId="12">
    <w:abstractNumId w:val="2"/>
  </w:num>
  <w:num w:numId="13">
    <w:abstractNumId w:val="15"/>
  </w:num>
  <w:num w:numId="14">
    <w:abstractNumId w:val="7"/>
  </w:num>
  <w:num w:numId="15">
    <w:abstractNumId w:val="0"/>
  </w:num>
  <w:num w:numId="16">
    <w:abstractNumId w:val="19"/>
  </w:num>
  <w:num w:numId="17">
    <w:abstractNumId w:val="20"/>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20"/>
  </w:num>
  <w:num w:numId="25">
    <w:abstractNumId w:val="20"/>
  </w:num>
  <w:num w:numId="26">
    <w:abstractNumId w:val="11"/>
  </w:num>
  <w:num w:numId="27">
    <w:abstractNumId w:val="14"/>
  </w:num>
  <w:num w:numId="28">
    <w:abstractNumId w:val="3"/>
  </w:num>
  <w:num w:numId="29">
    <w:abstractNumId w:val="17"/>
  </w:num>
  <w:num w:numId="30">
    <w:abstractNumId w:val="16"/>
  </w:num>
  <w:num w:numId="31">
    <w:abstractNumId w:val="2"/>
  </w:num>
  <w:num w:numId="32">
    <w:abstractNumId w:val="6"/>
  </w:num>
  <w:num w:numId="33">
    <w:abstractNumId w:val="2"/>
  </w:num>
  <w:num w:numId="34">
    <w:abstractNumId w:val="2"/>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proofState w:spelling="clean" w:grammar="clean"/>
  <w:attachedTemplate r:id="rId1"/>
  <w:defaultTabStop w:val="709"/>
  <w:hyphenationZone w:val="425"/>
  <w:drawingGridHorizontalSpacing w:val="110"/>
  <w:displayHorizontalDrawingGridEvery w:val="2"/>
  <w:characterSpacingControl w:val="doNotCompress"/>
  <w:hdrShapeDefaults>
    <o:shapedefaults v:ext="edit" spidmax="5121">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4D3"/>
    <w:rsid w:val="0000044B"/>
    <w:rsid w:val="0000112B"/>
    <w:rsid w:val="00001AC6"/>
    <w:rsid w:val="000024E0"/>
    <w:rsid w:val="00004ECD"/>
    <w:rsid w:val="00005F59"/>
    <w:rsid w:val="0000686B"/>
    <w:rsid w:val="00007351"/>
    <w:rsid w:val="00007925"/>
    <w:rsid w:val="00011482"/>
    <w:rsid w:val="000118D4"/>
    <w:rsid w:val="00012CF9"/>
    <w:rsid w:val="000133EC"/>
    <w:rsid w:val="00014CEF"/>
    <w:rsid w:val="00015B77"/>
    <w:rsid w:val="000171EF"/>
    <w:rsid w:val="00017C9B"/>
    <w:rsid w:val="00021A19"/>
    <w:rsid w:val="00022DA6"/>
    <w:rsid w:val="0002328A"/>
    <w:rsid w:val="000254F2"/>
    <w:rsid w:val="0002670A"/>
    <w:rsid w:val="00027329"/>
    <w:rsid w:val="00030E60"/>
    <w:rsid w:val="00033795"/>
    <w:rsid w:val="000337BC"/>
    <w:rsid w:val="00035087"/>
    <w:rsid w:val="00035EFB"/>
    <w:rsid w:val="00037285"/>
    <w:rsid w:val="000400BE"/>
    <w:rsid w:val="000400C0"/>
    <w:rsid w:val="000403E0"/>
    <w:rsid w:val="00041623"/>
    <w:rsid w:val="00043FB6"/>
    <w:rsid w:val="00044B3F"/>
    <w:rsid w:val="0004575B"/>
    <w:rsid w:val="00046661"/>
    <w:rsid w:val="00047B84"/>
    <w:rsid w:val="00047C8D"/>
    <w:rsid w:val="000542DA"/>
    <w:rsid w:val="00054D09"/>
    <w:rsid w:val="00055073"/>
    <w:rsid w:val="00055EBF"/>
    <w:rsid w:val="00056781"/>
    <w:rsid w:val="00057902"/>
    <w:rsid w:val="00057B6F"/>
    <w:rsid w:val="0006038F"/>
    <w:rsid w:val="000603BC"/>
    <w:rsid w:val="00061661"/>
    <w:rsid w:val="000626E3"/>
    <w:rsid w:val="00064685"/>
    <w:rsid w:val="000665F5"/>
    <w:rsid w:val="0006675E"/>
    <w:rsid w:val="000675B2"/>
    <w:rsid w:val="0006771F"/>
    <w:rsid w:val="0007017E"/>
    <w:rsid w:val="000707D6"/>
    <w:rsid w:val="00073F06"/>
    <w:rsid w:val="00075D31"/>
    <w:rsid w:val="00075EC0"/>
    <w:rsid w:val="000805E8"/>
    <w:rsid w:val="000811ED"/>
    <w:rsid w:val="00082A32"/>
    <w:rsid w:val="00082C2A"/>
    <w:rsid w:val="00082C9A"/>
    <w:rsid w:val="000833D5"/>
    <w:rsid w:val="000910E4"/>
    <w:rsid w:val="00092D51"/>
    <w:rsid w:val="00094092"/>
    <w:rsid w:val="000954E9"/>
    <w:rsid w:val="00095CAD"/>
    <w:rsid w:val="00096BE5"/>
    <w:rsid w:val="000971B3"/>
    <w:rsid w:val="000A00A3"/>
    <w:rsid w:val="000A24E1"/>
    <w:rsid w:val="000A25E4"/>
    <w:rsid w:val="000A336C"/>
    <w:rsid w:val="000A5254"/>
    <w:rsid w:val="000A54AD"/>
    <w:rsid w:val="000A5FBF"/>
    <w:rsid w:val="000A6D94"/>
    <w:rsid w:val="000A7C95"/>
    <w:rsid w:val="000B0A37"/>
    <w:rsid w:val="000B0CA5"/>
    <w:rsid w:val="000B1340"/>
    <w:rsid w:val="000B1745"/>
    <w:rsid w:val="000B1F23"/>
    <w:rsid w:val="000B2926"/>
    <w:rsid w:val="000B3BD6"/>
    <w:rsid w:val="000B5185"/>
    <w:rsid w:val="000B5375"/>
    <w:rsid w:val="000B7445"/>
    <w:rsid w:val="000C0A47"/>
    <w:rsid w:val="000C30C0"/>
    <w:rsid w:val="000C4242"/>
    <w:rsid w:val="000C6C24"/>
    <w:rsid w:val="000C790E"/>
    <w:rsid w:val="000C7E95"/>
    <w:rsid w:val="000D04F4"/>
    <w:rsid w:val="000D2FD1"/>
    <w:rsid w:val="000D3B0B"/>
    <w:rsid w:val="000D5345"/>
    <w:rsid w:val="000D58F2"/>
    <w:rsid w:val="000D5A3D"/>
    <w:rsid w:val="000D5DEA"/>
    <w:rsid w:val="000D63D7"/>
    <w:rsid w:val="000D6F9A"/>
    <w:rsid w:val="000E16FF"/>
    <w:rsid w:val="000E3870"/>
    <w:rsid w:val="000E7237"/>
    <w:rsid w:val="000E72B2"/>
    <w:rsid w:val="000E7CEA"/>
    <w:rsid w:val="000F2ED5"/>
    <w:rsid w:val="000F40D1"/>
    <w:rsid w:val="000F4289"/>
    <w:rsid w:val="000F46F1"/>
    <w:rsid w:val="000F63C1"/>
    <w:rsid w:val="000F6CFD"/>
    <w:rsid w:val="000F7273"/>
    <w:rsid w:val="000F756B"/>
    <w:rsid w:val="00103052"/>
    <w:rsid w:val="00104C79"/>
    <w:rsid w:val="00107708"/>
    <w:rsid w:val="001109CA"/>
    <w:rsid w:val="001126ED"/>
    <w:rsid w:val="00113078"/>
    <w:rsid w:val="001142B8"/>
    <w:rsid w:val="00114FE8"/>
    <w:rsid w:val="00115416"/>
    <w:rsid w:val="00115968"/>
    <w:rsid w:val="001163F0"/>
    <w:rsid w:val="00117C44"/>
    <w:rsid w:val="00121844"/>
    <w:rsid w:val="00121A19"/>
    <w:rsid w:val="001231D8"/>
    <w:rsid w:val="001238AA"/>
    <w:rsid w:val="00123B49"/>
    <w:rsid w:val="0013074C"/>
    <w:rsid w:val="00131686"/>
    <w:rsid w:val="001334B8"/>
    <w:rsid w:val="001415F5"/>
    <w:rsid w:val="00142312"/>
    <w:rsid w:val="0014291F"/>
    <w:rsid w:val="001455A8"/>
    <w:rsid w:val="0014738F"/>
    <w:rsid w:val="001474B6"/>
    <w:rsid w:val="0014781E"/>
    <w:rsid w:val="00152B50"/>
    <w:rsid w:val="0015485B"/>
    <w:rsid w:val="00162F9B"/>
    <w:rsid w:val="00164041"/>
    <w:rsid w:val="00164D15"/>
    <w:rsid w:val="00167092"/>
    <w:rsid w:val="001706E5"/>
    <w:rsid w:val="00171749"/>
    <w:rsid w:val="00173E42"/>
    <w:rsid w:val="00174641"/>
    <w:rsid w:val="0017574A"/>
    <w:rsid w:val="00177444"/>
    <w:rsid w:val="00177900"/>
    <w:rsid w:val="00181F07"/>
    <w:rsid w:val="00182B07"/>
    <w:rsid w:val="0018371E"/>
    <w:rsid w:val="0018708D"/>
    <w:rsid w:val="00187119"/>
    <w:rsid w:val="001912DF"/>
    <w:rsid w:val="00191BB8"/>
    <w:rsid w:val="0019358A"/>
    <w:rsid w:val="0019446E"/>
    <w:rsid w:val="00195402"/>
    <w:rsid w:val="001959CE"/>
    <w:rsid w:val="00196424"/>
    <w:rsid w:val="00197486"/>
    <w:rsid w:val="001A5769"/>
    <w:rsid w:val="001A762A"/>
    <w:rsid w:val="001B0319"/>
    <w:rsid w:val="001B0B00"/>
    <w:rsid w:val="001B23C4"/>
    <w:rsid w:val="001B29DA"/>
    <w:rsid w:val="001B2F30"/>
    <w:rsid w:val="001B3D38"/>
    <w:rsid w:val="001B3E66"/>
    <w:rsid w:val="001C0924"/>
    <w:rsid w:val="001C3887"/>
    <w:rsid w:val="001C68C2"/>
    <w:rsid w:val="001C7083"/>
    <w:rsid w:val="001C709A"/>
    <w:rsid w:val="001C7CCC"/>
    <w:rsid w:val="001D3101"/>
    <w:rsid w:val="001D7A31"/>
    <w:rsid w:val="001E2094"/>
    <w:rsid w:val="001E2F1D"/>
    <w:rsid w:val="001E47C9"/>
    <w:rsid w:val="001F0927"/>
    <w:rsid w:val="001F2246"/>
    <w:rsid w:val="001F26E2"/>
    <w:rsid w:val="001F53AF"/>
    <w:rsid w:val="001F6235"/>
    <w:rsid w:val="001F626B"/>
    <w:rsid w:val="001F7DD0"/>
    <w:rsid w:val="00204AC9"/>
    <w:rsid w:val="00205429"/>
    <w:rsid w:val="00206BCE"/>
    <w:rsid w:val="0021038C"/>
    <w:rsid w:val="00210F40"/>
    <w:rsid w:val="00211661"/>
    <w:rsid w:val="0021176C"/>
    <w:rsid w:val="00214635"/>
    <w:rsid w:val="00214C5B"/>
    <w:rsid w:val="00215753"/>
    <w:rsid w:val="002161CB"/>
    <w:rsid w:val="00217B64"/>
    <w:rsid w:val="00217C87"/>
    <w:rsid w:val="00217CCA"/>
    <w:rsid w:val="002218CA"/>
    <w:rsid w:val="002239DD"/>
    <w:rsid w:val="00224B2C"/>
    <w:rsid w:val="00233624"/>
    <w:rsid w:val="002358BB"/>
    <w:rsid w:val="0023695C"/>
    <w:rsid w:val="0024090E"/>
    <w:rsid w:val="00240C22"/>
    <w:rsid w:val="00241533"/>
    <w:rsid w:val="00242604"/>
    <w:rsid w:val="00243061"/>
    <w:rsid w:val="00243C64"/>
    <w:rsid w:val="00244F06"/>
    <w:rsid w:val="00250015"/>
    <w:rsid w:val="00250178"/>
    <w:rsid w:val="00251C3C"/>
    <w:rsid w:val="00253711"/>
    <w:rsid w:val="00256DB8"/>
    <w:rsid w:val="00260FE8"/>
    <w:rsid w:val="00262DEF"/>
    <w:rsid w:val="00264562"/>
    <w:rsid w:val="002678E8"/>
    <w:rsid w:val="00267B0E"/>
    <w:rsid w:val="00270176"/>
    <w:rsid w:val="00271261"/>
    <w:rsid w:val="00273B4D"/>
    <w:rsid w:val="00273E9E"/>
    <w:rsid w:val="00274C8C"/>
    <w:rsid w:val="00275ABA"/>
    <w:rsid w:val="00277E7F"/>
    <w:rsid w:val="00282307"/>
    <w:rsid w:val="00285054"/>
    <w:rsid w:val="002866A7"/>
    <w:rsid w:val="00286A20"/>
    <w:rsid w:val="00286B2D"/>
    <w:rsid w:val="00292AF6"/>
    <w:rsid w:val="00293F37"/>
    <w:rsid w:val="002A2B55"/>
    <w:rsid w:val="002A2C43"/>
    <w:rsid w:val="002A2C4D"/>
    <w:rsid w:val="002A367E"/>
    <w:rsid w:val="002A6B25"/>
    <w:rsid w:val="002A7280"/>
    <w:rsid w:val="002A73CC"/>
    <w:rsid w:val="002A7443"/>
    <w:rsid w:val="002B042E"/>
    <w:rsid w:val="002B255B"/>
    <w:rsid w:val="002B4554"/>
    <w:rsid w:val="002B5A0A"/>
    <w:rsid w:val="002B6638"/>
    <w:rsid w:val="002B73BB"/>
    <w:rsid w:val="002C1D42"/>
    <w:rsid w:val="002C32C7"/>
    <w:rsid w:val="002C55F7"/>
    <w:rsid w:val="002C5DA8"/>
    <w:rsid w:val="002C60FF"/>
    <w:rsid w:val="002C765B"/>
    <w:rsid w:val="002D32F9"/>
    <w:rsid w:val="002D36BA"/>
    <w:rsid w:val="002D5098"/>
    <w:rsid w:val="002D6403"/>
    <w:rsid w:val="002E17B6"/>
    <w:rsid w:val="002E2EFD"/>
    <w:rsid w:val="002E7A3C"/>
    <w:rsid w:val="002F44D7"/>
    <w:rsid w:val="00300F60"/>
    <w:rsid w:val="003011FF"/>
    <w:rsid w:val="0030156B"/>
    <w:rsid w:val="00302384"/>
    <w:rsid w:val="00302956"/>
    <w:rsid w:val="003077D3"/>
    <w:rsid w:val="0031011A"/>
    <w:rsid w:val="00311E01"/>
    <w:rsid w:val="00312B33"/>
    <w:rsid w:val="0031334F"/>
    <w:rsid w:val="003133A2"/>
    <w:rsid w:val="00315AF8"/>
    <w:rsid w:val="00317890"/>
    <w:rsid w:val="00320C0C"/>
    <w:rsid w:val="0032142B"/>
    <w:rsid w:val="00321804"/>
    <w:rsid w:val="00324419"/>
    <w:rsid w:val="00325927"/>
    <w:rsid w:val="00326577"/>
    <w:rsid w:val="00331C89"/>
    <w:rsid w:val="00334824"/>
    <w:rsid w:val="00335E67"/>
    <w:rsid w:val="00340418"/>
    <w:rsid w:val="00341053"/>
    <w:rsid w:val="0034134B"/>
    <w:rsid w:val="003413D0"/>
    <w:rsid w:val="00346810"/>
    <w:rsid w:val="00346F06"/>
    <w:rsid w:val="00347B9C"/>
    <w:rsid w:val="0035040F"/>
    <w:rsid w:val="003512A2"/>
    <w:rsid w:val="00353A03"/>
    <w:rsid w:val="00354E6E"/>
    <w:rsid w:val="00357B43"/>
    <w:rsid w:val="00360C00"/>
    <w:rsid w:val="00364590"/>
    <w:rsid w:val="00364B44"/>
    <w:rsid w:val="00364DC2"/>
    <w:rsid w:val="0036528C"/>
    <w:rsid w:val="003669F9"/>
    <w:rsid w:val="0036773F"/>
    <w:rsid w:val="00370E38"/>
    <w:rsid w:val="003710A1"/>
    <w:rsid w:val="0037257D"/>
    <w:rsid w:val="003732FA"/>
    <w:rsid w:val="00373B4F"/>
    <w:rsid w:val="003753E1"/>
    <w:rsid w:val="00380997"/>
    <w:rsid w:val="003822EA"/>
    <w:rsid w:val="00383955"/>
    <w:rsid w:val="00385BB9"/>
    <w:rsid w:val="00390293"/>
    <w:rsid w:val="0039367C"/>
    <w:rsid w:val="0039370F"/>
    <w:rsid w:val="00396791"/>
    <w:rsid w:val="00396CA9"/>
    <w:rsid w:val="00397082"/>
    <w:rsid w:val="003A0C2A"/>
    <w:rsid w:val="003A2427"/>
    <w:rsid w:val="003A7608"/>
    <w:rsid w:val="003B084D"/>
    <w:rsid w:val="003B37D0"/>
    <w:rsid w:val="003B5E2A"/>
    <w:rsid w:val="003B5EB9"/>
    <w:rsid w:val="003B5FC9"/>
    <w:rsid w:val="003C1DFB"/>
    <w:rsid w:val="003C274E"/>
    <w:rsid w:val="003C2A58"/>
    <w:rsid w:val="003C4261"/>
    <w:rsid w:val="003C4CF0"/>
    <w:rsid w:val="003C7895"/>
    <w:rsid w:val="003D087C"/>
    <w:rsid w:val="003D1047"/>
    <w:rsid w:val="003D1468"/>
    <w:rsid w:val="003D6B45"/>
    <w:rsid w:val="003D6CBC"/>
    <w:rsid w:val="003E1EB2"/>
    <w:rsid w:val="003E5DD9"/>
    <w:rsid w:val="003E64C3"/>
    <w:rsid w:val="003F2E0D"/>
    <w:rsid w:val="003F314F"/>
    <w:rsid w:val="003F40A1"/>
    <w:rsid w:val="003F61AC"/>
    <w:rsid w:val="003F7004"/>
    <w:rsid w:val="003F7FDE"/>
    <w:rsid w:val="00401657"/>
    <w:rsid w:val="004032ED"/>
    <w:rsid w:val="0040682C"/>
    <w:rsid w:val="0040691B"/>
    <w:rsid w:val="00406A87"/>
    <w:rsid w:val="004125A9"/>
    <w:rsid w:val="004143B5"/>
    <w:rsid w:val="00414806"/>
    <w:rsid w:val="00415847"/>
    <w:rsid w:val="00421353"/>
    <w:rsid w:val="00423931"/>
    <w:rsid w:val="00423A9D"/>
    <w:rsid w:val="00426D69"/>
    <w:rsid w:val="00430656"/>
    <w:rsid w:val="004309F5"/>
    <w:rsid w:val="004319AD"/>
    <w:rsid w:val="00431A6F"/>
    <w:rsid w:val="00431E10"/>
    <w:rsid w:val="00432715"/>
    <w:rsid w:val="0043330B"/>
    <w:rsid w:val="00433DC3"/>
    <w:rsid w:val="00435114"/>
    <w:rsid w:val="004362C8"/>
    <w:rsid w:val="00440D7C"/>
    <w:rsid w:val="004420D6"/>
    <w:rsid w:val="00442DEC"/>
    <w:rsid w:val="00442EF0"/>
    <w:rsid w:val="00443EEC"/>
    <w:rsid w:val="0045215A"/>
    <w:rsid w:val="004531BB"/>
    <w:rsid w:val="00454D28"/>
    <w:rsid w:val="00454F61"/>
    <w:rsid w:val="0046070A"/>
    <w:rsid w:val="004621C6"/>
    <w:rsid w:val="00462D4D"/>
    <w:rsid w:val="00463A5F"/>
    <w:rsid w:val="004667AA"/>
    <w:rsid w:val="00466BFE"/>
    <w:rsid w:val="0047155E"/>
    <w:rsid w:val="00471C5B"/>
    <w:rsid w:val="00472CD0"/>
    <w:rsid w:val="0047395E"/>
    <w:rsid w:val="00473F08"/>
    <w:rsid w:val="00475A98"/>
    <w:rsid w:val="0047730B"/>
    <w:rsid w:val="00477473"/>
    <w:rsid w:val="00482CA2"/>
    <w:rsid w:val="00483953"/>
    <w:rsid w:val="004852F1"/>
    <w:rsid w:val="00487EAF"/>
    <w:rsid w:val="00490108"/>
    <w:rsid w:val="00492674"/>
    <w:rsid w:val="00495F5A"/>
    <w:rsid w:val="00497688"/>
    <w:rsid w:val="004A58A0"/>
    <w:rsid w:val="004A5B6C"/>
    <w:rsid w:val="004A72AB"/>
    <w:rsid w:val="004B0F60"/>
    <w:rsid w:val="004B33CD"/>
    <w:rsid w:val="004B3534"/>
    <w:rsid w:val="004B3A8C"/>
    <w:rsid w:val="004B4017"/>
    <w:rsid w:val="004B5592"/>
    <w:rsid w:val="004B6040"/>
    <w:rsid w:val="004B702F"/>
    <w:rsid w:val="004B70BD"/>
    <w:rsid w:val="004B7C88"/>
    <w:rsid w:val="004C1229"/>
    <w:rsid w:val="004C4535"/>
    <w:rsid w:val="004C59B8"/>
    <w:rsid w:val="004C7335"/>
    <w:rsid w:val="004C7B64"/>
    <w:rsid w:val="004D03F3"/>
    <w:rsid w:val="004D435D"/>
    <w:rsid w:val="004D44CC"/>
    <w:rsid w:val="004D6018"/>
    <w:rsid w:val="004D6FE1"/>
    <w:rsid w:val="004D73AD"/>
    <w:rsid w:val="004E2BF6"/>
    <w:rsid w:val="004E3AE5"/>
    <w:rsid w:val="004E48A7"/>
    <w:rsid w:val="004F2AC5"/>
    <w:rsid w:val="004F488C"/>
    <w:rsid w:val="004F58C3"/>
    <w:rsid w:val="00504F43"/>
    <w:rsid w:val="00505295"/>
    <w:rsid w:val="00510012"/>
    <w:rsid w:val="00510BFE"/>
    <w:rsid w:val="00511162"/>
    <w:rsid w:val="005111F6"/>
    <w:rsid w:val="0051164D"/>
    <w:rsid w:val="005146D9"/>
    <w:rsid w:val="0051573C"/>
    <w:rsid w:val="005162D0"/>
    <w:rsid w:val="005169A0"/>
    <w:rsid w:val="00521343"/>
    <w:rsid w:val="00522D87"/>
    <w:rsid w:val="00523457"/>
    <w:rsid w:val="00524A01"/>
    <w:rsid w:val="00527C46"/>
    <w:rsid w:val="00532600"/>
    <w:rsid w:val="00532C53"/>
    <w:rsid w:val="00536061"/>
    <w:rsid w:val="00541A80"/>
    <w:rsid w:val="005431FE"/>
    <w:rsid w:val="005453B3"/>
    <w:rsid w:val="0054721C"/>
    <w:rsid w:val="00550DF9"/>
    <w:rsid w:val="00553B67"/>
    <w:rsid w:val="00554D3A"/>
    <w:rsid w:val="00556BFC"/>
    <w:rsid w:val="00557816"/>
    <w:rsid w:val="00562865"/>
    <w:rsid w:val="00563000"/>
    <w:rsid w:val="005645A4"/>
    <w:rsid w:val="00566711"/>
    <w:rsid w:val="005667F4"/>
    <w:rsid w:val="0056709A"/>
    <w:rsid w:val="00570DD0"/>
    <w:rsid w:val="0057594B"/>
    <w:rsid w:val="00576A27"/>
    <w:rsid w:val="00577CEF"/>
    <w:rsid w:val="00581C32"/>
    <w:rsid w:val="00581EA6"/>
    <w:rsid w:val="00582ABD"/>
    <w:rsid w:val="005841BB"/>
    <w:rsid w:val="00585506"/>
    <w:rsid w:val="00590524"/>
    <w:rsid w:val="005932A4"/>
    <w:rsid w:val="005951CD"/>
    <w:rsid w:val="005953DA"/>
    <w:rsid w:val="005A05E9"/>
    <w:rsid w:val="005A0866"/>
    <w:rsid w:val="005A1392"/>
    <w:rsid w:val="005A1FAD"/>
    <w:rsid w:val="005A31AD"/>
    <w:rsid w:val="005A42B0"/>
    <w:rsid w:val="005A6AF0"/>
    <w:rsid w:val="005A79C1"/>
    <w:rsid w:val="005A79E7"/>
    <w:rsid w:val="005B105D"/>
    <w:rsid w:val="005B1547"/>
    <w:rsid w:val="005B1E2E"/>
    <w:rsid w:val="005B2D93"/>
    <w:rsid w:val="005B4BE3"/>
    <w:rsid w:val="005B6860"/>
    <w:rsid w:val="005C10C6"/>
    <w:rsid w:val="005C12A6"/>
    <w:rsid w:val="005C19AE"/>
    <w:rsid w:val="005C2B50"/>
    <w:rsid w:val="005C6424"/>
    <w:rsid w:val="005C6C33"/>
    <w:rsid w:val="005C6F04"/>
    <w:rsid w:val="005C768A"/>
    <w:rsid w:val="005C7E4E"/>
    <w:rsid w:val="005D1D44"/>
    <w:rsid w:val="005D1FEE"/>
    <w:rsid w:val="005D24AB"/>
    <w:rsid w:val="005D3271"/>
    <w:rsid w:val="005D3424"/>
    <w:rsid w:val="005D4FB5"/>
    <w:rsid w:val="005D55DB"/>
    <w:rsid w:val="005D6CDA"/>
    <w:rsid w:val="005D7B35"/>
    <w:rsid w:val="005E0119"/>
    <w:rsid w:val="005E0F53"/>
    <w:rsid w:val="005E1600"/>
    <w:rsid w:val="005E3DAC"/>
    <w:rsid w:val="005E4B53"/>
    <w:rsid w:val="005F0172"/>
    <w:rsid w:val="005F0E7F"/>
    <w:rsid w:val="005F225A"/>
    <w:rsid w:val="005F25C8"/>
    <w:rsid w:val="005F6520"/>
    <w:rsid w:val="00602862"/>
    <w:rsid w:val="00605614"/>
    <w:rsid w:val="00605FD5"/>
    <w:rsid w:val="00606D7D"/>
    <w:rsid w:val="006077AC"/>
    <w:rsid w:val="00611090"/>
    <w:rsid w:val="00612C54"/>
    <w:rsid w:val="00614DD1"/>
    <w:rsid w:val="00615485"/>
    <w:rsid w:val="0061650F"/>
    <w:rsid w:val="00616DE8"/>
    <w:rsid w:val="00617BAC"/>
    <w:rsid w:val="006211AD"/>
    <w:rsid w:val="00622AB7"/>
    <w:rsid w:val="00624BA0"/>
    <w:rsid w:val="00625C1F"/>
    <w:rsid w:val="00627242"/>
    <w:rsid w:val="00630711"/>
    <w:rsid w:val="0063178B"/>
    <w:rsid w:val="00632E22"/>
    <w:rsid w:val="00632FE5"/>
    <w:rsid w:val="006336F4"/>
    <w:rsid w:val="006362BF"/>
    <w:rsid w:val="006365FD"/>
    <w:rsid w:val="00636AA8"/>
    <w:rsid w:val="00640067"/>
    <w:rsid w:val="00640C4E"/>
    <w:rsid w:val="006417B8"/>
    <w:rsid w:val="006433C9"/>
    <w:rsid w:val="00643A61"/>
    <w:rsid w:val="0064621B"/>
    <w:rsid w:val="00650986"/>
    <w:rsid w:val="00650C6C"/>
    <w:rsid w:val="00652367"/>
    <w:rsid w:val="00652E93"/>
    <w:rsid w:val="00653EB4"/>
    <w:rsid w:val="006542FB"/>
    <w:rsid w:val="00654333"/>
    <w:rsid w:val="006552B0"/>
    <w:rsid w:val="00655B2A"/>
    <w:rsid w:val="00656839"/>
    <w:rsid w:val="0065706B"/>
    <w:rsid w:val="00660117"/>
    <w:rsid w:val="006607F3"/>
    <w:rsid w:val="0066169C"/>
    <w:rsid w:val="00661998"/>
    <w:rsid w:val="006623F8"/>
    <w:rsid w:val="0066285B"/>
    <w:rsid w:val="00663184"/>
    <w:rsid w:val="0066359C"/>
    <w:rsid w:val="00664227"/>
    <w:rsid w:val="006646E9"/>
    <w:rsid w:val="00666B4B"/>
    <w:rsid w:val="00666C92"/>
    <w:rsid w:val="006674D5"/>
    <w:rsid w:val="00672560"/>
    <w:rsid w:val="00673A8F"/>
    <w:rsid w:val="00675060"/>
    <w:rsid w:val="006764DC"/>
    <w:rsid w:val="0067661F"/>
    <w:rsid w:val="00676ADD"/>
    <w:rsid w:val="00677544"/>
    <w:rsid w:val="006859C4"/>
    <w:rsid w:val="00690195"/>
    <w:rsid w:val="006915CE"/>
    <w:rsid w:val="00691F4F"/>
    <w:rsid w:val="006927B6"/>
    <w:rsid w:val="00693186"/>
    <w:rsid w:val="00697CEE"/>
    <w:rsid w:val="006A1BB7"/>
    <w:rsid w:val="006A5581"/>
    <w:rsid w:val="006A56A5"/>
    <w:rsid w:val="006B1A5A"/>
    <w:rsid w:val="006B3721"/>
    <w:rsid w:val="006B5E09"/>
    <w:rsid w:val="006B618D"/>
    <w:rsid w:val="006B6200"/>
    <w:rsid w:val="006C07BC"/>
    <w:rsid w:val="006C160F"/>
    <w:rsid w:val="006C4CCA"/>
    <w:rsid w:val="006C7B11"/>
    <w:rsid w:val="006C7D44"/>
    <w:rsid w:val="006D03C4"/>
    <w:rsid w:val="006D06BF"/>
    <w:rsid w:val="006D1E6D"/>
    <w:rsid w:val="006D2721"/>
    <w:rsid w:val="006D6B62"/>
    <w:rsid w:val="006E07FC"/>
    <w:rsid w:val="006E1A38"/>
    <w:rsid w:val="006E203E"/>
    <w:rsid w:val="006E24E4"/>
    <w:rsid w:val="006E38A9"/>
    <w:rsid w:val="006E55A5"/>
    <w:rsid w:val="006E5752"/>
    <w:rsid w:val="006F067B"/>
    <w:rsid w:val="006F3479"/>
    <w:rsid w:val="0070039D"/>
    <w:rsid w:val="00700A51"/>
    <w:rsid w:val="00700ECE"/>
    <w:rsid w:val="00706585"/>
    <w:rsid w:val="00711DD8"/>
    <w:rsid w:val="00712A43"/>
    <w:rsid w:val="00717E8F"/>
    <w:rsid w:val="0072692C"/>
    <w:rsid w:val="00726A9A"/>
    <w:rsid w:val="00730213"/>
    <w:rsid w:val="007303FA"/>
    <w:rsid w:val="00730D10"/>
    <w:rsid w:val="0073101D"/>
    <w:rsid w:val="00731963"/>
    <w:rsid w:val="00735111"/>
    <w:rsid w:val="007410E1"/>
    <w:rsid w:val="00745D98"/>
    <w:rsid w:val="00746D0C"/>
    <w:rsid w:val="00746D6F"/>
    <w:rsid w:val="00753984"/>
    <w:rsid w:val="00753A5F"/>
    <w:rsid w:val="007570A8"/>
    <w:rsid w:val="0076175A"/>
    <w:rsid w:val="007647A4"/>
    <w:rsid w:val="00765311"/>
    <w:rsid w:val="00765E82"/>
    <w:rsid w:val="00775F29"/>
    <w:rsid w:val="0077720F"/>
    <w:rsid w:val="007806C9"/>
    <w:rsid w:val="0078098D"/>
    <w:rsid w:val="007829A3"/>
    <w:rsid w:val="00782AA4"/>
    <w:rsid w:val="00783D45"/>
    <w:rsid w:val="00790A0B"/>
    <w:rsid w:val="00792887"/>
    <w:rsid w:val="00792F5D"/>
    <w:rsid w:val="0079346B"/>
    <w:rsid w:val="007A1D31"/>
    <w:rsid w:val="007A1ED7"/>
    <w:rsid w:val="007A4281"/>
    <w:rsid w:val="007A5E4C"/>
    <w:rsid w:val="007A68C4"/>
    <w:rsid w:val="007B0C4A"/>
    <w:rsid w:val="007B1328"/>
    <w:rsid w:val="007B2FFB"/>
    <w:rsid w:val="007B4A13"/>
    <w:rsid w:val="007B7C2B"/>
    <w:rsid w:val="007C121F"/>
    <w:rsid w:val="007C2DA7"/>
    <w:rsid w:val="007C3795"/>
    <w:rsid w:val="007D3792"/>
    <w:rsid w:val="007D4292"/>
    <w:rsid w:val="007D482A"/>
    <w:rsid w:val="007D676F"/>
    <w:rsid w:val="007D773B"/>
    <w:rsid w:val="007E0937"/>
    <w:rsid w:val="007E47D4"/>
    <w:rsid w:val="007E50BC"/>
    <w:rsid w:val="007E560F"/>
    <w:rsid w:val="007E6F98"/>
    <w:rsid w:val="007F21D0"/>
    <w:rsid w:val="007F3416"/>
    <w:rsid w:val="007F3DB7"/>
    <w:rsid w:val="007F742C"/>
    <w:rsid w:val="008015D3"/>
    <w:rsid w:val="008029F5"/>
    <w:rsid w:val="0080310F"/>
    <w:rsid w:val="008044E0"/>
    <w:rsid w:val="008077D1"/>
    <w:rsid w:val="008124DF"/>
    <w:rsid w:val="00812509"/>
    <w:rsid w:val="0081256F"/>
    <w:rsid w:val="00814E3D"/>
    <w:rsid w:val="00814F3A"/>
    <w:rsid w:val="00815086"/>
    <w:rsid w:val="00815396"/>
    <w:rsid w:val="00815823"/>
    <w:rsid w:val="008172FA"/>
    <w:rsid w:val="008224C0"/>
    <w:rsid w:val="008225C5"/>
    <w:rsid w:val="0082278D"/>
    <w:rsid w:val="00823426"/>
    <w:rsid w:val="008236E1"/>
    <w:rsid w:val="00824318"/>
    <w:rsid w:val="00825FA1"/>
    <w:rsid w:val="00826193"/>
    <w:rsid w:val="0083118C"/>
    <w:rsid w:val="00833277"/>
    <w:rsid w:val="00833A73"/>
    <w:rsid w:val="00833D7A"/>
    <w:rsid w:val="00836053"/>
    <w:rsid w:val="00836981"/>
    <w:rsid w:val="00837F83"/>
    <w:rsid w:val="00840016"/>
    <w:rsid w:val="00840613"/>
    <w:rsid w:val="00844027"/>
    <w:rsid w:val="00844D49"/>
    <w:rsid w:val="008457FE"/>
    <w:rsid w:val="0084724A"/>
    <w:rsid w:val="00847DE4"/>
    <w:rsid w:val="00850C19"/>
    <w:rsid w:val="008513C8"/>
    <w:rsid w:val="00851B40"/>
    <w:rsid w:val="00853374"/>
    <w:rsid w:val="008543D1"/>
    <w:rsid w:val="00856B50"/>
    <w:rsid w:val="00860AF4"/>
    <w:rsid w:val="00863388"/>
    <w:rsid w:val="00864E76"/>
    <w:rsid w:val="00865141"/>
    <w:rsid w:val="00867AF6"/>
    <w:rsid w:val="008702C0"/>
    <w:rsid w:val="00873A0E"/>
    <w:rsid w:val="00874232"/>
    <w:rsid w:val="00875A2E"/>
    <w:rsid w:val="00875F8F"/>
    <w:rsid w:val="0088252D"/>
    <w:rsid w:val="0088350F"/>
    <w:rsid w:val="00883B08"/>
    <w:rsid w:val="00883C51"/>
    <w:rsid w:val="00884635"/>
    <w:rsid w:val="00884922"/>
    <w:rsid w:val="00885BB6"/>
    <w:rsid w:val="008903C7"/>
    <w:rsid w:val="008936F0"/>
    <w:rsid w:val="00896CE5"/>
    <w:rsid w:val="00897D76"/>
    <w:rsid w:val="008A0DBB"/>
    <w:rsid w:val="008A0EAA"/>
    <w:rsid w:val="008A1C0B"/>
    <w:rsid w:val="008A1D29"/>
    <w:rsid w:val="008A3B15"/>
    <w:rsid w:val="008A5452"/>
    <w:rsid w:val="008B04A9"/>
    <w:rsid w:val="008B076C"/>
    <w:rsid w:val="008B2B3C"/>
    <w:rsid w:val="008B42C6"/>
    <w:rsid w:val="008B707C"/>
    <w:rsid w:val="008C1501"/>
    <w:rsid w:val="008C508F"/>
    <w:rsid w:val="008C7170"/>
    <w:rsid w:val="008D039B"/>
    <w:rsid w:val="008D03A5"/>
    <w:rsid w:val="008D142F"/>
    <w:rsid w:val="008D1949"/>
    <w:rsid w:val="008D30AF"/>
    <w:rsid w:val="008D5018"/>
    <w:rsid w:val="008D6F07"/>
    <w:rsid w:val="008E01E2"/>
    <w:rsid w:val="008E19A1"/>
    <w:rsid w:val="008E7942"/>
    <w:rsid w:val="008F0206"/>
    <w:rsid w:val="008F0531"/>
    <w:rsid w:val="008F0927"/>
    <w:rsid w:val="008F2212"/>
    <w:rsid w:val="008F5053"/>
    <w:rsid w:val="00901470"/>
    <w:rsid w:val="00901A2C"/>
    <w:rsid w:val="00902C0C"/>
    <w:rsid w:val="00902EC5"/>
    <w:rsid w:val="00903AEB"/>
    <w:rsid w:val="00906816"/>
    <w:rsid w:val="00907FD5"/>
    <w:rsid w:val="00911434"/>
    <w:rsid w:val="00911732"/>
    <w:rsid w:val="00913E0D"/>
    <w:rsid w:val="0091555E"/>
    <w:rsid w:val="00915C33"/>
    <w:rsid w:val="009167C4"/>
    <w:rsid w:val="00921A4A"/>
    <w:rsid w:val="00922C68"/>
    <w:rsid w:val="0092385A"/>
    <w:rsid w:val="00924FDA"/>
    <w:rsid w:val="0092578F"/>
    <w:rsid w:val="0092639F"/>
    <w:rsid w:val="00926653"/>
    <w:rsid w:val="00927634"/>
    <w:rsid w:val="009279C1"/>
    <w:rsid w:val="00927AF0"/>
    <w:rsid w:val="009301AE"/>
    <w:rsid w:val="0093085A"/>
    <w:rsid w:val="00931383"/>
    <w:rsid w:val="0093220A"/>
    <w:rsid w:val="009405FF"/>
    <w:rsid w:val="00942E1C"/>
    <w:rsid w:val="00943F3B"/>
    <w:rsid w:val="0094433D"/>
    <w:rsid w:val="009452A2"/>
    <w:rsid w:val="0094538F"/>
    <w:rsid w:val="009454E3"/>
    <w:rsid w:val="0095294B"/>
    <w:rsid w:val="00952D45"/>
    <w:rsid w:val="00953E07"/>
    <w:rsid w:val="009545DB"/>
    <w:rsid w:val="00957110"/>
    <w:rsid w:val="00960E78"/>
    <w:rsid w:val="00961552"/>
    <w:rsid w:val="00963807"/>
    <w:rsid w:val="00963AF8"/>
    <w:rsid w:val="00963D1F"/>
    <w:rsid w:val="00966343"/>
    <w:rsid w:val="00970E0A"/>
    <w:rsid w:val="00971A0A"/>
    <w:rsid w:val="0097218F"/>
    <w:rsid w:val="0097246E"/>
    <w:rsid w:val="00972E2C"/>
    <w:rsid w:val="00974440"/>
    <w:rsid w:val="009753D5"/>
    <w:rsid w:val="00975EF8"/>
    <w:rsid w:val="00976AB5"/>
    <w:rsid w:val="00976CA2"/>
    <w:rsid w:val="00981815"/>
    <w:rsid w:val="00984834"/>
    <w:rsid w:val="0098678F"/>
    <w:rsid w:val="009867A8"/>
    <w:rsid w:val="00986FF3"/>
    <w:rsid w:val="0098792A"/>
    <w:rsid w:val="0099219F"/>
    <w:rsid w:val="00992D6B"/>
    <w:rsid w:val="009933FD"/>
    <w:rsid w:val="0099516A"/>
    <w:rsid w:val="00995DE6"/>
    <w:rsid w:val="0099720A"/>
    <w:rsid w:val="00997C43"/>
    <w:rsid w:val="009A1BCD"/>
    <w:rsid w:val="009A242A"/>
    <w:rsid w:val="009A2D78"/>
    <w:rsid w:val="009A3EAE"/>
    <w:rsid w:val="009A5BAA"/>
    <w:rsid w:val="009A7299"/>
    <w:rsid w:val="009B2525"/>
    <w:rsid w:val="009B3442"/>
    <w:rsid w:val="009B4E6E"/>
    <w:rsid w:val="009B5944"/>
    <w:rsid w:val="009C1134"/>
    <w:rsid w:val="009C3B89"/>
    <w:rsid w:val="009C5AF5"/>
    <w:rsid w:val="009C5FA8"/>
    <w:rsid w:val="009C6848"/>
    <w:rsid w:val="009C6ABC"/>
    <w:rsid w:val="009D0FAB"/>
    <w:rsid w:val="009D194D"/>
    <w:rsid w:val="009D6246"/>
    <w:rsid w:val="009D6B44"/>
    <w:rsid w:val="009D700B"/>
    <w:rsid w:val="009E1B57"/>
    <w:rsid w:val="009E1C3E"/>
    <w:rsid w:val="009E22A1"/>
    <w:rsid w:val="009E6C17"/>
    <w:rsid w:val="009F1D65"/>
    <w:rsid w:val="009F30F7"/>
    <w:rsid w:val="009F4ECD"/>
    <w:rsid w:val="009F73E3"/>
    <w:rsid w:val="00A0022E"/>
    <w:rsid w:val="00A008D1"/>
    <w:rsid w:val="00A016AD"/>
    <w:rsid w:val="00A019DC"/>
    <w:rsid w:val="00A02D39"/>
    <w:rsid w:val="00A03D50"/>
    <w:rsid w:val="00A047C4"/>
    <w:rsid w:val="00A05CB9"/>
    <w:rsid w:val="00A06647"/>
    <w:rsid w:val="00A10975"/>
    <w:rsid w:val="00A11342"/>
    <w:rsid w:val="00A1240E"/>
    <w:rsid w:val="00A12A21"/>
    <w:rsid w:val="00A13D78"/>
    <w:rsid w:val="00A21926"/>
    <w:rsid w:val="00A21B26"/>
    <w:rsid w:val="00A23BD2"/>
    <w:rsid w:val="00A25741"/>
    <w:rsid w:val="00A2651E"/>
    <w:rsid w:val="00A271F0"/>
    <w:rsid w:val="00A27E6E"/>
    <w:rsid w:val="00A3097F"/>
    <w:rsid w:val="00A314A2"/>
    <w:rsid w:val="00A31EB5"/>
    <w:rsid w:val="00A325D7"/>
    <w:rsid w:val="00A33193"/>
    <w:rsid w:val="00A33BDF"/>
    <w:rsid w:val="00A369B8"/>
    <w:rsid w:val="00A41288"/>
    <w:rsid w:val="00A4245F"/>
    <w:rsid w:val="00A451E3"/>
    <w:rsid w:val="00A51785"/>
    <w:rsid w:val="00A52DE5"/>
    <w:rsid w:val="00A533D4"/>
    <w:rsid w:val="00A55EDC"/>
    <w:rsid w:val="00A55EFE"/>
    <w:rsid w:val="00A56A4C"/>
    <w:rsid w:val="00A61639"/>
    <w:rsid w:val="00A61D0F"/>
    <w:rsid w:val="00A6395B"/>
    <w:rsid w:val="00A64AB8"/>
    <w:rsid w:val="00A705BC"/>
    <w:rsid w:val="00A7130B"/>
    <w:rsid w:val="00A722E2"/>
    <w:rsid w:val="00A73E1C"/>
    <w:rsid w:val="00A75BCA"/>
    <w:rsid w:val="00A75EAE"/>
    <w:rsid w:val="00A770B8"/>
    <w:rsid w:val="00A814C9"/>
    <w:rsid w:val="00A81584"/>
    <w:rsid w:val="00A84163"/>
    <w:rsid w:val="00A849D8"/>
    <w:rsid w:val="00A84CD9"/>
    <w:rsid w:val="00A86213"/>
    <w:rsid w:val="00A9027E"/>
    <w:rsid w:val="00A935A8"/>
    <w:rsid w:val="00A943BF"/>
    <w:rsid w:val="00A947DE"/>
    <w:rsid w:val="00AA0A8F"/>
    <w:rsid w:val="00AA1671"/>
    <w:rsid w:val="00AA1FB5"/>
    <w:rsid w:val="00AA214B"/>
    <w:rsid w:val="00AA3BF4"/>
    <w:rsid w:val="00AA5748"/>
    <w:rsid w:val="00AB0667"/>
    <w:rsid w:val="00AB17C1"/>
    <w:rsid w:val="00AB1B22"/>
    <w:rsid w:val="00AB3188"/>
    <w:rsid w:val="00AB6469"/>
    <w:rsid w:val="00AB7584"/>
    <w:rsid w:val="00AC0410"/>
    <w:rsid w:val="00AC18A7"/>
    <w:rsid w:val="00AC28DD"/>
    <w:rsid w:val="00AC5438"/>
    <w:rsid w:val="00AC5F9E"/>
    <w:rsid w:val="00AC7396"/>
    <w:rsid w:val="00AC7780"/>
    <w:rsid w:val="00AD20CD"/>
    <w:rsid w:val="00AD299F"/>
    <w:rsid w:val="00AE1069"/>
    <w:rsid w:val="00AE3E4D"/>
    <w:rsid w:val="00AE3F29"/>
    <w:rsid w:val="00AE4288"/>
    <w:rsid w:val="00AE59D4"/>
    <w:rsid w:val="00AE73C0"/>
    <w:rsid w:val="00AE7E14"/>
    <w:rsid w:val="00AF04CB"/>
    <w:rsid w:val="00AF112E"/>
    <w:rsid w:val="00AF1C93"/>
    <w:rsid w:val="00AF5A00"/>
    <w:rsid w:val="00B034D6"/>
    <w:rsid w:val="00B0372A"/>
    <w:rsid w:val="00B0385C"/>
    <w:rsid w:val="00B048A0"/>
    <w:rsid w:val="00B06708"/>
    <w:rsid w:val="00B1039F"/>
    <w:rsid w:val="00B10F8F"/>
    <w:rsid w:val="00B153D3"/>
    <w:rsid w:val="00B17552"/>
    <w:rsid w:val="00B21169"/>
    <w:rsid w:val="00B221C9"/>
    <w:rsid w:val="00B304A2"/>
    <w:rsid w:val="00B3108B"/>
    <w:rsid w:val="00B321B6"/>
    <w:rsid w:val="00B32238"/>
    <w:rsid w:val="00B32B86"/>
    <w:rsid w:val="00B32CD9"/>
    <w:rsid w:val="00B33F75"/>
    <w:rsid w:val="00B34A66"/>
    <w:rsid w:val="00B35509"/>
    <w:rsid w:val="00B36147"/>
    <w:rsid w:val="00B4129C"/>
    <w:rsid w:val="00B41D0F"/>
    <w:rsid w:val="00B427D2"/>
    <w:rsid w:val="00B42DB2"/>
    <w:rsid w:val="00B43C7B"/>
    <w:rsid w:val="00B47197"/>
    <w:rsid w:val="00B51CEF"/>
    <w:rsid w:val="00B53D7E"/>
    <w:rsid w:val="00B54C33"/>
    <w:rsid w:val="00B54FE7"/>
    <w:rsid w:val="00B55FD0"/>
    <w:rsid w:val="00B56064"/>
    <w:rsid w:val="00B5696E"/>
    <w:rsid w:val="00B579D7"/>
    <w:rsid w:val="00B60C3A"/>
    <w:rsid w:val="00B6417F"/>
    <w:rsid w:val="00B66966"/>
    <w:rsid w:val="00B66A00"/>
    <w:rsid w:val="00B71930"/>
    <w:rsid w:val="00B71AAD"/>
    <w:rsid w:val="00B73003"/>
    <w:rsid w:val="00B80733"/>
    <w:rsid w:val="00B81F47"/>
    <w:rsid w:val="00B83D3A"/>
    <w:rsid w:val="00B83DB8"/>
    <w:rsid w:val="00B84E6B"/>
    <w:rsid w:val="00B8599F"/>
    <w:rsid w:val="00B86883"/>
    <w:rsid w:val="00B91FFD"/>
    <w:rsid w:val="00B921B9"/>
    <w:rsid w:val="00B93E92"/>
    <w:rsid w:val="00B97365"/>
    <w:rsid w:val="00B97887"/>
    <w:rsid w:val="00BA1B44"/>
    <w:rsid w:val="00BB25A5"/>
    <w:rsid w:val="00BB38D0"/>
    <w:rsid w:val="00BB53BC"/>
    <w:rsid w:val="00BB6209"/>
    <w:rsid w:val="00BB6E23"/>
    <w:rsid w:val="00BB737A"/>
    <w:rsid w:val="00BC00FD"/>
    <w:rsid w:val="00BC09EF"/>
    <w:rsid w:val="00BC19AE"/>
    <w:rsid w:val="00BC3662"/>
    <w:rsid w:val="00BC39E3"/>
    <w:rsid w:val="00BC442E"/>
    <w:rsid w:val="00BC60B2"/>
    <w:rsid w:val="00BC646F"/>
    <w:rsid w:val="00BC6905"/>
    <w:rsid w:val="00BC758E"/>
    <w:rsid w:val="00BC7A3E"/>
    <w:rsid w:val="00BD1CBC"/>
    <w:rsid w:val="00BD3CEA"/>
    <w:rsid w:val="00BD4FD2"/>
    <w:rsid w:val="00BD5E59"/>
    <w:rsid w:val="00BD6CD4"/>
    <w:rsid w:val="00BE053E"/>
    <w:rsid w:val="00BE0890"/>
    <w:rsid w:val="00BE0D2F"/>
    <w:rsid w:val="00BE5F82"/>
    <w:rsid w:val="00BF0CEC"/>
    <w:rsid w:val="00BF158A"/>
    <w:rsid w:val="00BF5792"/>
    <w:rsid w:val="00C007E0"/>
    <w:rsid w:val="00C00CD0"/>
    <w:rsid w:val="00C01E78"/>
    <w:rsid w:val="00C0337B"/>
    <w:rsid w:val="00C03500"/>
    <w:rsid w:val="00C04C82"/>
    <w:rsid w:val="00C062CB"/>
    <w:rsid w:val="00C0639A"/>
    <w:rsid w:val="00C115ED"/>
    <w:rsid w:val="00C11F0D"/>
    <w:rsid w:val="00C12C99"/>
    <w:rsid w:val="00C1479E"/>
    <w:rsid w:val="00C153C8"/>
    <w:rsid w:val="00C2124B"/>
    <w:rsid w:val="00C22F71"/>
    <w:rsid w:val="00C23BE4"/>
    <w:rsid w:val="00C248C5"/>
    <w:rsid w:val="00C25094"/>
    <w:rsid w:val="00C26F42"/>
    <w:rsid w:val="00C272F0"/>
    <w:rsid w:val="00C31B5E"/>
    <w:rsid w:val="00C330E0"/>
    <w:rsid w:val="00C3457C"/>
    <w:rsid w:val="00C34991"/>
    <w:rsid w:val="00C34CD2"/>
    <w:rsid w:val="00C34E02"/>
    <w:rsid w:val="00C3505D"/>
    <w:rsid w:val="00C358DD"/>
    <w:rsid w:val="00C40ECD"/>
    <w:rsid w:val="00C41846"/>
    <w:rsid w:val="00C42801"/>
    <w:rsid w:val="00C45666"/>
    <w:rsid w:val="00C45FA9"/>
    <w:rsid w:val="00C46F8C"/>
    <w:rsid w:val="00C47FDE"/>
    <w:rsid w:val="00C51B05"/>
    <w:rsid w:val="00C5268A"/>
    <w:rsid w:val="00C52954"/>
    <w:rsid w:val="00C5397C"/>
    <w:rsid w:val="00C60D31"/>
    <w:rsid w:val="00C61376"/>
    <w:rsid w:val="00C63BA8"/>
    <w:rsid w:val="00C70745"/>
    <w:rsid w:val="00C70F54"/>
    <w:rsid w:val="00C71197"/>
    <w:rsid w:val="00C71A7C"/>
    <w:rsid w:val="00C749FE"/>
    <w:rsid w:val="00C75311"/>
    <w:rsid w:val="00C7784C"/>
    <w:rsid w:val="00C81B26"/>
    <w:rsid w:val="00C8396E"/>
    <w:rsid w:val="00C83979"/>
    <w:rsid w:val="00C84E6C"/>
    <w:rsid w:val="00C856E6"/>
    <w:rsid w:val="00C85F4C"/>
    <w:rsid w:val="00C868A5"/>
    <w:rsid w:val="00C90F29"/>
    <w:rsid w:val="00C91F74"/>
    <w:rsid w:val="00C94093"/>
    <w:rsid w:val="00C943A6"/>
    <w:rsid w:val="00C94F5C"/>
    <w:rsid w:val="00C96A65"/>
    <w:rsid w:val="00CA085F"/>
    <w:rsid w:val="00CA3606"/>
    <w:rsid w:val="00CA4EA2"/>
    <w:rsid w:val="00CA5738"/>
    <w:rsid w:val="00CA6155"/>
    <w:rsid w:val="00CA7380"/>
    <w:rsid w:val="00CA7449"/>
    <w:rsid w:val="00CB1726"/>
    <w:rsid w:val="00CB39BF"/>
    <w:rsid w:val="00CB5456"/>
    <w:rsid w:val="00CB5493"/>
    <w:rsid w:val="00CB54FE"/>
    <w:rsid w:val="00CB5D40"/>
    <w:rsid w:val="00CB6E92"/>
    <w:rsid w:val="00CB70B1"/>
    <w:rsid w:val="00CB7259"/>
    <w:rsid w:val="00CC04C6"/>
    <w:rsid w:val="00CC21D1"/>
    <w:rsid w:val="00CC2485"/>
    <w:rsid w:val="00CC4103"/>
    <w:rsid w:val="00CC5108"/>
    <w:rsid w:val="00CC5A60"/>
    <w:rsid w:val="00CD071B"/>
    <w:rsid w:val="00CD0787"/>
    <w:rsid w:val="00CD16E3"/>
    <w:rsid w:val="00CD213F"/>
    <w:rsid w:val="00CD28BA"/>
    <w:rsid w:val="00CD30DA"/>
    <w:rsid w:val="00CD44C1"/>
    <w:rsid w:val="00CD4858"/>
    <w:rsid w:val="00CD489A"/>
    <w:rsid w:val="00CD4C0C"/>
    <w:rsid w:val="00CD5A66"/>
    <w:rsid w:val="00CD7C16"/>
    <w:rsid w:val="00CE205F"/>
    <w:rsid w:val="00CE38D6"/>
    <w:rsid w:val="00CE46E2"/>
    <w:rsid w:val="00CE502B"/>
    <w:rsid w:val="00CE6AB9"/>
    <w:rsid w:val="00CF414F"/>
    <w:rsid w:val="00CF7F62"/>
    <w:rsid w:val="00D00DC4"/>
    <w:rsid w:val="00D03F73"/>
    <w:rsid w:val="00D04002"/>
    <w:rsid w:val="00D10C95"/>
    <w:rsid w:val="00D127D7"/>
    <w:rsid w:val="00D13F84"/>
    <w:rsid w:val="00D1412D"/>
    <w:rsid w:val="00D15077"/>
    <w:rsid w:val="00D152F0"/>
    <w:rsid w:val="00D154F0"/>
    <w:rsid w:val="00D20182"/>
    <w:rsid w:val="00D2177F"/>
    <w:rsid w:val="00D24D26"/>
    <w:rsid w:val="00D322D1"/>
    <w:rsid w:val="00D32787"/>
    <w:rsid w:val="00D35867"/>
    <w:rsid w:val="00D3652F"/>
    <w:rsid w:val="00D3658F"/>
    <w:rsid w:val="00D457A0"/>
    <w:rsid w:val="00D458B6"/>
    <w:rsid w:val="00D45E0C"/>
    <w:rsid w:val="00D4748F"/>
    <w:rsid w:val="00D47F73"/>
    <w:rsid w:val="00D52EFF"/>
    <w:rsid w:val="00D53340"/>
    <w:rsid w:val="00D5480A"/>
    <w:rsid w:val="00D54DC3"/>
    <w:rsid w:val="00D54E87"/>
    <w:rsid w:val="00D60EF4"/>
    <w:rsid w:val="00D61A05"/>
    <w:rsid w:val="00D62271"/>
    <w:rsid w:val="00D65DE6"/>
    <w:rsid w:val="00D66116"/>
    <w:rsid w:val="00D71DB1"/>
    <w:rsid w:val="00D71E0A"/>
    <w:rsid w:val="00D7335B"/>
    <w:rsid w:val="00D75628"/>
    <w:rsid w:val="00D80FFA"/>
    <w:rsid w:val="00D81F76"/>
    <w:rsid w:val="00D85C9D"/>
    <w:rsid w:val="00D87492"/>
    <w:rsid w:val="00D87DF8"/>
    <w:rsid w:val="00D916FF"/>
    <w:rsid w:val="00D91FB5"/>
    <w:rsid w:val="00D9639A"/>
    <w:rsid w:val="00D96BE3"/>
    <w:rsid w:val="00DA0040"/>
    <w:rsid w:val="00DA0CDE"/>
    <w:rsid w:val="00DA4429"/>
    <w:rsid w:val="00DA6CBC"/>
    <w:rsid w:val="00DB1FFA"/>
    <w:rsid w:val="00DB29E8"/>
    <w:rsid w:val="00DB3460"/>
    <w:rsid w:val="00DB3FAB"/>
    <w:rsid w:val="00DB3FDC"/>
    <w:rsid w:val="00DB416B"/>
    <w:rsid w:val="00DB49BA"/>
    <w:rsid w:val="00DB4F86"/>
    <w:rsid w:val="00DB6D37"/>
    <w:rsid w:val="00DB722B"/>
    <w:rsid w:val="00DB72FE"/>
    <w:rsid w:val="00DB7906"/>
    <w:rsid w:val="00DC0233"/>
    <w:rsid w:val="00DC3AFF"/>
    <w:rsid w:val="00DC4C33"/>
    <w:rsid w:val="00DC6FBB"/>
    <w:rsid w:val="00DC7526"/>
    <w:rsid w:val="00DD0510"/>
    <w:rsid w:val="00DD4C6F"/>
    <w:rsid w:val="00DD6CBD"/>
    <w:rsid w:val="00DD7923"/>
    <w:rsid w:val="00DE0037"/>
    <w:rsid w:val="00DE01EA"/>
    <w:rsid w:val="00DE6102"/>
    <w:rsid w:val="00DF0F78"/>
    <w:rsid w:val="00DF1B40"/>
    <w:rsid w:val="00DF2738"/>
    <w:rsid w:val="00DF282E"/>
    <w:rsid w:val="00DF4111"/>
    <w:rsid w:val="00DF455B"/>
    <w:rsid w:val="00DF498E"/>
    <w:rsid w:val="00DF7EF6"/>
    <w:rsid w:val="00E0160A"/>
    <w:rsid w:val="00E01C98"/>
    <w:rsid w:val="00E01E9D"/>
    <w:rsid w:val="00E04B5F"/>
    <w:rsid w:val="00E07364"/>
    <w:rsid w:val="00E077CB"/>
    <w:rsid w:val="00E101CD"/>
    <w:rsid w:val="00E105C9"/>
    <w:rsid w:val="00E116DC"/>
    <w:rsid w:val="00E143D5"/>
    <w:rsid w:val="00E16565"/>
    <w:rsid w:val="00E174AA"/>
    <w:rsid w:val="00E17A41"/>
    <w:rsid w:val="00E17D37"/>
    <w:rsid w:val="00E20B5D"/>
    <w:rsid w:val="00E23A6F"/>
    <w:rsid w:val="00E24634"/>
    <w:rsid w:val="00E2528F"/>
    <w:rsid w:val="00E268FE"/>
    <w:rsid w:val="00E3091C"/>
    <w:rsid w:val="00E31125"/>
    <w:rsid w:val="00E31AA9"/>
    <w:rsid w:val="00E32AC2"/>
    <w:rsid w:val="00E3399C"/>
    <w:rsid w:val="00E34521"/>
    <w:rsid w:val="00E37728"/>
    <w:rsid w:val="00E37830"/>
    <w:rsid w:val="00E37DA4"/>
    <w:rsid w:val="00E4036F"/>
    <w:rsid w:val="00E423F8"/>
    <w:rsid w:val="00E42D17"/>
    <w:rsid w:val="00E4347C"/>
    <w:rsid w:val="00E434DE"/>
    <w:rsid w:val="00E435F3"/>
    <w:rsid w:val="00E4499B"/>
    <w:rsid w:val="00E45A81"/>
    <w:rsid w:val="00E4795D"/>
    <w:rsid w:val="00E51444"/>
    <w:rsid w:val="00E51F4A"/>
    <w:rsid w:val="00E5429C"/>
    <w:rsid w:val="00E55EFE"/>
    <w:rsid w:val="00E57BF2"/>
    <w:rsid w:val="00E6734D"/>
    <w:rsid w:val="00E70702"/>
    <w:rsid w:val="00E71F15"/>
    <w:rsid w:val="00E72A9B"/>
    <w:rsid w:val="00E74F3C"/>
    <w:rsid w:val="00E76BBC"/>
    <w:rsid w:val="00E83FEB"/>
    <w:rsid w:val="00E84F3C"/>
    <w:rsid w:val="00E872C0"/>
    <w:rsid w:val="00E87ECA"/>
    <w:rsid w:val="00E906F1"/>
    <w:rsid w:val="00E90E77"/>
    <w:rsid w:val="00E92A4A"/>
    <w:rsid w:val="00E95212"/>
    <w:rsid w:val="00EA01F1"/>
    <w:rsid w:val="00EA1B39"/>
    <w:rsid w:val="00EA1C57"/>
    <w:rsid w:val="00EA52D8"/>
    <w:rsid w:val="00EA66D8"/>
    <w:rsid w:val="00EB1319"/>
    <w:rsid w:val="00EB1C99"/>
    <w:rsid w:val="00EB287C"/>
    <w:rsid w:val="00EB3793"/>
    <w:rsid w:val="00EB3F14"/>
    <w:rsid w:val="00EB43C0"/>
    <w:rsid w:val="00EB46E4"/>
    <w:rsid w:val="00EB760F"/>
    <w:rsid w:val="00EB7EAD"/>
    <w:rsid w:val="00EC06CA"/>
    <w:rsid w:val="00EC0D19"/>
    <w:rsid w:val="00EC5AA3"/>
    <w:rsid w:val="00EC66DB"/>
    <w:rsid w:val="00EC6AF9"/>
    <w:rsid w:val="00EC72D6"/>
    <w:rsid w:val="00EC784F"/>
    <w:rsid w:val="00ED2171"/>
    <w:rsid w:val="00ED74C4"/>
    <w:rsid w:val="00EE02A0"/>
    <w:rsid w:val="00EE27C0"/>
    <w:rsid w:val="00EE5A21"/>
    <w:rsid w:val="00EF0086"/>
    <w:rsid w:val="00EF0A6C"/>
    <w:rsid w:val="00EF409A"/>
    <w:rsid w:val="00EF6D38"/>
    <w:rsid w:val="00EF76D2"/>
    <w:rsid w:val="00EF77C5"/>
    <w:rsid w:val="00EF7E64"/>
    <w:rsid w:val="00F0386D"/>
    <w:rsid w:val="00F0432C"/>
    <w:rsid w:val="00F054D3"/>
    <w:rsid w:val="00F05ED3"/>
    <w:rsid w:val="00F06AD4"/>
    <w:rsid w:val="00F06C82"/>
    <w:rsid w:val="00F07C43"/>
    <w:rsid w:val="00F12FF9"/>
    <w:rsid w:val="00F14093"/>
    <w:rsid w:val="00F162A1"/>
    <w:rsid w:val="00F17990"/>
    <w:rsid w:val="00F20B52"/>
    <w:rsid w:val="00F2297F"/>
    <w:rsid w:val="00F22B03"/>
    <w:rsid w:val="00F23605"/>
    <w:rsid w:val="00F30D81"/>
    <w:rsid w:val="00F325C5"/>
    <w:rsid w:val="00F32952"/>
    <w:rsid w:val="00F346F2"/>
    <w:rsid w:val="00F37DB0"/>
    <w:rsid w:val="00F405A7"/>
    <w:rsid w:val="00F4079F"/>
    <w:rsid w:val="00F407A8"/>
    <w:rsid w:val="00F40D47"/>
    <w:rsid w:val="00F4107F"/>
    <w:rsid w:val="00F41349"/>
    <w:rsid w:val="00F4429F"/>
    <w:rsid w:val="00F5015B"/>
    <w:rsid w:val="00F52994"/>
    <w:rsid w:val="00F54418"/>
    <w:rsid w:val="00F553D6"/>
    <w:rsid w:val="00F55FFF"/>
    <w:rsid w:val="00F57BD7"/>
    <w:rsid w:val="00F57DC4"/>
    <w:rsid w:val="00F603D0"/>
    <w:rsid w:val="00F60E24"/>
    <w:rsid w:val="00F6417A"/>
    <w:rsid w:val="00F6463A"/>
    <w:rsid w:val="00F6535A"/>
    <w:rsid w:val="00F66A96"/>
    <w:rsid w:val="00F70D6E"/>
    <w:rsid w:val="00F7387D"/>
    <w:rsid w:val="00F73926"/>
    <w:rsid w:val="00F74491"/>
    <w:rsid w:val="00F75FCB"/>
    <w:rsid w:val="00F76DC2"/>
    <w:rsid w:val="00F772AA"/>
    <w:rsid w:val="00F81012"/>
    <w:rsid w:val="00F81C61"/>
    <w:rsid w:val="00F82935"/>
    <w:rsid w:val="00F8483E"/>
    <w:rsid w:val="00F84F19"/>
    <w:rsid w:val="00F860DC"/>
    <w:rsid w:val="00F90098"/>
    <w:rsid w:val="00F90E99"/>
    <w:rsid w:val="00F91A2D"/>
    <w:rsid w:val="00F923DE"/>
    <w:rsid w:val="00F933D2"/>
    <w:rsid w:val="00F9565B"/>
    <w:rsid w:val="00FA1189"/>
    <w:rsid w:val="00FA235B"/>
    <w:rsid w:val="00FA5B69"/>
    <w:rsid w:val="00FA7930"/>
    <w:rsid w:val="00FB212E"/>
    <w:rsid w:val="00FB2167"/>
    <w:rsid w:val="00FB4E8F"/>
    <w:rsid w:val="00FB5746"/>
    <w:rsid w:val="00FB61CC"/>
    <w:rsid w:val="00FB7DA6"/>
    <w:rsid w:val="00FC2BA2"/>
    <w:rsid w:val="00FC4C63"/>
    <w:rsid w:val="00FC5DE4"/>
    <w:rsid w:val="00FC6175"/>
    <w:rsid w:val="00FC62A2"/>
    <w:rsid w:val="00FC6CD4"/>
    <w:rsid w:val="00FD046E"/>
    <w:rsid w:val="00FD0B00"/>
    <w:rsid w:val="00FD1A1D"/>
    <w:rsid w:val="00FD6E31"/>
    <w:rsid w:val="00FE001C"/>
    <w:rsid w:val="00FE01D9"/>
    <w:rsid w:val="00FE1DA9"/>
    <w:rsid w:val="00FE258A"/>
    <w:rsid w:val="00FE25F9"/>
    <w:rsid w:val="00FE2A8B"/>
    <w:rsid w:val="00FE38F6"/>
    <w:rsid w:val="00FE5712"/>
    <w:rsid w:val="00FE60F9"/>
    <w:rsid w:val="00FF20CF"/>
    <w:rsid w:val="00FF48C9"/>
    <w:rsid w:val="00FF6FBA"/>
    <w:rsid w:val="00FF73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1">
      <v:textbox inset="5.85pt,.7pt,5.85pt,.7pt"/>
    </o:shapedefaults>
    <o:shapelayout v:ext="edit">
      <o:idmap v:ext="edit" data="1"/>
    </o:shapelayout>
  </w:shapeDefaults>
  <w:decimalSymbol w:val="."/>
  <w:listSeparator w:val=","/>
  <w14:docId w14:val="0D76E72E"/>
  <w15:chartTrackingRefBased/>
  <w15:docId w15:val="{815484DF-DFC1-46A8-9BF2-D9AAE720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Mincho"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B5D"/>
    <w:pPr>
      <w:widowControl w:val="0"/>
      <w:suppressAutoHyphens/>
      <w:spacing w:before="120" w:after="120"/>
      <w:jc w:val="both"/>
    </w:pPr>
    <w:rPr>
      <w:rFonts w:ascii="Times New Roman" w:eastAsia="Arial Unicode MS" w:hAnsi="Times New Roman"/>
      <w:kern w:val="1"/>
      <w:sz w:val="24"/>
      <w:szCs w:val="24"/>
      <w:lang w:val="en-US" w:eastAsia="ar-SA"/>
    </w:rPr>
  </w:style>
  <w:style w:type="paragraph" w:styleId="Heading3">
    <w:name w:val="heading 3"/>
    <w:basedOn w:val="Normal"/>
    <w:next w:val="Normal"/>
    <w:link w:val="Heading3Char"/>
    <w:qFormat/>
    <w:rsid w:val="00F054D3"/>
    <w:pPr>
      <w:keepNext/>
      <w:widowControl/>
      <w:suppressAutoHyphens w:val="0"/>
      <w:spacing w:before="240" w:after="240"/>
      <w:jc w:val="left"/>
      <w:outlineLvl w:val="2"/>
    </w:pPr>
    <w:rPr>
      <w:rFonts w:ascii="Arial" w:eastAsia="Times New Roman" w:hAnsi="Arial"/>
      <w:b/>
      <w:bCs/>
      <w:kern w:val="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E3DAC"/>
  </w:style>
  <w:style w:type="character" w:customStyle="1" w:styleId="BodyTextChar">
    <w:name w:val="Body Text Char"/>
    <w:link w:val="BodyText"/>
    <w:rsid w:val="005E3DAC"/>
    <w:rPr>
      <w:rFonts w:ascii="Times New Roman" w:eastAsia="Arial Unicode MS" w:hAnsi="Times New Roman" w:cs="Times New Roman"/>
      <w:kern w:val="1"/>
      <w:sz w:val="24"/>
      <w:szCs w:val="24"/>
      <w:lang w:val="en-US" w:eastAsia="ar-SA"/>
    </w:rPr>
  </w:style>
  <w:style w:type="character" w:styleId="IntenseReference">
    <w:name w:val="Intense Reference"/>
    <w:uiPriority w:val="32"/>
    <w:qFormat/>
    <w:rsid w:val="005E3DAC"/>
    <w:rPr>
      <w:b/>
      <w:bCs/>
      <w:smallCaps/>
      <w:color w:val="C0504D"/>
      <w:spacing w:val="5"/>
      <w:u w:val="single"/>
    </w:rPr>
  </w:style>
  <w:style w:type="paragraph" w:styleId="ListParagraph">
    <w:name w:val="List Paragraph"/>
    <w:basedOn w:val="Normal"/>
    <w:uiPriority w:val="34"/>
    <w:qFormat/>
    <w:rsid w:val="005E3DAC"/>
    <w:pPr>
      <w:ind w:left="720"/>
      <w:contextualSpacing/>
    </w:pPr>
  </w:style>
  <w:style w:type="paragraph" w:customStyle="1" w:styleId="References">
    <w:name w:val="References"/>
    <w:basedOn w:val="Normal"/>
    <w:link w:val="ReferencesCar"/>
    <w:rsid w:val="005E3DAC"/>
    <w:pPr>
      <w:widowControl/>
      <w:suppressAutoHyphens w:val="0"/>
      <w:ind w:left="346" w:hanging="346"/>
    </w:pPr>
    <w:rPr>
      <w:rFonts w:ascii="Arial" w:eastAsia="MS Mincho" w:hAnsi="Arial"/>
      <w:kern w:val="0"/>
      <w:sz w:val="20"/>
      <w:szCs w:val="20"/>
    </w:rPr>
  </w:style>
  <w:style w:type="paragraph" w:customStyle="1" w:styleId="IGALLTitle1">
    <w:name w:val="IGALL Title 1"/>
    <w:basedOn w:val="Normal"/>
    <w:link w:val="IGALLTitle1Car"/>
    <w:qFormat/>
    <w:rsid w:val="005E3DAC"/>
    <w:rPr>
      <w:b/>
      <w:bCs/>
      <w:lang w:val="en-GB"/>
    </w:rPr>
  </w:style>
  <w:style w:type="paragraph" w:customStyle="1" w:styleId="IGALLTitle2">
    <w:name w:val="IGALL Title 2"/>
    <w:basedOn w:val="Normal"/>
    <w:link w:val="IGALLTitle2Car"/>
    <w:qFormat/>
    <w:rsid w:val="005E3DAC"/>
    <w:rPr>
      <w:b/>
      <w:bCs/>
      <w:lang w:val="en-GB"/>
    </w:rPr>
  </w:style>
  <w:style w:type="character" w:customStyle="1" w:styleId="IGALLTitle1Car">
    <w:name w:val="IGALL Title 1 Car"/>
    <w:link w:val="IGALLTitle1"/>
    <w:rsid w:val="005E3DAC"/>
    <w:rPr>
      <w:rFonts w:ascii="Times New Roman" w:eastAsia="Arial Unicode MS" w:hAnsi="Times New Roman" w:cs="Times New Roman"/>
      <w:b/>
      <w:bCs/>
      <w:kern w:val="1"/>
      <w:sz w:val="24"/>
      <w:szCs w:val="24"/>
      <w:lang w:val="en-GB" w:eastAsia="ar-SA"/>
    </w:rPr>
  </w:style>
  <w:style w:type="paragraph" w:customStyle="1" w:styleId="IGALLTitle3">
    <w:name w:val="IGALL Title 3"/>
    <w:basedOn w:val="Normal"/>
    <w:link w:val="IGALLTitle3Car"/>
    <w:qFormat/>
    <w:rsid w:val="00EB3793"/>
    <w:pPr>
      <w:numPr>
        <w:numId w:val="10"/>
      </w:numPr>
    </w:pPr>
    <w:rPr>
      <w:b/>
      <w:bCs/>
      <w:lang w:val="en-GB"/>
    </w:rPr>
  </w:style>
  <w:style w:type="character" w:customStyle="1" w:styleId="IGALLTitle2Car">
    <w:name w:val="IGALL Title 2 Car"/>
    <w:link w:val="IGALLTitle2"/>
    <w:rsid w:val="005E3DAC"/>
    <w:rPr>
      <w:rFonts w:ascii="Times New Roman" w:eastAsia="Arial Unicode MS" w:hAnsi="Times New Roman" w:cs="Times New Roman"/>
      <w:b/>
      <w:bCs/>
      <w:kern w:val="1"/>
      <w:sz w:val="24"/>
      <w:szCs w:val="24"/>
      <w:lang w:val="en-GB" w:eastAsia="ar-SA"/>
    </w:rPr>
  </w:style>
  <w:style w:type="paragraph" w:customStyle="1" w:styleId="IGALLReferencesTitle">
    <w:name w:val="IGALL References Title"/>
    <w:basedOn w:val="Normal"/>
    <w:link w:val="IGALLReferencesTitleCar"/>
    <w:qFormat/>
    <w:rsid w:val="00EB3793"/>
    <w:rPr>
      <w:b/>
      <w:bCs/>
      <w:lang w:val="en-GB"/>
    </w:rPr>
  </w:style>
  <w:style w:type="character" w:customStyle="1" w:styleId="IGALLTitle3Car">
    <w:name w:val="IGALL Title 3 Car"/>
    <w:link w:val="IGALLTitle3"/>
    <w:rsid w:val="00EB3793"/>
    <w:rPr>
      <w:rFonts w:ascii="Times New Roman" w:eastAsia="Arial Unicode MS" w:hAnsi="Times New Roman" w:cs="Times New Roman"/>
      <w:b/>
      <w:bCs/>
      <w:kern w:val="1"/>
      <w:sz w:val="24"/>
      <w:szCs w:val="24"/>
      <w:lang w:val="en-GB" w:eastAsia="ar-SA"/>
    </w:rPr>
  </w:style>
  <w:style w:type="paragraph" w:customStyle="1" w:styleId="IGALLReferences">
    <w:name w:val="IGALL References"/>
    <w:basedOn w:val="References"/>
    <w:link w:val="IGALLReferencesCar"/>
    <w:qFormat/>
    <w:rsid w:val="00EB3793"/>
    <w:pPr>
      <w:numPr>
        <w:numId w:val="12"/>
      </w:numPr>
    </w:pPr>
  </w:style>
  <w:style w:type="character" w:customStyle="1" w:styleId="IGALLReferencesTitleCar">
    <w:name w:val="IGALL References Title Car"/>
    <w:link w:val="IGALLReferencesTitle"/>
    <w:rsid w:val="00EB3793"/>
    <w:rPr>
      <w:rFonts w:ascii="Times New Roman" w:eastAsia="Arial Unicode MS" w:hAnsi="Times New Roman" w:cs="Times New Roman"/>
      <w:b/>
      <w:bCs/>
      <w:kern w:val="1"/>
      <w:sz w:val="24"/>
      <w:szCs w:val="24"/>
      <w:lang w:val="en-GB" w:eastAsia="ar-SA"/>
    </w:rPr>
  </w:style>
  <w:style w:type="character" w:customStyle="1" w:styleId="ReferencesCar">
    <w:name w:val="References Car"/>
    <w:link w:val="References"/>
    <w:rsid w:val="00EB3793"/>
    <w:rPr>
      <w:rFonts w:ascii="Arial" w:eastAsia="MS Mincho" w:hAnsi="Arial" w:cs="Arial"/>
      <w:szCs w:val="20"/>
      <w:lang w:val="en-US"/>
    </w:rPr>
  </w:style>
  <w:style w:type="character" w:customStyle="1" w:styleId="IGALLReferencesCar">
    <w:name w:val="IGALL References Car"/>
    <w:link w:val="IGALLReferences"/>
    <w:rsid w:val="00EB3793"/>
    <w:rPr>
      <w:rFonts w:ascii="Arial" w:hAnsi="Arial"/>
    </w:rPr>
  </w:style>
  <w:style w:type="character" w:customStyle="1" w:styleId="Heading3Char">
    <w:name w:val="Heading 3 Char"/>
    <w:link w:val="Heading3"/>
    <w:rsid w:val="00F054D3"/>
    <w:rPr>
      <w:rFonts w:ascii="Arial" w:eastAsia="Times New Roman" w:hAnsi="Arial" w:cs="Arial"/>
      <w:b/>
      <w:bCs/>
      <w:szCs w:val="26"/>
      <w:lang w:val="en-US"/>
    </w:rPr>
  </w:style>
  <w:style w:type="paragraph" w:customStyle="1" w:styleId="Body">
    <w:name w:val="Body"/>
    <w:basedOn w:val="Normal"/>
    <w:link w:val="BodyChar"/>
    <w:rsid w:val="00F054D3"/>
    <w:pPr>
      <w:widowControl/>
      <w:suppressAutoHyphens w:val="0"/>
      <w:spacing w:before="240" w:after="240"/>
      <w:jc w:val="left"/>
    </w:pPr>
    <w:rPr>
      <w:rFonts w:ascii="Arial" w:eastAsia="Times New Roman" w:hAnsi="Arial"/>
      <w:kern w:val="0"/>
      <w:sz w:val="20"/>
      <w:szCs w:val="20"/>
    </w:rPr>
  </w:style>
  <w:style w:type="character" w:customStyle="1" w:styleId="BodyChar">
    <w:name w:val="Body Char"/>
    <w:link w:val="Body"/>
    <w:rsid w:val="00F054D3"/>
    <w:rPr>
      <w:rFonts w:ascii="Arial" w:eastAsia="Times New Roman" w:hAnsi="Arial" w:cs="Arial"/>
      <w:szCs w:val="20"/>
      <w:lang w:val="en-US"/>
    </w:rPr>
  </w:style>
  <w:style w:type="paragraph" w:customStyle="1" w:styleId="BodyNumbered">
    <w:name w:val="Body Numbered"/>
    <w:basedOn w:val="Normal"/>
    <w:link w:val="BodyNumberedChar"/>
    <w:rsid w:val="00F054D3"/>
    <w:pPr>
      <w:widowControl/>
      <w:numPr>
        <w:numId w:val="11"/>
      </w:numPr>
      <w:suppressAutoHyphens w:val="0"/>
      <w:spacing w:before="240" w:after="240"/>
      <w:jc w:val="left"/>
    </w:pPr>
    <w:rPr>
      <w:rFonts w:ascii="Arial" w:eastAsia="Times New Roman" w:hAnsi="Arial"/>
      <w:kern w:val="0"/>
      <w:sz w:val="20"/>
      <w:szCs w:val="20"/>
    </w:rPr>
  </w:style>
  <w:style w:type="character" w:customStyle="1" w:styleId="BodyNumberedChar">
    <w:name w:val="Body Numbered Char"/>
    <w:link w:val="BodyNumbered"/>
    <w:rsid w:val="00F054D3"/>
    <w:rPr>
      <w:rFonts w:ascii="Arial" w:eastAsia="Times New Roman" w:hAnsi="Arial" w:cs="Arial"/>
      <w:szCs w:val="20"/>
      <w:lang w:val="en-US"/>
    </w:rPr>
  </w:style>
  <w:style w:type="paragraph" w:styleId="Header">
    <w:name w:val="header"/>
    <w:basedOn w:val="Normal"/>
    <w:link w:val="HeaderChar"/>
    <w:uiPriority w:val="99"/>
    <w:unhideWhenUsed/>
    <w:rsid w:val="0018708D"/>
    <w:pPr>
      <w:tabs>
        <w:tab w:val="center" w:pos="4252"/>
        <w:tab w:val="right" w:pos="8504"/>
      </w:tabs>
    </w:pPr>
    <w:rPr>
      <w:rFonts w:ascii="Arial" w:hAnsi="Arial"/>
      <w:sz w:val="20"/>
    </w:rPr>
  </w:style>
  <w:style w:type="character" w:customStyle="1" w:styleId="HeaderChar">
    <w:name w:val="Header Char"/>
    <w:link w:val="Header"/>
    <w:uiPriority w:val="99"/>
    <w:rsid w:val="0018708D"/>
    <w:rPr>
      <w:rFonts w:ascii="Arial" w:eastAsia="Arial Unicode MS" w:hAnsi="Arial" w:cs="Times New Roman"/>
      <w:kern w:val="1"/>
      <w:szCs w:val="24"/>
      <w:lang w:val="en-US" w:eastAsia="ar-SA"/>
    </w:rPr>
  </w:style>
  <w:style w:type="paragraph" w:styleId="Footer">
    <w:name w:val="footer"/>
    <w:basedOn w:val="Normal"/>
    <w:link w:val="FooterChar"/>
    <w:uiPriority w:val="99"/>
    <w:unhideWhenUsed/>
    <w:rsid w:val="0018708D"/>
    <w:pPr>
      <w:tabs>
        <w:tab w:val="center" w:pos="4252"/>
        <w:tab w:val="right" w:pos="8504"/>
      </w:tabs>
    </w:pPr>
    <w:rPr>
      <w:rFonts w:ascii="Arial" w:hAnsi="Arial"/>
      <w:sz w:val="20"/>
    </w:rPr>
  </w:style>
  <w:style w:type="character" w:customStyle="1" w:styleId="FooterChar">
    <w:name w:val="Footer Char"/>
    <w:link w:val="Footer"/>
    <w:uiPriority w:val="99"/>
    <w:rsid w:val="0018708D"/>
    <w:rPr>
      <w:rFonts w:ascii="Arial" w:eastAsia="Arial Unicode MS" w:hAnsi="Arial" w:cs="Times New Roman"/>
      <w:kern w:val="1"/>
      <w:szCs w:val="24"/>
      <w:lang w:val="en-US" w:eastAsia="ar-SA"/>
    </w:rPr>
  </w:style>
  <w:style w:type="paragraph" w:styleId="BalloonText">
    <w:name w:val="Balloon Text"/>
    <w:basedOn w:val="Normal"/>
    <w:link w:val="BalloonTextChar"/>
    <w:uiPriority w:val="99"/>
    <w:semiHidden/>
    <w:unhideWhenUsed/>
    <w:rsid w:val="0018708D"/>
    <w:rPr>
      <w:rFonts w:ascii="Tahoma" w:hAnsi="Tahoma"/>
      <w:sz w:val="16"/>
      <w:szCs w:val="16"/>
    </w:rPr>
  </w:style>
  <w:style w:type="character" w:customStyle="1" w:styleId="BalloonTextChar">
    <w:name w:val="Balloon Text Char"/>
    <w:link w:val="BalloonText"/>
    <w:uiPriority w:val="99"/>
    <w:semiHidden/>
    <w:rsid w:val="0018708D"/>
    <w:rPr>
      <w:rFonts w:ascii="Tahoma" w:eastAsia="Arial Unicode MS" w:hAnsi="Tahoma" w:cs="Tahoma"/>
      <w:kern w:val="1"/>
      <w:sz w:val="16"/>
      <w:szCs w:val="16"/>
      <w:lang w:val="en-US" w:eastAsia="ar-SA"/>
    </w:rPr>
  </w:style>
  <w:style w:type="character" w:styleId="LineNumber">
    <w:name w:val="line number"/>
    <w:basedOn w:val="DefaultParagraphFont"/>
    <w:uiPriority w:val="99"/>
    <w:semiHidden/>
    <w:unhideWhenUsed/>
    <w:rsid w:val="006915CE"/>
  </w:style>
  <w:style w:type="character" w:styleId="CommentReference">
    <w:name w:val="annotation reference"/>
    <w:uiPriority w:val="99"/>
    <w:semiHidden/>
    <w:unhideWhenUsed/>
    <w:rsid w:val="00976CA2"/>
    <w:rPr>
      <w:sz w:val="16"/>
      <w:szCs w:val="16"/>
    </w:rPr>
  </w:style>
  <w:style w:type="paragraph" w:styleId="CommentText">
    <w:name w:val="annotation text"/>
    <w:basedOn w:val="Normal"/>
    <w:link w:val="CommentTextChar"/>
    <w:uiPriority w:val="99"/>
    <w:unhideWhenUsed/>
    <w:rsid w:val="00061661"/>
    <w:rPr>
      <w:sz w:val="20"/>
      <w:szCs w:val="20"/>
    </w:rPr>
  </w:style>
  <w:style w:type="character" w:customStyle="1" w:styleId="CommentTextChar">
    <w:name w:val="Comment Text Char"/>
    <w:link w:val="CommentText"/>
    <w:uiPriority w:val="99"/>
    <w:rsid w:val="00976CA2"/>
    <w:rPr>
      <w:rFonts w:ascii="Times New Roman" w:eastAsia="Arial Unicode MS" w:hAnsi="Times New Roman"/>
      <w:kern w:val="1"/>
      <w:lang w:eastAsia="ar-SA"/>
    </w:rPr>
  </w:style>
  <w:style w:type="paragraph" w:styleId="CommentSubject">
    <w:name w:val="annotation subject"/>
    <w:basedOn w:val="CommentText"/>
    <w:next w:val="CommentText"/>
    <w:link w:val="CommentSubjectChar"/>
    <w:uiPriority w:val="99"/>
    <w:semiHidden/>
    <w:unhideWhenUsed/>
    <w:rsid w:val="00976CA2"/>
    <w:rPr>
      <w:b/>
      <w:bCs/>
    </w:rPr>
  </w:style>
  <w:style w:type="character" w:customStyle="1" w:styleId="CommentSubjectChar">
    <w:name w:val="Comment Subject Char"/>
    <w:link w:val="CommentSubject"/>
    <w:uiPriority w:val="99"/>
    <w:semiHidden/>
    <w:rsid w:val="00976CA2"/>
    <w:rPr>
      <w:rFonts w:ascii="Times New Roman" w:eastAsia="Arial Unicode MS" w:hAnsi="Times New Roman"/>
      <w:b/>
      <w:bCs/>
      <w:kern w:val="1"/>
      <w:lang w:eastAsia="ar-SA"/>
    </w:rPr>
  </w:style>
  <w:style w:type="paragraph" w:styleId="Revision">
    <w:name w:val="Revision"/>
    <w:hidden/>
    <w:uiPriority w:val="99"/>
    <w:semiHidden/>
    <w:rsid w:val="001F26E2"/>
    <w:rPr>
      <w:rFonts w:ascii="Times New Roman" w:eastAsia="Arial Unicode MS" w:hAnsi="Times New Roman"/>
      <w:kern w:val="1"/>
      <w:sz w:val="24"/>
      <w:szCs w:val="24"/>
      <w:lang w:val="en-US" w:eastAsia="ar-SA"/>
    </w:rPr>
  </w:style>
  <w:style w:type="paragraph" w:customStyle="1" w:styleId="2">
    <w:name w:val="本文_2"/>
    <w:basedOn w:val="Normal"/>
    <w:qFormat/>
    <w:rsid w:val="007806C9"/>
    <w:pPr>
      <w:suppressAutoHyphens w:val="0"/>
      <w:autoSpaceDE w:val="0"/>
      <w:autoSpaceDN w:val="0"/>
      <w:adjustRightInd w:val="0"/>
      <w:spacing w:before="0" w:afterLines="30" w:after="30" w:line="240" w:lineRule="exact"/>
      <w:ind w:leftChars="100" w:left="100" w:firstLineChars="100" w:firstLine="100"/>
    </w:pPr>
    <w:rPr>
      <w:rFonts w:eastAsia="Times New Roman" w:cs="ArialMT"/>
      <w:kern w:val="0"/>
      <w:sz w:val="21"/>
      <w:szCs w:val="20"/>
      <w:lang w:eastAsia="ja-JP"/>
    </w:rPr>
  </w:style>
  <w:style w:type="paragraph" w:customStyle="1" w:styleId="20">
    <w:name w:val="タイトル_2"/>
    <w:basedOn w:val="Normal"/>
    <w:qFormat/>
    <w:rsid w:val="007806C9"/>
    <w:pPr>
      <w:suppressAutoHyphens w:val="0"/>
      <w:spacing w:before="0" w:after="0"/>
      <w:ind w:leftChars="50" w:left="50"/>
    </w:pPr>
    <w:rPr>
      <w:rFonts w:eastAsia="Times New Roman"/>
      <w:kern w:val="2"/>
      <w:sz w:val="21"/>
      <w:szCs w:val="22"/>
      <w:lang w:eastAsia="ja-JP"/>
    </w:rPr>
  </w:style>
  <w:style w:type="paragraph" w:customStyle="1" w:styleId="3">
    <w:name w:val="タイトル_3"/>
    <w:basedOn w:val="Normal"/>
    <w:qFormat/>
    <w:rsid w:val="007806C9"/>
    <w:pPr>
      <w:suppressAutoHyphens w:val="0"/>
      <w:autoSpaceDE w:val="0"/>
      <w:autoSpaceDN w:val="0"/>
      <w:adjustRightInd w:val="0"/>
      <w:spacing w:before="0" w:after="0"/>
      <w:ind w:leftChars="100" w:left="100"/>
      <w:jc w:val="left"/>
    </w:pPr>
    <w:rPr>
      <w:rFonts w:eastAsia="Times New Roman" w:cs="Arial-BoldMT"/>
      <w:bCs/>
      <w:kern w:val="0"/>
      <w:sz w:val="21"/>
      <w:szCs w:val="20"/>
      <w:lang w:eastAsia="ja-JP"/>
    </w:rPr>
  </w:style>
  <w:style w:type="paragraph" w:customStyle="1" w:styleId="30">
    <w:name w:val="本文_3"/>
    <w:basedOn w:val="Normal"/>
    <w:qFormat/>
    <w:rsid w:val="007806C9"/>
    <w:pPr>
      <w:suppressAutoHyphens w:val="0"/>
      <w:spacing w:before="0" w:afterLines="30" w:after="30" w:line="240" w:lineRule="exact"/>
      <w:ind w:leftChars="200" w:left="200" w:firstLineChars="100" w:firstLine="100"/>
    </w:pPr>
    <w:rPr>
      <w:rFonts w:eastAsia="Times New Roman"/>
      <w:kern w:val="2"/>
      <w:sz w:val="21"/>
      <w:szCs w:val="22"/>
      <w:lang w:eastAsia="ja-JP"/>
    </w:rPr>
  </w:style>
  <w:style w:type="paragraph" w:customStyle="1" w:styleId="Default">
    <w:name w:val="Default"/>
    <w:rsid w:val="003D6CBC"/>
    <w:pPr>
      <w:autoSpaceDE w:val="0"/>
      <w:autoSpaceDN w:val="0"/>
      <w:adjustRightInd w:val="0"/>
    </w:pPr>
    <w:rPr>
      <w:rFonts w:ascii="Times New Roman" w:hAnsi="Times New Roman"/>
      <w:color w:val="000000"/>
      <w:sz w:val="24"/>
      <w:szCs w:val="24"/>
    </w:rPr>
  </w:style>
  <w:style w:type="paragraph" w:styleId="FootnoteText">
    <w:name w:val="footnote text"/>
    <w:basedOn w:val="Normal"/>
    <w:link w:val="FootnoteTextChar"/>
    <w:uiPriority w:val="99"/>
    <w:semiHidden/>
    <w:unhideWhenUsed/>
    <w:rsid w:val="003077D3"/>
    <w:rPr>
      <w:sz w:val="20"/>
      <w:szCs w:val="20"/>
    </w:rPr>
  </w:style>
  <w:style w:type="character" w:customStyle="1" w:styleId="FootnoteTextChar">
    <w:name w:val="Footnote Text Char"/>
    <w:link w:val="FootnoteText"/>
    <w:uiPriority w:val="99"/>
    <w:semiHidden/>
    <w:rsid w:val="003077D3"/>
    <w:rPr>
      <w:rFonts w:ascii="Times New Roman" w:eastAsia="Arial Unicode MS" w:hAnsi="Times New Roman"/>
      <w:kern w:val="1"/>
      <w:lang w:val="en-US" w:eastAsia="ar-SA"/>
    </w:rPr>
  </w:style>
  <w:style w:type="character" w:styleId="FootnoteReference">
    <w:name w:val="footnote reference"/>
    <w:uiPriority w:val="99"/>
    <w:semiHidden/>
    <w:unhideWhenUsed/>
    <w:rsid w:val="003077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49090">
      <w:bodyDiv w:val="1"/>
      <w:marLeft w:val="0"/>
      <w:marRight w:val="0"/>
      <w:marTop w:val="0"/>
      <w:marBottom w:val="0"/>
      <w:divBdr>
        <w:top w:val="none" w:sz="0" w:space="0" w:color="auto"/>
        <w:left w:val="none" w:sz="0" w:space="0" w:color="auto"/>
        <w:bottom w:val="none" w:sz="0" w:space="0" w:color="auto"/>
        <w:right w:val="none" w:sz="0" w:space="0" w:color="auto"/>
      </w:divBdr>
    </w:div>
    <w:div w:id="157038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5" Type="http://schemas.openxmlformats.org/officeDocument/2006/relationships/customXml" Target="../customXml/item5.xml"/><Relationship Id="rId15" Type="http://schemas.openxmlformats.org/officeDocument/2006/relationships/endnotes" Target="endnotes.xml"/><Relationship Id="rId10"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K:\IGALL\Wg2\WG2_2nd_meeting\Home%20Work\AMPs\IGALL%20AMP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5OTM0OWVkNi04NTgxLTRhNzgtYmI5OS0zOGNlZTg0ODQ3NDMiIG9yaWdpbj0idXNlclNlbGVjdGVkIj48ZWxlbWVudCB1aWQ9ImlkX2NsYXNzaWZpY2F0aW9uX25vbmJ1c2luZXNzIiB2YWx1ZT0iIiB4bWxucz0iaHR0cDovL3d3dy5ib2xkb25qYW1lcy5jb20vMjAwOC8wMS9zaWUvaW50ZXJuYWwvbGFiZWwiIC8+PC9zaXNsPjxVc2VyTmFtZT5DT1JFXEROQjAwMjI8L1VzZXJOYW1lPjxEYXRlVGltZT4xMy8wNS8yMDIwIDA5OjMyOjQ4PC9EYXRlVGltZT48TGFiZWxTdHJpbmc+Tk9UIFBST1RFQ1RJVkVMWSBNQVJLRUQ8L0xhYmVsU3RyaW5nPjwvaXRlbT48L2xhYmVsSGlzdG9yeT4=</Value>
</WrappedLabelHistory>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4F142B15E453A845A999B7A9B13261C2" ma:contentTypeVersion="0" ma:contentTypeDescription="Create a new document." ma:contentTypeScope="" ma:versionID="d2f9736dfe43f1ac71cc6be34e9e8ff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sisl xmlns:xsi="http://www.w3.org/2001/XMLSchema-instance" xmlns:xsd="http://www.w3.org/2001/XMLSchema" xmlns="http://www.boldonjames.com/2008/01/sie/internal/label" sislVersion="0" policy="99349ed6-8581-4a78-bb99-38cee8484743" origin="userSelected">
  <element uid="id_classification_nonbusiness" value=""/>
</sisl>
</file>

<file path=customXml/item7.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8.xml><?xml version="1.0" encoding="utf-8"?>
<ct:contentTypeSchema xmlns:ct="http://schemas.microsoft.com/office/2006/metadata/contentType" xmlns:ma="http://schemas.microsoft.com/office/2006/metadata/properties/metaAttributes" ct:_="" ma:_="" ma:contentTypeName="Document" ma:contentTypeID="0x0101000D0E438B4174344CA6D9ED031CF9571B" ma:contentTypeVersion="0" ma:contentTypeDescription="Create a new document." ma:contentTypeScope="" ma:versionID="00d4e89c6aa229346f53b0cabccb621f">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9.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7C14CD1-5793-4F77-920E-76783BC03D63}">
  <ds:schemaRefs>
    <ds:schemaRef ds:uri="http://schemas.microsoft.com/sharepoint/v3/contenttype/forms"/>
  </ds:schemaRefs>
</ds:datastoreItem>
</file>

<file path=customXml/itemProps2.xml><?xml version="1.0" encoding="utf-8"?>
<ds:datastoreItem xmlns:ds="http://schemas.openxmlformats.org/officeDocument/2006/customXml" ds:itemID="{1B07B4B6-8E23-4A8C-85E9-94C20B1FA127}">
  <ds:schemaRefs>
    <ds:schemaRef ds:uri="http://www.w3.org/2001/XMLSchema"/>
    <ds:schemaRef ds:uri="http://www.boldonjames.com/2016/02/Classifier/internal/wrappedLabelHistory"/>
  </ds:schemaRefs>
</ds:datastoreItem>
</file>

<file path=customXml/itemProps3.xml><?xml version="1.0" encoding="utf-8"?>
<ds:datastoreItem xmlns:ds="http://schemas.openxmlformats.org/officeDocument/2006/customXml" ds:itemID="{4139A192-B4DF-4DD8-A4AF-AF0E600C3319}">
  <ds:schemaRefs>
    <ds:schemaRef ds:uri="http://schemas.microsoft.com/sharepoint/v3/contenttype/forms"/>
  </ds:schemaRefs>
</ds:datastoreItem>
</file>

<file path=customXml/itemProps4.xml><?xml version="1.0" encoding="utf-8"?>
<ds:datastoreItem xmlns:ds="http://schemas.openxmlformats.org/officeDocument/2006/customXml" ds:itemID="{DD7BA233-D966-4C76-BEAB-9C5825CAC507}">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0003DFB-06A6-4DE0-B075-50E34DC781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6.xml><?xml version="1.0" encoding="utf-8"?>
<ds:datastoreItem xmlns:ds="http://schemas.openxmlformats.org/officeDocument/2006/customXml" ds:itemID="{50B6BE63-DD3C-4EC1-B6AF-62E3D670B7BC}">
  <ds:schemaRefs>
    <ds:schemaRef ds:uri="http://www.w3.org/2001/XMLSchema"/>
    <ds:schemaRef ds:uri="http://www.boldonjames.com/2008/01/sie/internal/label"/>
  </ds:schemaRefs>
</ds:datastoreItem>
</file>

<file path=customXml/itemProps7.xml><?xml version="1.0" encoding="utf-8"?>
<ds:datastoreItem xmlns:ds="http://schemas.openxmlformats.org/officeDocument/2006/customXml" ds:itemID="{65A613EC-6555-4C90-9129-1B92A5251941}">
  <ds:schemaRefs>
    <ds:schemaRef ds:uri="http://schemas.microsoft.com/office/2006/metadata/customXsn"/>
  </ds:schemaRefs>
</ds:datastoreItem>
</file>

<file path=customXml/itemProps8.xml><?xml version="1.0" encoding="utf-8"?>
<ds:datastoreItem xmlns:ds="http://schemas.openxmlformats.org/officeDocument/2006/customXml" ds:itemID="{2FA1DB33-F5DD-42D8-8907-348F43F4D7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9.xml><?xml version="1.0" encoding="utf-8"?>
<ds:datastoreItem xmlns:ds="http://schemas.openxmlformats.org/officeDocument/2006/customXml" ds:itemID="{E6871018-1016-49AE-97B3-7DDE8197F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IGALL AMPs.dotx</Template>
  <TotalTime>5</TotalTime>
  <Pages>11</Pages>
  <Words>5035</Words>
  <Characters>28703</Characters>
  <Application>Microsoft Office Word</Application>
  <DocSecurity>0</DocSecurity>
  <Lines>239</Lines>
  <Paragraphs>67</Paragraphs>
  <ScaleCrop>false</ScaleCrop>
  <HeadingPairs>
    <vt:vector size="10" baseType="variant">
      <vt:variant>
        <vt:lpstr>Title</vt:lpstr>
      </vt:variant>
      <vt:variant>
        <vt:i4>1</vt:i4>
      </vt:variant>
      <vt:variant>
        <vt:lpstr>Título</vt:lpstr>
      </vt:variant>
      <vt:variant>
        <vt:i4>1</vt:i4>
      </vt:variant>
      <vt:variant>
        <vt:lpstr>Titre</vt:lpstr>
      </vt:variant>
      <vt:variant>
        <vt:i4>1</vt:i4>
      </vt:variant>
      <vt:variant>
        <vt:lpstr>Titel</vt:lpstr>
      </vt:variant>
      <vt:variant>
        <vt:i4>1</vt:i4>
      </vt:variant>
      <vt:variant>
        <vt:lpstr>タイトル</vt:lpstr>
      </vt:variant>
      <vt:variant>
        <vt:i4>1</vt:i4>
      </vt:variant>
    </vt:vector>
  </HeadingPairs>
  <TitlesOfParts>
    <vt:vector size="5" baseType="lpstr">
      <vt:lpstr/>
      <vt:lpstr/>
      <vt:lpstr/>
      <vt:lpstr/>
      <vt:lpstr/>
    </vt:vector>
  </TitlesOfParts>
  <Company>IBERDROLA S.A.</Company>
  <LinksUpToDate>false</LinksUpToDate>
  <CharactersWithSpaces>33671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CNC Formacion</dc:creator>
  <cp:keywords/>
  <cp:lastModifiedBy>PETOFI, Gabor</cp:lastModifiedBy>
  <cp:revision>3</cp:revision>
  <cp:lastPrinted>2016-09-11T22:01:00Z</cp:lastPrinted>
  <dcterms:created xsi:type="dcterms:W3CDTF">2022-01-19T10:11:00Z</dcterms:created>
  <dcterms:modified xsi:type="dcterms:W3CDTF">2022-01-19T10:23:00Z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ocIndexRef">
    <vt:lpwstr>a4133e20-bbdb-4fce-bbba-4eb4fe17050a</vt:lpwstr>
  </property>
  <property fmtid="{D5CDD505-2E9C-101B-9397-08002B2CF9AE}" pid="4" name="bjSaver">
    <vt:lpwstr>iT5QwDh60KbQTu3bfo/evmVVUOkcD8pa</vt:lpwstr>
  </property>
  <property fmtid="{D5CDD505-2E9C-101B-9397-08002B2CF9AE}" pid="5" name="bjDocumentLabelXML">
    <vt:lpwstr>&lt;?xml version="1.0" encoding="us-ascii"?&gt;&lt;sisl xmlns:xsi="http://www.w3.org/2001/XMLSchema-instance" xmlns:xsd="http://www.w3.org/2001/XMLSchema" sislVersion="0" policy="99349ed6-8581-4a78-bb99-38cee8484743" origin="userSelected" xmlns="http://www.boldonj</vt:lpwstr>
  </property>
  <property fmtid="{D5CDD505-2E9C-101B-9397-08002B2CF9AE}" pid="6" name="bjDocumentLabelXML-0">
    <vt:lpwstr>ames.com/2008/01/sie/internal/label"&gt;&lt;element uid="id_classification_nonbusiness" value="" /&gt;&lt;/sisl&gt;</vt:lpwstr>
  </property>
  <property fmtid="{D5CDD505-2E9C-101B-9397-08002B2CF9AE}" pid="7" name="bjDocumentSecurityLabel">
    <vt:lpwstr>NOT PROTECTIVELY MARKED</vt:lpwstr>
  </property>
  <property fmtid="{D5CDD505-2E9C-101B-9397-08002B2CF9AE}" pid="8" name="ClassificationSecurity">
    <vt:lpwstr>NOT PROTECTIVELY MARKED</vt:lpwstr>
  </property>
  <property fmtid="{D5CDD505-2E9C-101B-9397-08002B2CF9AE}" pid="9" name="bjLabelHistoryID">
    <vt:lpwstr>{1B07B4B6-8E23-4A8C-85E9-94C20B1FA127}</vt:lpwstr>
  </property>
  <property fmtid="{D5CDD505-2E9C-101B-9397-08002B2CF9AE}" pid="10" name="MSIP_Label_c135c4ba-2280-41f8-be7d-6f21d368baa3_Enabled">
    <vt:lpwstr>true</vt:lpwstr>
  </property>
  <property fmtid="{D5CDD505-2E9C-101B-9397-08002B2CF9AE}" pid="11" name="MSIP_Label_c135c4ba-2280-41f8-be7d-6f21d368baa3_SetDate">
    <vt:lpwstr>2021-09-20T13:52:34Z</vt:lpwstr>
  </property>
  <property fmtid="{D5CDD505-2E9C-101B-9397-08002B2CF9AE}" pid="12" name="MSIP_Label_c135c4ba-2280-41f8-be7d-6f21d368baa3_Method">
    <vt:lpwstr>Standard</vt:lpwstr>
  </property>
  <property fmtid="{D5CDD505-2E9C-101B-9397-08002B2CF9AE}" pid="13" name="MSIP_Label_c135c4ba-2280-41f8-be7d-6f21d368baa3_Name">
    <vt:lpwstr>c135c4ba-2280-41f8-be7d-6f21d368baa3</vt:lpwstr>
  </property>
  <property fmtid="{D5CDD505-2E9C-101B-9397-08002B2CF9AE}" pid="14" name="MSIP_Label_c135c4ba-2280-41f8-be7d-6f21d368baa3_SiteId">
    <vt:lpwstr>24139d14-c62c-4c47-8bdd-ce71ea1d50cf</vt:lpwstr>
  </property>
  <property fmtid="{D5CDD505-2E9C-101B-9397-08002B2CF9AE}" pid="15" name="MSIP_Label_c135c4ba-2280-41f8-be7d-6f21d368baa3_ActionId">
    <vt:lpwstr>c2b89e45-379e-4245-bbb3-7d4be05d8cf3</vt:lpwstr>
  </property>
  <property fmtid="{D5CDD505-2E9C-101B-9397-08002B2CF9AE}" pid="16" name="MSIP_Label_c135c4ba-2280-41f8-be7d-6f21d368baa3_ContentBits">
    <vt:lpwstr>0</vt:lpwstr>
  </property>
</Properties>
</file>