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7CC4" w14:textId="6DB464B2" w:rsidR="005E3DAC" w:rsidRPr="00D16BF6" w:rsidRDefault="009E4771" w:rsidP="00786BA7">
      <w:pPr>
        <w:pStyle w:val="IGALLTitle1"/>
        <w:tabs>
          <w:tab w:val="left" w:pos="1134"/>
        </w:tabs>
        <w:ind w:left="1134" w:hanging="1134"/>
        <w:jc w:val="left"/>
      </w:pPr>
      <w:r w:rsidRPr="00D16BF6">
        <w:t>AMP</w:t>
      </w:r>
      <w:r w:rsidR="002107BF" w:rsidRPr="00D16BF6">
        <w:t xml:space="preserve"> </w:t>
      </w:r>
      <w:r w:rsidR="00A93701" w:rsidRPr="00D16BF6">
        <w:t>2</w:t>
      </w:r>
      <w:r w:rsidR="00FB461F">
        <w:t>2</w:t>
      </w:r>
      <w:r w:rsidR="004F278C">
        <w:t>6</w:t>
      </w:r>
      <w:r w:rsidRPr="00D16BF6">
        <w:t xml:space="preserve"> </w:t>
      </w:r>
      <w:r w:rsidR="00522A8C" w:rsidRPr="00D16BF6">
        <w:tab/>
      </w:r>
      <w:r w:rsidR="00A93701" w:rsidRPr="00D16BF6">
        <w:t>FANS USED IN I&amp;C AND POWER ELECTRONICS CABINETS</w:t>
      </w:r>
      <w:r w:rsidR="00FB461F">
        <w:t xml:space="preserve"> </w:t>
      </w:r>
      <w:r w:rsidR="00212B99">
        <w:br/>
      </w:r>
      <w:r w:rsidR="00FB461F">
        <w:t>(VERSION 2021)</w:t>
      </w:r>
    </w:p>
    <w:p w14:paraId="0B3E4562" w14:textId="77777777" w:rsidR="00786BA7" w:rsidRDefault="00786BA7" w:rsidP="00786BA7">
      <w:pPr>
        <w:pStyle w:val="Heading1"/>
        <w:numPr>
          <w:ilvl w:val="0"/>
          <w:numId w:val="0"/>
        </w:numPr>
        <w:spacing w:before="120" w:after="120"/>
        <w:rPr>
          <w:rFonts w:ascii="Times New Roman" w:hAnsi="Times New Roman"/>
          <w:sz w:val="24"/>
          <w:lang w:val="en-GB"/>
        </w:rPr>
      </w:pPr>
    </w:p>
    <w:p w14:paraId="022789A6" w14:textId="79E2C220" w:rsidR="000A1A30" w:rsidRPr="00D16BF6" w:rsidRDefault="000A1A30" w:rsidP="00786BA7">
      <w:pPr>
        <w:pStyle w:val="Heading1"/>
        <w:numPr>
          <w:ilvl w:val="0"/>
          <w:numId w:val="0"/>
        </w:numPr>
        <w:spacing w:before="120" w:after="120"/>
        <w:rPr>
          <w:rFonts w:ascii="Times New Roman" w:hAnsi="Times New Roman"/>
          <w:sz w:val="24"/>
          <w:lang w:val="en-GB"/>
        </w:rPr>
      </w:pPr>
      <w:r w:rsidRPr="00D16BF6">
        <w:rPr>
          <w:rFonts w:ascii="Times New Roman" w:hAnsi="Times New Roman"/>
          <w:sz w:val="24"/>
          <w:lang w:val="en-GB"/>
        </w:rPr>
        <w:t>Program</w:t>
      </w:r>
      <w:r w:rsidR="002107BF" w:rsidRPr="00D16BF6">
        <w:rPr>
          <w:rFonts w:ascii="Times New Roman" w:hAnsi="Times New Roman"/>
          <w:sz w:val="24"/>
          <w:lang w:val="en-GB"/>
        </w:rPr>
        <w:t>me</w:t>
      </w:r>
      <w:r w:rsidRPr="00D16BF6">
        <w:rPr>
          <w:rFonts w:ascii="Times New Roman" w:hAnsi="Times New Roman"/>
          <w:sz w:val="24"/>
          <w:lang w:val="en-GB"/>
        </w:rPr>
        <w:t xml:space="preserve"> Description</w:t>
      </w:r>
    </w:p>
    <w:p w14:paraId="41D86764" w14:textId="429B2AB8" w:rsidR="00E844AC" w:rsidRPr="00020EDB" w:rsidRDefault="00952C0B" w:rsidP="00786BA7">
      <w:pPr>
        <w:rPr>
          <w:color w:val="000000" w:themeColor="text1"/>
          <w:lang w:val="en-GB"/>
        </w:rPr>
      </w:pPr>
      <w:r w:rsidRPr="00020EDB">
        <w:rPr>
          <w:color w:val="000000" w:themeColor="text1"/>
          <w:lang w:val="en-GB"/>
        </w:rPr>
        <w:t xml:space="preserve">The purpose of the AMP described herein is to provide reasonable assurance that the intended functions </w:t>
      </w:r>
      <w:r w:rsidR="00E844AC" w:rsidRPr="00020EDB">
        <w:rPr>
          <w:color w:val="000000" w:themeColor="text1"/>
          <w:lang w:val="en-GB"/>
        </w:rPr>
        <w:t>of f</w:t>
      </w:r>
      <w:r w:rsidR="00E007B1" w:rsidRPr="00020EDB">
        <w:rPr>
          <w:color w:val="000000" w:themeColor="text1"/>
          <w:lang w:val="en-GB"/>
        </w:rPr>
        <w:t>an</w:t>
      </w:r>
      <w:r w:rsidR="00E844AC" w:rsidRPr="00020EDB">
        <w:rPr>
          <w:color w:val="000000" w:themeColor="text1"/>
          <w:lang w:val="en-GB"/>
        </w:rPr>
        <w:t>s</w:t>
      </w:r>
      <w:r w:rsidR="00E007B1" w:rsidRPr="00020EDB">
        <w:rPr>
          <w:color w:val="000000" w:themeColor="text1"/>
          <w:lang w:val="en-GB"/>
        </w:rPr>
        <w:t xml:space="preserve"> installed in cabinets </w:t>
      </w:r>
      <w:r w:rsidR="00FB461F" w:rsidRPr="00020EDB">
        <w:rPr>
          <w:color w:val="000000" w:themeColor="text1"/>
          <w:lang w:val="en-GB"/>
        </w:rPr>
        <w:t xml:space="preserve">housing </w:t>
      </w:r>
      <w:r w:rsidR="00E007B1" w:rsidRPr="00020EDB">
        <w:rPr>
          <w:color w:val="000000" w:themeColor="text1"/>
          <w:lang w:val="en-GB"/>
        </w:rPr>
        <w:t>I&amp;C or power electronics</w:t>
      </w:r>
      <w:r w:rsidRPr="00020EDB">
        <w:rPr>
          <w:color w:val="000000" w:themeColor="text1"/>
          <w:lang w:val="en-GB"/>
        </w:rPr>
        <w:t xml:space="preserve"> are maintained consistent with the current licensing basis through the </w:t>
      </w:r>
      <w:r w:rsidR="00506B2F" w:rsidRPr="00020EDB">
        <w:rPr>
          <w:color w:val="000000" w:themeColor="text1"/>
          <w:lang w:val="en-GB"/>
        </w:rPr>
        <w:t xml:space="preserve">intended </w:t>
      </w:r>
      <w:r w:rsidRPr="00020EDB">
        <w:rPr>
          <w:color w:val="000000" w:themeColor="text1"/>
          <w:lang w:val="en-GB"/>
        </w:rPr>
        <w:t>period of</w:t>
      </w:r>
      <w:r w:rsidR="00506B2F" w:rsidRPr="00020EDB">
        <w:rPr>
          <w:color w:val="000000" w:themeColor="text1"/>
          <w:lang w:val="en-GB"/>
        </w:rPr>
        <w:t xml:space="preserve"> </w:t>
      </w:r>
      <w:r w:rsidRPr="00020EDB">
        <w:rPr>
          <w:color w:val="000000" w:themeColor="text1"/>
          <w:lang w:val="en-GB"/>
        </w:rPr>
        <w:t>operation.</w:t>
      </w:r>
    </w:p>
    <w:p w14:paraId="5DAF7B5C" w14:textId="3C87E60B" w:rsidR="000332DC" w:rsidRPr="00D16BF6" w:rsidRDefault="00981540" w:rsidP="00786BA7">
      <w:pPr>
        <w:rPr>
          <w:lang w:val="en-GB"/>
        </w:rPr>
      </w:pPr>
      <w:r w:rsidRPr="00D16BF6">
        <w:rPr>
          <w:lang w:val="en-GB"/>
        </w:rPr>
        <w:t xml:space="preserve">Fans are installed in cabinets in order to evacuate the heat </w:t>
      </w:r>
      <w:r w:rsidR="00BA2AF3" w:rsidRPr="00D16BF6">
        <w:rPr>
          <w:lang w:val="en-GB"/>
        </w:rPr>
        <w:t>produced</w:t>
      </w:r>
      <w:r w:rsidRPr="00D16BF6">
        <w:rPr>
          <w:lang w:val="en-GB"/>
        </w:rPr>
        <w:t xml:space="preserve"> by electronic equipment. As o</w:t>
      </w:r>
      <w:r w:rsidR="009622CC" w:rsidRPr="00D16BF6">
        <w:rPr>
          <w:lang w:val="en-GB"/>
        </w:rPr>
        <w:t>perati</w:t>
      </w:r>
      <w:r w:rsidR="00B94AFD" w:rsidRPr="00D16BF6">
        <w:rPr>
          <w:lang w:val="en-GB"/>
        </w:rPr>
        <w:t>ng</w:t>
      </w:r>
      <w:r w:rsidR="009622CC" w:rsidRPr="00D16BF6">
        <w:rPr>
          <w:lang w:val="en-GB"/>
        </w:rPr>
        <w:t xml:space="preserve"> temperature </w:t>
      </w:r>
      <w:r w:rsidRPr="00D16BF6">
        <w:rPr>
          <w:lang w:val="en-GB"/>
        </w:rPr>
        <w:t xml:space="preserve">is a major stressor </w:t>
      </w:r>
      <w:r w:rsidR="009622CC" w:rsidRPr="00D16BF6">
        <w:rPr>
          <w:lang w:val="en-GB"/>
        </w:rPr>
        <w:t>in e</w:t>
      </w:r>
      <w:r w:rsidR="00E007B1" w:rsidRPr="00D16BF6">
        <w:rPr>
          <w:lang w:val="en-GB"/>
        </w:rPr>
        <w:t>lectronic components</w:t>
      </w:r>
      <w:r w:rsidRPr="00D16BF6">
        <w:rPr>
          <w:lang w:val="en-GB"/>
        </w:rPr>
        <w:t xml:space="preserve">, it </w:t>
      </w:r>
      <w:r w:rsidR="00A23E07">
        <w:rPr>
          <w:lang w:val="en-GB"/>
        </w:rPr>
        <w:t>needs to</w:t>
      </w:r>
      <w:r w:rsidR="00B94AFD" w:rsidRPr="00D16BF6">
        <w:rPr>
          <w:lang w:val="en-GB"/>
        </w:rPr>
        <w:t xml:space="preserve"> remain bounded</w:t>
      </w:r>
      <w:r w:rsidR="009622CC" w:rsidRPr="00D16BF6">
        <w:rPr>
          <w:lang w:val="en-GB"/>
        </w:rPr>
        <w:t xml:space="preserve"> </w:t>
      </w:r>
      <w:r w:rsidR="00B94AFD" w:rsidRPr="00D16BF6">
        <w:rPr>
          <w:lang w:val="en-GB"/>
        </w:rPr>
        <w:t xml:space="preserve">to minimize </w:t>
      </w:r>
      <w:r w:rsidR="00B94AFD" w:rsidRPr="00D16BF6">
        <w:rPr>
          <w:szCs w:val="20"/>
          <w:lang w:val="en-GB"/>
        </w:rPr>
        <w:t xml:space="preserve">ageing and thus </w:t>
      </w:r>
      <w:r w:rsidR="00B94AFD" w:rsidRPr="00D16BF6">
        <w:rPr>
          <w:lang w:val="en-GB"/>
        </w:rPr>
        <w:t>premature failures</w:t>
      </w:r>
      <w:r w:rsidR="007B4051" w:rsidRPr="00D16BF6">
        <w:rPr>
          <w:lang w:val="en-GB"/>
        </w:rPr>
        <w:t xml:space="preserve"> (see AMP218)</w:t>
      </w:r>
      <w:r w:rsidR="00B94AFD" w:rsidRPr="00D16BF6">
        <w:rPr>
          <w:lang w:val="en-GB"/>
        </w:rPr>
        <w:t>.</w:t>
      </w:r>
      <w:r w:rsidR="007B4051" w:rsidRPr="00D16BF6">
        <w:rPr>
          <w:lang w:val="en-GB"/>
        </w:rPr>
        <w:t xml:space="preserve"> While a</w:t>
      </w:r>
      <w:r w:rsidR="00B94AFD" w:rsidRPr="00D16BF6">
        <w:rPr>
          <w:lang w:val="en-GB"/>
        </w:rPr>
        <w:t>mbient temperature</w:t>
      </w:r>
      <w:r w:rsidR="007B4051" w:rsidRPr="00D16BF6">
        <w:rPr>
          <w:lang w:val="en-GB"/>
        </w:rPr>
        <w:t xml:space="preserve"> and humidity </w:t>
      </w:r>
      <w:r w:rsidR="008D7F21" w:rsidRPr="00D16BF6">
        <w:rPr>
          <w:lang w:val="en-GB"/>
        </w:rPr>
        <w:t xml:space="preserve">in rooms </w:t>
      </w:r>
      <w:r w:rsidR="007B4051" w:rsidRPr="00D16BF6">
        <w:rPr>
          <w:lang w:val="en-GB"/>
        </w:rPr>
        <w:t xml:space="preserve">are controlled by HVAC systems, temperature inside cabinets is lowered </w:t>
      </w:r>
      <w:r w:rsidR="00314645">
        <w:rPr>
          <w:lang w:val="en-GB"/>
        </w:rPr>
        <w:t>by circulating air from the bottom to the top</w:t>
      </w:r>
      <w:r w:rsidR="007B4051" w:rsidRPr="00D16BF6">
        <w:rPr>
          <w:lang w:val="en-GB"/>
        </w:rPr>
        <w:t>.</w:t>
      </w:r>
      <w:r w:rsidR="008D7F21" w:rsidRPr="00D16BF6">
        <w:rPr>
          <w:lang w:val="en-GB"/>
        </w:rPr>
        <w:t xml:space="preserve"> The function of the fans is to accelerate the natural convection produced by the </w:t>
      </w:r>
      <w:r w:rsidR="00D05A2D" w:rsidRPr="00D16BF6">
        <w:rPr>
          <w:lang w:val="en-GB"/>
        </w:rPr>
        <w:t>dissipated</w:t>
      </w:r>
      <w:r w:rsidR="00B168E6" w:rsidRPr="00D16BF6">
        <w:rPr>
          <w:lang w:val="en-GB"/>
        </w:rPr>
        <w:t xml:space="preserve"> heat</w:t>
      </w:r>
      <w:r w:rsidR="0014452D" w:rsidRPr="00D16BF6">
        <w:rPr>
          <w:lang w:val="en-GB"/>
        </w:rPr>
        <w:t>.</w:t>
      </w:r>
    </w:p>
    <w:p w14:paraId="5013C9F0" w14:textId="7DC84999" w:rsidR="00D05A2D" w:rsidRPr="00D16BF6" w:rsidRDefault="00DC6453" w:rsidP="00786BA7">
      <w:pPr>
        <w:rPr>
          <w:lang w:val="en-GB"/>
        </w:rPr>
      </w:pPr>
      <w:r w:rsidRPr="005E1F23">
        <w:rPr>
          <w:color w:val="000000" w:themeColor="text1"/>
          <w:lang w:val="en-GB"/>
        </w:rPr>
        <w:t>There</w:t>
      </w:r>
      <w:r w:rsidRPr="00D16BF6">
        <w:rPr>
          <w:lang w:val="en-GB"/>
        </w:rPr>
        <w:t xml:space="preserve"> are two main types of fans: fixed speed and variable speed fan</w:t>
      </w:r>
      <w:r w:rsidR="009756E7" w:rsidRPr="00D16BF6">
        <w:rPr>
          <w:lang w:val="en-GB"/>
        </w:rPr>
        <w:t>s</w:t>
      </w:r>
      <w:r w:rsidRPr="00D16BF6">
        <w:rPr>
          <w:lang w:val="en-GB"/>
        </w:rPr>
        <w:t xml:space="preserve">. The former </w:t>
      </w:r>
      <w:proofErr w:type="gramStart"/>
      <w:r w:rsidR="00B168E6" w:rsidRPr="00D16BF6">
        <w:rPr>
          <w:lang w:val="en-GB"/>
        </w:rPr>
        <w:t>are</w:t>
      </w:r>
      <w:proofErr w:type="gramEnd"/>
      <w:r w:rsidRPr="00D16BF6">
        <w:rPr>
          <w:lang w:val="en-GB"/>
        </w:rPr>
        <w:t xml:space="preserve"> generally AC powered and work continuously. The latter type usually </w:t>
      </w:r>
      <w:r w:rsidR="003831E1" w:rsidRPr="00D16BF6">
        <w:rPr>
          <w:lang w:val="en-GB"/>
        </w:rPr>
        <w:t>ha</w:t>
      </w:r>
      <w:r w:rsidR="003831E1">
        <w:rPr>
          <w:lang w:val="en-GB"/>
        </w:rPr>
        <w:t>ve</w:t>
      </w:r>
      <w:r w:rsidR="003831E1" w:rsidRPr="00D16BF6">
        <w:rPr>
          <w:lang w:val="en-GB"/>
        </w:rPr>
        <w:t xml:space="preserve"> </w:t>
      </w:r>
      <w:r w:rsidRPr="00D16BF6">
        <w:rPr>
          <w:lang w:val="en-GB"/>
        </w:rPr>
        <w:t xml:space="preserve">a control unit with a sensor which continuously measures the temperature of the </w:t>
      </w:r>
      <w:r w:rsidR="009756E7" w:rsidRPr="00D16BF6">
        <w:rPr>
          <w:lang w:val="en-GB"/>
        </w:rPr>
        <w:t xml:space="preserve">extracted </w:t>
      </w:r>
      <w:r w:rsidRPr="00D16BF6">
        <w:rPr>
          <w:lang w:val="en-GB"/>
        </w:rPr>
        <w:t>air and adjust</w:t>
      </w:r>
      <w:r w:rsidR="003831E1">
        <w:rPr>
          <w:lang w:val="en-GB"/>
        </w:rPr>
        <w:t>s</w:t>
      </w:r>
      <w:r w:rsidRPr="00D16BF6">
        <w:rPr>
          <w:lang w:val="en-GB"/>
        </w:rPr>
        <w:t xml:space="preserve"> the speed accordingly.</w:t>
      </w:r>
    </w:p>
    <w:p w14:paraId="5148EC9A" w14:textId="54EFDC58" w:rsidR="00854174" w:rsidRPr="00D16BF6" w:rsidRDefault="00854174" w:rsidP="00786BA7">
      <w:pPr>
        <w:rPr>
          <w:lang w:val="en-GB"/>
        </w:rPr>
      </w:pPr>
      <w:r w:rsidRPr="00D16BF6">
        <w:rPr>
          <w:lang w:val="en-GB"/>
        </w:rPr>
        <w:t xml:space="preserve">AC fans are usually </w:t>
      </w:r>
      <w:r w:rsidR="00FB461F">
        <w:rPr>
          <w:lang w:val="en-GB"/>
        </w:rPr>
        <w:t xml:space="preserve">physically </w:t>
      </w:r>
      <w:r w:rsidRPr="00D16BF6">
        <w:rPr>
          <w:lang w:val="en-GB"/>
        </w:rPr>
        <w:t xml:space="preserve">bigger than DC fans and have metallic blades, while DC fans </w:t>
      </w:r>
      <w:r w:rsidR="003D5373" w:rsidRPr="00D16BF6">
        <w:rPr>
          <w:lang w:val="en-GB"/>
        </w:rPr>
        <w:t>are</w:t>
      </w:r>
      <w:r w:rsidR="000332DC">
        <w:rPr>
          <w:lang w:val="en-GB"/>
        </w:rPr>
        <w:t xml:space="preserve"> mainly</w:t>
      </w:r>
      <w:r w:rsidRPr="00D16BF6">
        <w:rPr>
          <w:lang w:val="en-GB"/>
        </w:rPr>
        <w:t xml:space="preserve"> p</w:t>
      </w:r>
      <w:r w:rsidR="003D5373" w:rsidRPr="00D16BF6">
        <w:rPr>
          <w:lang w:val="en-GB"/>
        </w:rPr>
        <w:t>olymeric (</w:t>
      </w:r>
      <w:r w:rsidR="00D17580" w:rsidRPr="00D16BF6">
        <w:rPr>
          <w:lang w:val="en-GB"/>
        </w:rPr>
        <w:t>e.g.,</w:t>
      </w:r>
      <w:r w:rsidR="005B39CC" w:rsidRPr="00D16BF6">
        <w:rPr>
          <w:lang w:val="en-GB"/>
        </w:rPr>
        <w:t xml:space="preserve"> PBT or ABS</w:t>
      </w:r>
      <w:r w:rsidR="003D5373" w:rsidRPr="00D16BF6">
        <w:rPr>
          <w:lang w:val="en-GB"/>
        </w:rPr>
        <w:t>).</w:t>
      </w:r>
    </w:p>
    <w:p w14:paraId="5085232B" w14:textId="0113C6F4" w:rsidR="00DC6453" w:rsidRDefault="009756E7" w:rsidP="00786BA7">
      <w:pPr>
        <w:rPr>
          <w:lang w:val="en-GB"/>
        </w:rPr>
      </w:pPr>
      <w:r w:rsidRPr="005E1F23">
        <w:rPr>
          <w:color w:val="000000" w:themeColor="text1"/>
          <w:lang w:val="en-GB"/>
        </w:rPr>
        <w:t>Regarding</w:t>
      </w:r>
      <w:r w:rsidRPr="00D16BF6">
        <w:rPr>
          <w:lang w:val="en-GB"/>
        </w:rPr>
        <w:t xml:space="preserve"> the mounting, there are two categories: enclosure mounted (top/bottom/front/rear mounted) or rackmount</w:t>
      </w:r>
      <w:r w:rsidR="0016551D" w:rsidRPr="00D16BF6">
        <w:rPr>
          <w:lang w:val="en-GB"/>
        </w:rPr>
        <w:t>.</w:t>
      </w:r>
      <w:r w:rsidR="00C66625" w:rsidRPr="00D16BF6">
        <w:rPr>
          <w:lang w:val="en-GB"/>
        </w:rPr>
        <w:t xml:space="preserve"> </w:t>
      </w:r>
      <w:r w:rsidR="0016551D" w:rsidRPr="00D16BF6">
        <w:rPr>
          <w:lang w:val="en-GB"/>
        </w:rPr>
        <w:t xml:space="preserve">Rackmount type </w:t>
      </w:r>
      <w:r w:rsidR="00C66625" w:rsidRPr="00D16BF6">
        <w:rPr>
          <w:lang w:val="en-GB"/>
        </w:rPr>
        <w:t xml:space="preserve">are </w:t>
      </w:r>
      <w:r w:rsidR="0016551D" w:rsidRPr="00D16BF6">
        <w:rPr>
          <w:lang w:val="en-GB"/>
        </w:rPr>
        <w:t xml:space="preserve">arrangements of </w:t>
      </w:r>
      <w:r w:rsidR="000332DC">
        <w:rPr>
          <w:lang w:val="en-GB"/>
        </w:rPr>
        <w:t>two</w:t>
      </w:r>
      <w:r w:rsidR="0016551D" w:rsidRPr="00D16BF6">
        <w:rPr>
          <w:lang w:val="en-GB"/>
        </w:rPr>
        <w:t xml:space="preserve"> or more small DC fans inside a housing.</w:t>
      </w:r>
    </w:p>
    <w:p w14:paraId="6EC44046" w14:textId="77777777" w:rsidR="00786BA7" w:rsidRPr="00D16BF6" w:rsidRDefault="00786BA7" w:rsidP="00786BA7">
      <w:pPr>
        <w:rPr>
          <w:lang w:val="en-GB"/>
        </w:rPr>
      </w:pPr>
    </w:p>
    <w:p w14:paraId="15AED82E" w14:textId="77777777" w:rsidR="000A1A30" w:rsidRPr="00D16BF6" w:rsidRDefault="000A1A30" w:rsidP="00786BA7">
      <w:pPr>
        <w:pStyle w:val="Heading3"/>
        <w:keepLines w:val="0"/>
        <w:widowControl/>
        <w:tabs>
          <w:tab w:val="clear" w:pos="1134"/>
        </w:tabs>
        <w:spacing w:before="120"/>
        <w:rPr>
          <w:rFonts w:ascii="Times New Roman" w:hAnsi="Times New Roman"/>
          <w:noProof w:val="0"/>
          <w:sz w:val="24"/>
          <w:szCs w:val="24"/>
          <w:lang w:val="en-GB" w:eastAsia="en-US"/>
        </w:rPr>
      </w:pPr>
      <w:r w:rsidRPr="00D16BF6">
        <w:rPr>
          <w:rFonts w:ascii="Times New Roman" w:hAnsi="Times New Roman"/>
          <w:noProof w:val="0"/>
          <w:sz w:val="24"/>
          <w:szCs w:val="24"/>
          <w:lang w:val="en-GB" w:eastAsia="en-US"/>
        </w:rPr>
        <w:t>Evaluation and Technical Basis</w:t>
      </w:r>
    </w:p>
    <w:p w14:paraId="6FA8222B" w14:textId="11BCB1D8" w:rsidR="00AD0B20" w:rsidRPr="00D16BF6" w:rsidRDefault="00AD0B20" w:rsidP="00786BA7">
      <w:pPr>
        <w:pStyle w:val="BodyNumbered"/>
        <w:numPr>
          <w:ilvl w:val="0"/>
          <w:numId w:val="17"/>
        </w:numPr>
        <w:tabs>
          <w:tab w:val="num" w:pos="-2160"/>
        </w:tabs>
        <w:ind w:left="425" w:hanging="425"/>
        <w:rPr>
          <w:rFonts w:ascii="Times New Roman" w:hAnsi="Times New Roman"/>
          <w:b/>
          <w:i/>
          <w:sz w:val="24"/>
          <w:szCs w:val="24"/>
          <w:lang w:val="en-GB"/>
        </w:rPr>
      </w:pP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 xml:space="preserve">Scope of the ageing management </w:t>
      </w:r>
      <w:r w:rsidR="002107BF" w:rsidRPr="00D16BF6">
        <w:rPr>
          <w:rFonts w:ascii="Times New Roman" w:hAnsi="Times New Roman"/>
          <w:b/>
          <w:i/>
          <w:sz w:val="24"/>
          <w:szCs w:val="24"/>
          <w:lang w:val="en-GB"/>
        </w:rPr>
        <w:t>programme</w:t>
      </w: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 xml:space="preserve"> based on understanding ageing:</w:t>
      </w:r>
    </w:p>
    <w:p w14:paraId="013E74C3" w14:textId="552826AC" w:rsidR="0016551D" w:rsidRPr="00314645" w:rsidRDefault="0016551D" w:rsidP="00786BA7">
      <w:r w:rsidRPr="00D16BF6">
        <w:rPr>
          <w:lang w:val="en-GB"/>
        </w:rPr>
        <w:t>This AMP applies to fans installed in I&amp;C and power electronic</w:t>
      </w:r>
      <w:r w:rsidR="0063571C" w:rsidRPr="00D16BF6">
        <w:rPr>
          <w:lang w:val="en-GB"/>
        </w:rPr>
        <w:t>s</w:t>
      </w:r>
      <w:r w:rsidRPr="00D16BF6">
        <w:rPr>
          <w:lang w:val="en-GB"/>
        </w:rPr>
        <w:t xml:space="preserve"> cabinets </w:t>
      </w:r>
      <w:r w:rsidR="0063571C" w:rsidRPr="00D16BF6">
        <w:rPr>
          <w:lang w:val="en-GB"/>
        </w:rPr>
        <w:t xml:space="preserve">for the ventilation of </w:t>
      </w:r>
      <w:r w:rsidR="0063571C" w:rsidRPr="005E1F23">
        <w:rPr>
          <w:color w:val="000000" w:themeColor="text1"/>
          <w:lang w:val="en-GB"/>
        </w:rPr>
        <w:t>electronic</w:t>
      </w:r>
      <w:r w:rsidR="0063571C" w:rsidRPr="00D16BF6">
        <w:rPr>
          <w:lang w:val="en-GB"/>
        </w:rPr>
        <w:t xml:space="preserve"> equipment</w:t>
      </w:r>
      <w:r w:rsidR="00314645" w:rsidRPr="00D16BF6">
        <w:rPr>
          <w:lang w:val="en-GB"/>
        </w:rPr>
        <w:t>.</w:t>
      </w:r>
    </w:p>
    <w:p w14:paraId="62079BB6" w14:textId="63FC75CC" w:rsidR="0049371D" w:rsidRDefault="0049371D" w:rsidP="00786BA7">
      <w:pPr>
        <w:rPr>
          <w:lang w:val="en-GB"/>
        </w:rPr>
      </w:pPr>
      <w:r w:rsidRPr="005E1F23">
        <w:rPr>
          <w:color w:val="000000" w:themeColor="text1"/>
          <w:lang w:val="en-GB"/>
        </w:rPr>
        <w:t>Components</w:t>
      </w:r>
      <w:r w:rsidRPr="00D16BF6">
        <w:rPr>
          <w:lang w:val="en-GB"/>
        </w:rPr>
        <w:t xml:space="preserve"> subj</w:t>
      </w:r>
      <w:r w:rsidR="008A2E26" w:rsidRPr="00D16BF6">
        <w:rPr>
          <w:lang w:val="en-GB"/>
        </w:rPr>
        <w:t xml:space="preserve">ect to ageing are </w:t>
      </w:r>
      <w:r w:rsidR="00A061BB" w:rsidRPr="00D16BF6">
        <w:rPr>
          <w:lang w:val="en-GB"/>
        </w:rPr>
        <w:t>windings, bearings</w:t>
      </w:r>
      <w:r w:rsidR="00A061BB">
        <w:rPr>
          <w:lang w:val="en-GB"/>
        </w:rPr>
        <w:t>, blades</w:t>
      </w:r>
      <w:r w:rsidR="00A061BB" w:rsidRPr="00D16BF6">
        <w:rPr>
          <w:lang w:val="en-GB"/>
        </w:rPr>
        <w:t xml:space="preserve"> and the electronic modules</w:t>
      </w:r>
      <w:r w:rsidR="008A2E26" w:rsidRPr="00D16BF6">
        <w:rPr>
          <w:lang w:val="en-GB"/>
        </w:rPr>
        <w:t xml:space="preserve"> of control units. </w:t>
      </w:r>
      <w:r w:rsidR="00424A30">
        <w:rPr>
          <w:lang w:val="en-GB"/>
        </w:rPr>
        <w:t>Assuming that fans are exposed to i</w:t>
      </w:r>
      <w:r w:rsidR="00424A30" w:rsidRPr="00D16BF6">
        <w:rPr>
          <w:lang w:val="en-GB"/>
        </w:rPr>
        <w:t>ndoor controlled air</w:t>
      </w:r>
      <w:r w:rsidR="00424A30">
        <w:rPr>
          <w:lang w:val="en-GB"/>
        </w:rPr>
        <w:t xml:space="preserve">, </w:t>
      </w:r>
      <w:r w:rsidR="004A5B00">
        <w:rPr>
          <w:lang w:val="en-GB"/>
        </w:rPr>
        <w:fldChar w:fldCharType="begin"/>
      </w:r>
      <w:r w:rsidR="004A5B00">
        <w:rPr>
          <w:lang w:val="en-GB"/>
        </w:rPr>
        <w:instrText xml:space="preserve"> REF _Ref73227686 \h  \* MERGEFORMAT </w:instrText>
      </w:r>
      <w:r w:rsidR="004A5B00">
        <w:rPr>
          <w:lang w:val="en-GB"/>
        </w:rPr>
      </w:r>
      <w:r w:rsidR="004A5B00">
        <w:rPr>
          <w:lang w:val="en-GB"/>
        </w:rPr>
        <w:fldChar w:fldCharType="separate"/>
      </w:r>
      <w:r w:rsidR="003831E1" w:rsidRPr="00BB2609">
        <w:rPr>
          <w:lang w:val="en-GB"/>
        </w:rPr>
        <w:t>Table 1</w:t>
      </w:r>
      <w:r w:rsidR="004A5B00">
        <w:rPr>
          <w:lang w:val="en-GB"/>
        </w:rPr>
        <w:fldChar w:fldCharType="end"/>
      </w:r>
      <w:r w:rsidR="004A5B00">
        <w:rPr>
          <w:lang w:val="en-GB"/>
        </w:rPr>
        <w:t xml:space="preserve"> </w:t>
      </w:r>
      <w:r w:rsidR="008A2E26" w:rsidRPr="00D16BF6">
        <w:rPr>
          <w:lang w:val="en-GB"/>
        </w:rPr>
        <w:t xml:space="preserve">summarizes degradation mechanisms and ageing effects relevant to </w:t>
      </w:r>
      <w:r w:rsidR="00D16BF6" w:rsidRPr="00D16BF6">
        <w:rPr>
          <w:lang w:val="en-GB"/>
        </w:rPr>
        <w:t>these components</w:t>
      </w:r>
      <w:r w:rsidR="008A2E26" w:rsidRPr="00D16BF6">
        <w:rPr>
          <w:lang w:val="en-GB"/>
        </w:rPr>
        <w:t>.</w:t>
      </w:r>
    </w:p>
    <w:p w14:paraId="574D78BC" w14:textId="77777777" w:rsidR="005E3975" w:rsidRDefault="005E3975" w:rsidP="004A5B00">
      <w:pPr>
        <w:spacing w:after="240" w:line="276" w:lineRule="auto"/>
        <w:rPr>
          <w:lang w:val="en-GB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1417"/>
        <w:gridCol w:w="3823"/>
        <w:gridCol w:w="3969"/>
      </w:tblGrid>
      <w:tr w:rsidR="00DC2DED" w:rsidRPr="00DC2DED" w14:paraId="7ECD17EF" w14:textId="77777777" w:rsidTr="00A95EF8">
        <w:trPr>
          <w:trHeight w:val="48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D163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center"/>
              <w:rPr>
                <w:rFonts w:eastAsia="Times New Roman"/>
                <w:b/>
                <w:bCs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b/>
                <w:bCs/>
                <w:color w:val="000000"/>
                <w:kern w:val="0"/>
                <w:lang w:eastAsia="en-US"/>
              </w:rPr>
              <w:t>Component</w:t>
            </w:r>
          </w:p>
        </w:tc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A8E32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center"/>
              <w:rPr>
                <w:rFonts w:eastAsia="Times New Roman"/>
                <w:b/>
                <w:bCs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b/>
                <w:bCs/>
                <w:color w:val="000000"/>
                <w:kern w:val="0"/>
                <w:lang w:eastAsia="en-US"/>
              </w:rPr>
              <w:t>Degradation mechanisms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DD5BB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center"/>
              <w:rPr>
                <w:rFonts w:eastAsia="Times New Roman"/>
                <w:b/>
                <w:bCs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b/>
                <w:bCs/>
                <w:color w:val="000000"/>
                <w:kern w:val="0"/>
                <w:lang w:eastAsia="en-US"/>
              </w:rPr>
              <w:t>Ageing effects</w:t>
            </w:r>
          </w:p>
        </w:tc>
      </w:tr>
      <w:tr w:rsidR="00DC2DED" w:rsidRPr="00DC2DED" w14:paraId="1891C423" w14:textId="77777777" w:rsidTr="00A95EF8">
        <w:trPr>
          <w:trHeight w:val="312"/>
        </w:trPr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C2416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Bearing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27FF" w14:textId="673FF32A" w:rsidR="00DC2DED" w:rsidRPr="00DC2DED" w:rsidRDefault="004721A6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lang w:eastAsia="en-US"/>
              </w:rPr>
              <w:t>Grease dry-out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50D4" w14:textId="1B608D38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Bearing failure</w:t>
            </w:r>
          </w:p>
        </w:tc>
      </w:tr>
      <w:tr w:rsidR="00DC2DED" w:rsidRPr="00DC2DED" w14:paraId="77ED1948" w14:textId="77777777" w:rsidTr="00A95EF8">
        <w:trPr>
          <w:trHeight w:val="312"/>
        </w:trPr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E3481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FEC6" w14:textId="6D9E597E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Vibratory loading</w:t>
            </w:r>
            <w:r w:rsidR="004721A6">
              <w:rPr>
                <w:rFonts w:eastAsia="Times New Roman"/>
                <w:color w:val="000000"/>
                <w:kern w:val="0"/>
                <w:lang w:eastAsia="en-US"/>
              </w:rPr>
              <w:t xml:space="preserve"> </w:t>
            </w:r>
            <w:r w:rsidR="004721A6" w:rsidRPr="00DC2DED">
              <w:rPr>
                <w:rFonts w:eastAsia="Times New Roman"/>
                <w:color w:val="000000"/>
                <w:kern w:val="0"/>
                <w:lang w:eastAsia="en-US"/>
              </w:rPr>
              <w:t>(self-induced)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AB777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</w:p>
        </w:tc>
      </w:tr>
      <w:tr w:rsidR="00DC2DED" w:rsidRPr="00DC2DED" w14:paraId="7FF14684" w14:textId="77777777" w:rsidTr="00A95EF8">
        <w:trPr>
          <w:trHeight w:val="312"/>
        </w:trPr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EFE32E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37A6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Wear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2B047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</w:p>
        </w:tc>
      </w:tr>
      <w:tr w:rsidR="00DC2DED" w:rsidRPr="00DC2DED" w14:paraId="68D3D756" w14:textId="77777777" w:rsidTr="00A95EF8">
        <w:trPr>
          <w:trHeight w:val="312"/>
        </w:trPr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B3508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Winding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5025" w14:textId="6B8637FE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Ohmic heating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65EC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Winding failure</w:t>
            </w:r>
          </w:p>
        </w:tc>
      </w:tr>
      <w:tr w:rsidR="00DC2DED" w:rsidRPr="00DC2DED" w14:paraId="2746D4D8" w14:textId="77777777" w:rsidTr="00A95EF8">
        <w:trPr>
          <w:trHeight w:val="288"/>
        </w:trPr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F8FED2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48C70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Vibratory loading (self-induced)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C8FD7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</w:p>
        </w:tc>
      </w:tr>
      <w:tr w:rsidR="00DC2DED" w:rsidRPr="00DC2DED" w14:paraId="6C309B85" w14:textId="77777777" w:rsidTr="00A95EF8">
        <w:trPr>
          <w:trHeight w:val="312"/>
        </w:trPr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1C9C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Control unit</w:t>
            </w:r>
          </w:p>
        </w:tc>
        <w:tc>
          <w:tcPr>
            <w:tcW w:w="3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8B13" w14:textId="6216539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Ohmic heating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4227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Degradation of electronic components</w:t>
            </w:r>
          </w:p>
        </w:tc>
      </w:tr>
      <w:tr w:rsidR="00DC2DED" w:rsidRPr="00DC2DED" w14:paraId="64D948EE" w14:textId="77777777" w:rsidTr="00A95EF8">
        <w:trPr>
          <w:trHeight w:val="312"/>
        </w:trPr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B36DA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</w:p>
        </w:tc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414A6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FAC7" w14:textId="77777777" w:rsidR="00DC2DED" w:rsidRPr="00DC2DED" w:rsidRDefault="00DC2DED" w:rsidP="00DC2DED">
            <w:pPr>
              <w:widowControl/>
              <w:suppressAutoHyphens w:val="0"/>
              <w:spacing w:before="0" w:after="0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Calibration drift</w:t>
            </w:r>
          </w:p>
        </w:tc>
      </w:tr>
      <w:tr w:rsidR="00DC2DED" w:rsidRPr="00DC2DED" w14:paraId="02E3EFBF" w14:textId="0E96918A" w:rsidTr="00A95EF8">
        <w:trPr>
          <w:trHeight w:val="312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CBD8" w14:textId="3D6886FD" w:rsidR="00DC2DED" w:rsidRPr="00DC2DED" w:rsidRDefault="00DC2DED" w:rsidP="00DC2DED">
            <w:pPr>
              <w:widowControl/>
              <w:suppressAutoHyphens w:val="0"/>
              <w:spacing w:before="0" w:after="0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Blades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0CAB" w14:textId="6257BB3D" w:rsidR="00DC2DED" w:rsidRPr="00DC2DED" w:rsidRDefault="00DC2DED" w:rsidP="00DC2DED">
            <w:pPr>
              <w:widowControl/>
              <w:suppressAutoHyphens w:val="0"/>
              <w:spacing w:before="0" w:after="0"/>
              <w:jc w:val="left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Elevated temperature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9E84" w14:textId="38C5929E" w:rsidR="00DC2DED" w:rsidRPr="00DC2DED" w:rsidRDefault="00DC2DED" w:rsidP="00DC2DED">
            <w:pPr>
              <w:widowControl/>
              <w:suppressAutoHyphens w:val="0"/>
              <w:spacing w:before="0" w:after="0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DC2DED">
              <w:rPr>
                <w:rFonts w:eastAsia="Times New Roman"/>
                <w:color w:val="000000"/>
                <w:kern w:val="0"/>
                <w:lang w:eastAsia="en-US"/>
              </w:rPr>
              <w:t>Polymer degradation</w:t>
            </w:r>
          </w:p>
        </w:tc>
      </w:tr>
    </w:tbl>
    <w:p w14:paraId="04A62486" w14:textId="72C6BD0A" w:rsidR="001303B5" w:rsidRDefault="004A5B00" w:rsidP="00786BA7">
      <w:pPr>
        <w:spacing w:line="276" w:lineRule="auto"/>
        <w:jc w:val="center"/>
        <w:rPr>
          <w:color w:val="000000"/>
          <w:lang w:val="en-GB"/>
        </w:rPr>
      </w:pPr>
      <w:bookmarkStart w:id="0" w:name="_Ref73227686"/>
      <w:r w:rsidRPr="00786BA7">
        <w:rPr>
          <w:color w:val="000000"/>
          <w:lang w:val="en-GB"/>
        </w:rPr>
        <w:lastRenderedPageBreak/>
        <w:t xml:space="preserve">Table </w:t>
      </w:r>
      <w:r w:rsidRPr="00786BA7">
        <w:rPr>
          <w:color w:val="000000"/>
          <w:lang w:val="en-GB"/>
        </w:rPr>
        <w:fldChar w:fldCharType="begin"/>
      </w:r>
      <w:r w:rsidRPr="00786BA7">
        <w:rPr>
          <w:color w:val="000000"/>
          <w:lang w:val="en-GB"/>
        </w:rPr>
        <w:instrText xml:space="preserve"> SEQ Table \* ARABIC </w:instrText>
      </w:r>
      <w:r w:rsidRPr="00786BA7">
        <w:rPr>
          <w:color w:val="000000"/>
          <w:lang w:val="en-GB"/>
        </w:rPr>
        <w:fldChar w:fldCharType="separate"/>
      </w:r>
      <w:r w:rsidR="003831E1" w:rsidRPr="00786BA7">
        <w:rPr>
          <w:color w:val="000000"/>
          <w:lang w:val="en-GB"/>
        </w:rPr>
        <w:t>1</w:t>
      </w:r>
      <w:r w:rsidRPr="00786BA7">
        <w:rPr>
          <w:color w:val="000000"/>
          <w:lang w:val="en-GB"/>
        </w:rPr>
        <w:fldChar w:fldCharType="end"/>
      </w:r>
      <w:bookmarkEnd w:id="0"/>
      <w:r w:rsidRPr="00786BA7">
        <w:rPr>
          <w:color w:val="000000"/>
          <w:lang w:val="en-GB"/>
        </w:rPr>
        <w:t xml:space="preserve">: </w:t>
      </w:r>
      <w:r w:rsidR="004721A6" w:rsidRPr="00786BA7">
        <w:rPr>
          <w:color w:val="000000"/>
          <w:lang w:val="en-GB"/>
        </w:rPr>
        <w:t xml:space="preserve">Degradation mechanisms </w:t>
      </w:r>
      <w:r w:rsidRPr="00786BA7">
        <w:rPr>
          <w:color w:val="000000"/>
          <w:lang w:val="en-GB"/>
        </w:rPr>
        <w:t>and ageing effects</w:t>
      </w:r>
    </w:p>
    <w:p w14:paraId="4D4F0ACA" w14:textId="77777777" w:rsidR="00786BA7" w:rsidRPr="00786BA7" w:rsidRDefault="00786BA7" w:rsidP="00786BA7">
      <w:pPr>
        <w:spacing w:line="276" w:lineRule="auto"/>
        <w:jc w:val="center"/>
        <w:rPr>
          <w:color w:val="000000"/>
          <w:lang w:val="en-GB"/>
        </w:rPr>
      </w:pPr>
    </w:p>
    <w:p w14:paraId="6B818579" w14:textId="2B200DDC" w:rsidR="00C676D4" w:rsidRDefault="00C676D4" w:rsidP="00786BA7">
      <w:pPr>
        <w:rPr>
          <w:color w:val="000000"/>
          <w:lang w:val="en-GB"/>
        </w:rPr>
      </w:pPr>
      <w:r w:rsidRPr="00C676D4">
        <w:rPr>
          <w:color w:val="000000"/>
          <w:lang w:val="en-GB"/>
        </w:rPr>
        <w:t>As control units are electronic equipment, they are already covered by AMP218, therefore</w:t>
      </w:r>
      <w:r>
        <w:rPr>
          <w:color w:val="000000"/>
          <w:lang w:val="en-GB"/>
        </w:rPr>
        <w:t xml:space="preserve"> their</w:t>
      </w:r>
      <w:r w:rsidRPr="00C676D4">
        <w:rPr>
          <w:color w:val="000000"/>
          <w:lang w:val="en-GB"/>
        </w:rPr>
        <w:t xml:space="preserve"> </w:t>
      </w:r>
      <w:r w:rsidRPr="005E1F23">
        <w:rPr>
          <w:color w:val="000000" w:themeColor="text1"/>
          <w:lang w:val="en-GB"/>
        </w:rPr>
        <w:t>subcomponents</w:t>
      </w:r>
      <w:r w:rsidRPr="00C676D4">
        <w:rPr>
          <w:color w:val="000000"/>
          <w:lang w:val="en-GB"/>
        </w:rPr>
        <w:t xml:space="preserve"> are not detailed in this AMP.</w:t>
      </w:r>
    </w:p>
    <w:p w14:paraId="07C08DFD" w14:textId="77777777" w:rsidR="00786BA7" w:rsidRPr="00C676D4" w:rsidRDefault="00786BA7" w:rsidP="00786BA7">
      <w:pPr>
        <w:rPr>
          <w:color w:val="000000"/>
          <w:lang w:val="en-GB"/>
        </w:rPr>
      </w:pPr>
    </w:p>
    <w:p w14:paraId="18639261" w14:textId="58D481B9" w:rsidR="00AD0B20" w:rsidRPr="00D16BF6" w:rsidRDefault="00AD0B20" w:rsidP="00786BA7">
      <w:pPr>
        <w:pStyle w:val="BodyNumbered"/>
        <w:numPr>
          <w:ilvl w:val="0"/>
          <w:numId w:val="17"/>
        </w:numPr>
        <w:tabs>
          <w:tab w:val="num" w:pos="-2160"/>
        </w:tabs>
        <w:ind w:left="425" w:hanging="425"/>
        <w:rPr>
          <w:rFonts w:ascii="Times New Roman" w:hAnsi="Times New Roman"/>
          <w:b/>
          <w:i/>
          <w:sz w:val="24"/>
          <w:szCs w:val="24"/>
          <w:lang w:val="en-GB"/>
        </w:rPr>
      </w:pP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>Preventive actions to minimize and control ageing degradation:</w:t>
      </w:r>
    </w:p>
    <w:p w14:paraId="06B859B1" w14:textId="462FB08F" w:rsidR="0049371D" w:rsidRDefault="0049371D" w:rsidP="00786BA7">
      <w:pPr>
        <w:rPr>
          <w:color w:val="000000"/>
          <w:lang w:val="en-GB"/>
        </w:rPr>
      </w:pPr>
      <w:r w:rsidRPr="00020EDB">
        <w:rPr>
          <w:color w:val="000000" w:themeColor="text1"/>
          <w:lang w:val="en-GB"/>
        </w:rPr>
        <w:t>This is a condition monitoring program, and no actions are taken as part of this programme to prevent or mitigate ageing degradation.</w:t>
      </w:r>
      <w:r w:rsidR="00A644B6" w:rsidRPr="00020EDB">
        <w:rPr>
          <w:color w:val="000000" w:themeColor="text1"/>
          <w:lang w:val="en-GB"/>
        </w:rPr>
        <w:t xml:space="preserve"> However,</w:t>
      </w:r>
      <w:r w:rsidR="004A735D" w:rsidRPr="00020EDB">
        <w:rPr>
          <w:color w:val="000000" w:themeColor="text1"/>
          <w:lang w:val="en-GB"/>
        </w:rPr>
        <w:t xml:space="preserve"> </w:t>
      </w:r>
      <w:r w:rsidR="00A644B6" w:rsidRPr="00020EDB">
        <w:rPr>
          <w:color w:val="000000" w:themeColor="text1"/>
          <w:lang w:val="en-GB"/>
        </w:rPr>
        <w:t>a</w:t>
      </w:r>
      <w:r w:rsidR="004A735D" w:rsidRPr="00020EDB">
        <w:rPr>
          <w:color w:val="000000" w:themeColor="text1"/>
          <w:lang w:val="en-GB"/>
        </w:rPr>
        <w:t>s a basic measure, n</w:t>
      </w:r>
      <w:r w:rsidR="00795F88" w:rsidRPr="00020EDB">
        <w:rPr>
          <w:color w:val="000000" w:themeColor="text1"/>
          <w:lang w:val="en-GB"/>
        </w:rPr>
        <w:t xml:space="preserve">ormal environmental conditions </w:t>
      </w:r>
      <w:r w:rsidR="004A735D" w:rsidRPr="00020EDB">
        <w:rPr>
          <w:color w:val="000000" w:themeColor="text1"/>
          <w:lang w:val="en-GB"/>
        </w:rPr>
        <w:t>are</w:t>
      </w:r>
      <w:r w:rsidR="00795F88" w:rsidRPr="00020EDB">
        <w:rPr>
          <w:color w:val="000000" w:themeColor="text1"/>
          <w:lang w:val="en-GB"/>
        </w:rPr>
        <w:t xml:space="preserve"> </w:t>
      </w:r>
      <w:r w:rsidR="007E4087" w:rsidRPr="00020EDB">
        <w:rPr>
          <w:color w:val="000000" w:themeColor="text1"/>
          <w:lang w:val="en-GB"/>
        </w:rPr>
        <w:t>respected,</w:t>
      </w:r>
      <w:r w:rsidR="00795F88" w:rsidRPr="00020EDB">
        <w:rPr>
          <w:color w:val="000000" w:themeColor="text1"/>
          <w:lang w:val="en-GB"/>
        </w:rPr>
        <w:t xml:space="preserve"> </w:t>
      </w:r>
      <w:r w:rsidR="007E4087" w:rsidRPr="00020EDB">
        <w:rPr>
          <w:color w:val="000000" w:themeColor="text1"/>
          <w:lang w:val="en-GB"/>
        </w:rPr>
        <w:t xml:space="preserve">and cabinet’s air filters are cleaned/replaced periodically </w:t>
      </w:r>
      <w:r w:rsidR="00795F88" w:rsidRPr="00020EDB">
        <w:rPr>
          <w:color w:val="000000" w:themeColor="text1"/>
          <w:lang w:val="en-GB"/>
        </w:rPr>
        <w:t>to minimize</w:t>
      </w:r>
      <w:r w:rsidR="00795F88">
        <w:rPr>
          <w:color w:val="000000"/>
          <w:lang w:val="en-GB"/>
        </w:rPr>
        <w:t xml:space="preserve"> </w:t>
      </w:r>
      <w:r w:rsidR="003B333C">
        <w:rPr>
          <w:color w:val="000000"/>
          <w:lang w:val="en-GB"/>
        </w:rPr>
        <w:t>ageing degradation</w:t>
      </w:r>
      <w:r w:rsidR="007E4087">
        <w:rPr>
          <w:color w:val="000000"/>
          <w:lang w:val="en-GB"/>
        </w:rPr>
        <w:t xml:space="preserve"> due to temperature and dirt</w:t>
      </w:r>
      <w:r w:rsidR="00E13A6B">
        <w:rPr>
          <w:color w:val="000000"/>
          <w:lang w:val="en-GB"/>
        </w:rPr>
        <w:t>, respectively</w:t>
      </w:r>
      <w:r w:rsidR="007E4087">
        <w:rPr>
          <w:color w:val="000000"/>
          <w:lang w:val="en-GB"/>
        </w:rPr>
        <w:t>.</w:t>
      </w:r>
    </w:p>
    <w:p w14:paraId="2E9527AE" w14:textId="77777777" w:rsidR="00786BA7" w:rsidRPr="00D16BF6" w:rsidRDefault="00786BA7" w:rsidP="00786BA7">
      <w:pPr>
        <w:rPr>
          <w:color w:val="000000"/>
          <w:lang w:val="en-GB"/>
        </w:rPr>
      </w:pPr>
    </w:p>
    <w:p w14:paraId="1FF6C454" w14:textId="77777777" w:rsidR="00AD0B20" w:rsidRPr="00D16BF6" w:rsidRDefault="00AD0B20" w:rsidP="00786BA7">
      <w:pPr>
        <w:pStyle w:val="BodyNumbered"/>
        <w:numPr>
          <w:ilvl w:val="0"/>
          <w:numId w:val="17"/>
        </w:numPr>
        <w:tabs>
          <w:tab w:val="num" w:pos="-2160"/>
        </w:tabs>
        <w:ind w:left="425" w:hanging="425"/>
        <w:rPr>
          <w:rFonts w:ascii="Times New Roman" w:hAnsi="Times New Roman"/>
          <w:b/>
          <w:i/>
          <w:sz w:val="24"/>
          <w:szCs w:val="24"/>
          <w:lang w:val="en-GB"/>
        </w:rPr>
      </w:pP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>Detection of ageing effects:</w:t>
      </w:r>
    </w:p>
    <w:p w14:paraId="10B8CC3A" w14:textId="595147E1" w:rsidR="004E7C52" w:rsidRPr="00020EDB" w:rsidRDefault="003B333C" w:rsidP="00786BA7">
      <w:pPr>
        <w:rPr>
          <w:bCs/>
          <w:color w:val="000000" w:themeColor="text1"/>
          <w:lang w:val="en-GB"/>
        </w:rPr>
      </w:pPr>
      <w:r w:rsidRPr="00020EDB">
        <w:rPr>
          <w:bCs/>
          <w:color w:val="000000" w:themeColor="text1"/>
          <w:lang w:val="en-GB"/>
        </w:rPr>
        <w:t>This AMP focuses on the demands for the visual inspections and the surveillance test programme.</w:t>
      </w:r>
    </w:p>
    <w:p w14:paraId="37E385E5" w14:textId="448E0CBA" w:rsidR="00E13A6B" w:rsidRDefault="000D37DA" w:rsidP="00786BA7">
      <w:pPr>
        <w:rPr>
          <w:bCs/>
          <w:lang w:val="en-GB"/>
        </w:rPr>
      </w:pPr>
      <w:r w:rsidRPr="005E1F23">
        <w:rPr>
          <w:color w:val="000000" w:themeColor="text1"/>
          <w:lang w:val="en-GB"/>
        </w:rPr>
        <w:t>Periodic</w:t>
      </w:r>
      <w:r w:rsidRPr="000D37DA">
        <w:rPr>
          <w:bCs/>
          <w:lang w:val="en-GB"/>
        </w:rPr>
        <w:t xml:space="preserve"> visual inspections </w:t>
      </w:r>
      <w:r>
        <w:rPr>
          <w:bCs/>
          <w:lang w:val="en-GB"/>
        </w:rPr>
        <w:t xml:space="preserve">and cleaning </w:t>
      </w:r>
      <w:r w:rsidRPr="000D37DA">
        <w:rPr>
          <w:bCs/>
          <w:lang w:val="en-GB"/>
        </w:rPr>
        <w:t xml:space="preserve">are performed, </w:t>
      </w:r>
      <w:r w:rsidR="00A85138">
        <w:rPr>
          <w:bCs/>
          <w:lang w:val="en-GB"/>
        </w:rPr>
        <w:t>consisting of:</w:t>
      </w:r>
    </w:p>
    <w:p w14:paraId="4B848554" w14:textId="54BBB2AC" w:rsidR="00A061BB" w:rsidRDefault="00A061BB" w:rsidP="00786BA7">
      <w:pPr>
        <w:numPr>
          <w:ilvl w:val="0"/>
          <w:numId w:val="33"/>
        </w:numPr>
        <w:ind w:left="714" w:hanging="357"/>
        <w:contextualSpacing/>
        <w:rPr>
          <w:bCs/>
          <w:lang w:val="en-GB"/>
        </w:rPr>
      </w:pPr>
      <w:r>
        <w:rPr>
          <w:bCs/>
          <w:lang w:val="en-GB"/>
        </w:rPr>
        <w:t>With the fan running, look for abnormal noise or vibrations (no measurement is required).</w:t>
      </w:r>
    </w:p>
    <w:p w14:paraId="3FC264EC" w14:textId="5DB2932C" w:rsidR="00CC6CFD" w:rsidRDefault="00CC6CFD" w:rsidP="00786BA7">
      <w:pPr>
        <w:numPr>
          <w:ilvl w:val="0"/>
          <w:numId w:val="33"/>
        </w:numPr>
        <w:ind w:left="714" w:hanging="357"/>
        <w:contextualSpacing/>
        <w:rPr>
          <w:bCs/>
          <w:lang w:val="en-GB"/>
        </w:rPr>
      </w:pPr>
      <w:r>
        <w:rPr>
          <w:bCs/>
          <w:lang w:val="en-GB"/>
        </w:rPr>
        <w:t xml:space="preserve">Using an anemometer, measure the airflow speed and compare it with baseline measurements or </w:t>
      </w:r>
      <w:r w:rsidR="004A07E5">
        <w:rPr>
          <w:bCs/>
          <w:lang w:val="en-GB"/>
        </w:rPr>
        <w:t xml:space="preserve">reference </w:t>
      </w:r>
      <w:r>
        <w:rPr>
          <w:bCs/>
          <w:lang w:val="en-GB"/>
        </w:rPr>
        <w:t>values in vendor</w:t>
      </w:r>
      <w:r w:rsidR="004A07E5">
        <w:rPr>
          <w:bCs/>
          <w:lang w:val="en-GB"/>
        </w:rPr>
        <w:t>’s</w:t>
      </w:r>
      <w:r>
        <w:rPr>
          <w:bCs/>
          <w:lang w:val="en-GB"/>
        </w:rPr>
        <w:t xml:space="preserve"> manual.</w:t>
      </w:r>
    </w:p>
    <w:p w14:paraId="5812E51E" w14:textId="25358F8B" w:rsidR="00D4711C" w:rsidRDefault="00A85138" w:rsidP="00786BA7">
      <w:pPr>
        <w:numPr>
          <w:ilvl w:val="0"/>
          <w:numId w:val="33"/>
        </w:numPr>
        <w:ind w:left="714" w:hanging="357"/>
        <w:contextualSpacing/>
        <w:rPr>
          <w:bCs/>
          <w:lang w:val="en-GB"/>
        </w:rPr>
      </w:pPr>
      <w:r>
        <w:rPr>
          <w:bCs/>
          <w:lang w:val="en-GB"/>
        </w:rPr>
        <w:t>Once stopped</w:t>
      </w:r>
      <w:r w:rsidR="00DB3822" w:rsidRPr="00DB3822">
        <w:rPr>
          <w:bCs/>
          <w:lang w:val="en-GB"/>
        </w:rPr>
        <w:t xml:space="preserve">, </w:t>
      </w:r>
      <w:r w:rsidR="00D4711C">
        <w:rPr>
          <w:bCs/>
          <w:lang w:val="en-GB"/>
        </w:rPr>
        <w:t>clean blades and air filter (if any).</w:t>
      </w:r>
    </w:p>
    <w:p w14:paraId="646287A0" w14:textId="7A52B379" w:rsidR="00E13A6B" w:rsidRDefault="00D4711C" w:rsidP="00786BA7">
      <w:pPr>
        <w:numPr>
          <w:ilvl w:val="0"/>
          <w:numId w:val="33"/>
        </w:numPr>
        <w:ind w:left="714" w:hanging="357"/>
        <w:contextualSpacing/>
        <w:rPr>
          <w:bCs/>
          <w:lang w:val="en-GB"/>
        </w:rPr>
      </w:pPr>
      <w:r>
        <w:rPr>
          <w:bCs/>
          <w:lang w:val="en-GB"/>
        </w:rPr>
        <w:t>L</w:t>
      </w:r>
      <w:r w:rsidR="00DB3822" w:rsidRPr="00DB3822">
        <w:rPr>
          <w:bCs/>
          <w:lang w:val="en-GB"/>
        </w:rPr>
        <w:t xml:space="preserve">ook for possible </w:t>
      </w:r>
      <w:r w:rsidR="00E13A6B">
        <w:rPr>
          <w:bCs/>
          <w:lang w:val="en-GB"/>
        </w:rPr>
        <w:t>cracked/</w:t>
      </w:r>
      <w:r w:rsidR="00DB3822" w:rsidRPr="00DB3822">
        <w:rPr>
          <w:bCs/>
          <w:lang w:val="en-GB"/>
        </w:rPr>
        <w:t>broken blades</w:t>
      </w:r>
      <w:r w:rsidR="00E13A6B">
        <w:rPr>
          <w:bCs/>
          <w:lang w:val="en-GB"/>
        </w:rPr>
        <w:t>.</w:t>
      </w:r>
    </w:p>
    <w:p w14:paraId="1BBE495D" w14:textId="4185E2C5" w:rsidR="000D37DA" w:rsidRDefault="00E13A6B" w:rsidP="00786BA7">
      <w:pPr>
        <w:numPr>
          <w:ilvl w:val="0"/>
          <w:numId w:val="33"/>
        </w:numPr>
        <w:ind w:left="714" w:hanging="357"/>
        <w:contextualSpacing/>
        <w:rPr>
          <w:bCs/>
          <w:lang w:val="en-GB"/>
        </w:rPr>
      </w:pPr>
      <w:r>
        <w:rPr>
          <w:bCs/>
          <w:lang w:val="en-GB"/>
        </w:rPr>
        <w:t>C</w:t>
      </w:r>
      <w:r w:rsidR="00DB3822" w:rsidRPr="00DB3822">
        <w:rPr>
          <w:bCs/>
          <w:lang w:val="en-GB"/>
        </w:rPr>
        <w:t>heck</w:t>
      </w:r>
      <w:r w:rsidR="00DB3822">
        <w:rPr>
          <w:bCs/>
          <w:lang w:val="en-GB"/>
        </w:rPr>
        <w:t xml:space="preserve"> that</w:t>
      </w:r>
      <w:r w:rsidR="00DB3822" w:rsidRPr="00DB3822">
        <w:rPr>
          <w:bCs/>
          <w:lang w:val="en-GB"/>
        </w:rPr>
        <w:t xml:space="preserve"> the shaft moves smoothly</w:t>
      </w:r>
      <w:r w:rsidR="007E4087">
        <w:rPr>
          <w:bCs/>
          <w:lang w:val="en-GB"/>
        </w:rPr>
        <w:t xml:space="preserve"> to detect possible damage in bearings.</w:t>
      </w:r>
    </w:p>
    <w:p w14:paraId="1EC118AD" w14:textId="073E25AF" w:rsidR="00E13A6B" w:rsidRDefault="001D4DF6" w:rsidP="00786BA7">
      <w:pPr>
        <w:rPr>
          <w:bCs/>
          <w:lang w:val="en-GB"/>
        </w:rPr>
      </w:pPr>
      <w:r w:rsidRPr="005E1F23">
        <w:rPr>
          <w:color w:val="000000" w:themeColor="text1"/>
          <w:lang w:val="en-GB"/>
        </w:rPr>
        <w:t>Simple</w:t>
      </w:r>
      <w:r>
        <w:rPr>
          <w:bCs/>
          <w:lang w:val="en-GB"/>
        </w:rPr>
        <w:t xml:space="preserve"> e</w:t>
      </w:r>
      <w:r w:rsidR="00DB3822">
        <w:rPr>
          <w:bCs/>
          <w:lang w:val="en-GB"/>
        </w:rPr>
        <w:t>lectrical tests are also performed</w:t>
      </w:r>
      <w:r w:rsidR="00C25B09">
        <w:rPr>
          <w:bCs/>
          <w:lang w:val="en-GB"/>
        </w:rPr>
        <w:t xml:space="preserve"> at regular intervals, as follows</w:t>
      </w:r>
      <w:r w:rsidR="00E13A6B">
        <w:rPr>
          <w:bCs/>
          <w:lang w:val="en-GB"/>
        </w:rPr>
        <w:t>:</w:t>
      </w:r>
    </w:p>
    <w:p w14:paraId="21E70A39" w14:textId="03267420" w:rsidR="00E13A6B" w:rsidRDefault="00DB3822" w:rsidP="00786BA7">
      <w:pPr>
        <w:numPr>
          <w:ilvl w:val="0"/>
          <w:numId w:val="33"/>
        </w:numPr>
        <w:ind w:left="714" w:hanging="357"/>
        <w:contextualSpacing/>
        <w:rPr>
          <w:bCs/>
          <w:lang w:val="en-GB"/>
        </w:rPr>
      </w:pPr>
      <w:r>
        <w:rPr>
          <w:bCs/>
          <w:lang w:val="en-GB"/>
        </w:rPr>
        <w:t xml:space="preserve">In </w:t>
      </w:r>
      <w:r w:rsidR="002C05B8">
        <w:rPr>
          <w:bCs/>
          <w:lang w:val="en-GB"/>
        </w:rPr>
        <w:t>fixed speed</w:t>
      </w:r>
      <w:r>
        <w:rPr>
          <w:bCs/>
          <w:lang w:val="en-GB"/>
        </w:rPr>
        <w:t xml:space="preserve"> fans</w:t>
      </w:r>
      <w:r w:rsidR="002C05B8">
        <w:rPr>
          <w:bCs/>
          <w:lang w:val="en-GB"/>
        </w:rPr>
        <w:t xml:space="preserve">, </w:t>
      </w:r>
      <w:r>
        <w:rPr>
          <w:bCs/>
          <w:lang w:val="en-GB"/>
        </w:rPr>
        <w:t xml:space="preserve">winding </w:t>
      </w:r>
      <w:r w:rsidR="007E4087">
        <w:rPr>
          <w:bCs/>
          <w:lang w:val="en-GB"/>
        </w:rPr>
        <w:t xml:space="preserve">insulation </w:t>
      </w:r>
      <w:r>
        <w:rPr>
          <w:bCs/>
          <w:lang w:val="en-GB"/>
        </w:rPr>
        <w:t>resistance is measured.</w:t>
      </w:r>
    </w:p>
    <w:p w14:paraId="5BC57EE9" w14:textId="52A0854B" w:rsidR="00DB3822" w:rsidRDefault="001D4DF6" w:rsidP="00786BA7">
      <w:pPr>
        <w:numPr>
          <w:ilvl w:val="0"/>
          <w:numId w:val="33"/>
        </w:numPr>
        <w:ind w:left="714" w:hanging="357"/>
        <w:contextualSpacing/>
        <w:rPr>
          <w:bCs/>
          <w:lang w:val="en-GB"/>
        </w:rPr>
      </w:pPr>
      <w:r>
        <w:rPr>
          <w:bCs/>
          <w:lang w:val="en-GB"/>
        </w:rPr>
        <w:t>I</w:t>
      </w:r>
      <w:r w:rsidR="002C05B8">
        <w:rPr>
          <w:bCs/>
          <w:lang w:val="en-GB"/>
        </w:rPr>
        <w:t>n variable speed fans a test is carried out</w:t>
      </w:r>
      <w:r>
        <w:rPr>
          <w:bCs/>
          <w:lang w:val="en-GB"/>
        </w:rPr>
        <w:t xml:space="preserve"> which consists of measuring </w:t>
      </w:r>
      <w:r w:rsidR="008403D1">
        <w:rPr>
          <w:bCs/>
          <w:lang w:val="en-GB"/>
        </w:rPr>
        <w:t xml:space="preserve">output </w:t>
      </w:r>
      <w:r>
        <w:rPr>
          <w:bCs/>
          <w:lang w:val="en-GB"/>
        </w:rPr>
        <w:t>voltage</w:t>
      </w:r>
      <w:r w:rsidR="008403D1">
        <w:rPr>
          <w:bCs/>
          <w:lang w:val="en-GB"/>
        </w:rPr>
        <w:t xml:space="preserve"> </w:t>
      </w:r>
      <w:r>
        <w:rPr>
          <w:bCs/>
          <w:lang w:val="en-GB"/>
        </w:rPr>
        <w:t>of control unit at different temperatures</w:t>
      </w:r>
      <w:r w:rsidR="009E21CF">
        <w:rPr>
          <w:bCs/>
          <w:lang w:val="en-GB"/>
        </w:rPr>
        <w:t>, then measuring</w:t>
      </w:r>
      <w:r w:rsidR="00CC1DD5">
        <w:rPr>
          <w:bCs/>
          <w:lang w:val="en-GB"/>
        </w:rPr>
        <w:t xml:space="preserve"> the</w:t>
      </w:r>
      <w:r w:rsidR="009E21CF">
        <w:rPr>
          <w:bCs/>
          <w:lang w:val="en-GB"/>
        </w:rPr>
        <w:t xml:space="preserve"> </w:t>
      </w:r>
      <w:r w:rsidR="008403D1">
        <w:rPr>
          <w:bCs/>
          <w:lang w:val="en-GB"/>
        </w:rPr>
        <w:t>frequency (</w:t>
      </w:r>
      <w:r w:rsidR="00F10D5C">
        <w:rPr>
          <w:bCs/>
          <w:lang w:val="en-GB"/>
        </w:rPr>
        <w:t>i.e.,</w:t>
      </w:r>
      <w:r w:rsidR="008403D1">
        <w:rPr>
          <w:bCs/>
          <w:lang w:val="en-GB"/>
        </w:rPr>
        <w:t xml:space="preserve"> speed)</w:t>
      </w:r>
      <w:r>
        <w:rPr>
          <w:bCs/>
          <w:lang w:val="en-GB"/>
        </w:rPr>
        <w:t xml:space="preserve"> </w:t>
      </w:r>
      <w:r w:rsidR="008403D1">
        <w:rPr>
          <w:bCs/>
          <w:lang w:val="en-GB"/>
        </w:rPr>
        <w:t>of the fan</w:t>
      </w:r>
      <w:r w:rsidR="0057707E">
        <w:rPr>
          <w:bCs/>
          <w:lang w:val="en-GB"/>
        </w:rPr>
        <w:t>, if available,</w:t>
      </w:r>
      <w:r w:rsidR="008403D1">
        <w:rPr>
          <w:bCs/>
          <w:lang w:val="en-GB"/>
        </w:rPr>
        <w:t xml:space="preserve"> </w:t>
      </w:r>
      <w:r>
        <w:rPr>
          <w:bCs/>
          <w:lang w:val="en-GB"/>
        </w:rPr>
        <w:t xml:space="preserve">and comparing </w:t>
      </w:r>
      <w:r w:rsidR="008403D1">
        <w:rPr>
          <w:bCs/>
          <w:lang w:val="en-GB"/>
        </w:rPr>
        <w:t xml:space="preserve">both </w:t>
      </w:r>
      <w:r w:rsidR="00A355F6">
        <w:rPr>
          <w:bCs/>
          <w:lang w:val="en-GB"/>
        </w:rPr>
        <w:t>values</w:t>
      </w:r>
      <w:r w:rsidR="008403D1">
        <w:rPr>
          <w:bCs/>
          <w:lang w:val="en-GB"/>
        </w:rPr>
        <w:t xml:space="preserve"> </w:t>
      </w:r>
      <w:r>
        <w:rPr>
          <w:bCs/>
          <w:lang w:val="en-GB"/>
        </w:rPr>
        <w:t xml:space="preserve">with </w:t>
      </w:r>
      <w:r w:rsidR="00A355F6">
        <w:rPr>
          <w:bCs/>
          <w:lang w:val="en-GB"/>
        </w:rPr>
        <w:t>those</w:t>
      </w:r>
      <w:r>
        <w:rPr>
          <w:bCs/>
          <w:lang w:val="en-GB"/>
        </w:rPr>
        <w:t xml:space="preserve"> given by the manufacturer.</w:t>
      </w:r>
    </w:p>
    <w:p w14:paraId="73268275" w14:textId="77777777" w:rsidR="00786BA7" w:rsidRDefault="00786BA7" w:rsidP="00786BA7">
      <w:pPr>
        <w:rPr>
          <w:bCs/>
          <w:lang w:val="en-GB"/>
        </w:rPr>
      </w:pPr>
    </w:p>
    <w:p w14:paraId="1C7F91A2" w14:textId="77777777" w:rsidR="00AD0B20" w:rsidRPr="00D16BF6" w:rsidRDefault="00AD0B20" w:rsidP="00786BA7">
      <w:pPr>
        <w:pStyle w:val="BodyNumbered"/>
        <w:numPr>
          <w:ilvl w:val="0"/>
          <w:numId w:val="17"/>
        </w:numPr>
        <w:tabs>
          <w:tab w:val="num" w:pos="-2160"/>
        </w:tabs>
        <w:ind w:left="425" w:hanging="425"/>
        <w:rPr>
          <w:rFonts w:ascii="Times New Roman" w:hAnsi="Times New Roman"/>
          <w:b/>
          <w:i/>
          <w:sz w:val="24"/>
          <w:szCs w:val="24"/>
          <w:lang w:val="en-GB"/>
        </w:rPr>
      </w:pP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>Monitoring and trending of ageing effects:</w:t>
      </w:r>
    </w:p>
    <w:p w14:paraId="1C7C8598" w14:textId="562BA651" w:rsidR="0057707E" w:rsidRPr="00020EDB" w:rsidRDefault="00D22111" w:rsidP="00786BA7">
      <w:pPr>
        <w:rPr>
          <w:color w:val="000000" w:themeColor="text1"/>
          <w:lang w:val="en-GB"/>
        </w:rPr>
      </w:pPr>
      <w:r w:rsidRPr="006C7213">
        <w:rPr>
          <w:color w:val="000000" w:themeColor="text1"/>
          <w:lang w:val="en-GB"/>
        </w:rPr>
        <w:t>Trending</w:t>
      </w:r>
      <w:r>
        <w:rPr>
          <w:rFonts w:eastAsia="Malgun Gothic"/>
          <w:kern w:val="0"/>
          <w:lang w:eastAsia="en-US"/>
        </w:rPr>
        <w:t xml:space="preserve"> </w:t>
      </w:r>
      <w:r w:rsidR="0057707E" w:rsidRPr="00020EDB">
        <w:rPr>
          <w:color w:val="000000" w:themeColor="text1"/>
          <w:lang w:val="en-GB"/>
        </w:rPr>
        <w:t>actions are included as part of this AMP. Test results are managed and trended (e.g., insulation resistance and fan speed as a function of temperature) so that they can be utilized for quantitative trend monitoring.</w:t>
      </w:r>
    </w:p>
    <w:p w14:paraId="330225DE" w14:textId="3A7237BD" w:rsidR="00881416" w:rsidRDefault="00C25B09" w:rsidP="00786BA7">
      <w:pPr>
        <w:rPr>
          <w:rStyle w:val="jlqj4b"/>
          <w:color w:val="000000" w:themeColor="text1"/>
          <w:lang w:val="en"/>
        </w:rPr>
      </w:pPr>
      <w:r w:rsidRPr="00020EDB">
        <w:rPr>
          <w:rStyle w:val="jlqj4b"/>
          <w:color w:val="000000" w:themeColor="text1"/>
          <w:lang w:val="en"/>
        </w:rPr>
        <w:t>Failure rate can also be monitored to detect in which type of fan the failures are more frequent.</w:t>
      </w:r>
    </w:p>
    <w:p w14:paraId="4AD1185D" w14:textId="77777777" w:rsidR="00786BA7" w:rsidRPr="00020EDB" w:rsidRDefault="00786BA7" w:rsidP="00786BA7">
      <w:pPr>
        <w:rPr>
          <w:color w:val="000000" w:themeColor="text1"/>
          <w:lang w:val="en-GB"/>
        </w:rPr>
      </w:pPr>
    </w:p>
    <w:p w14:paraId="74738C90" w14:textId="77777777" w:rsidR="00AD0B20" w:rsidRPr="00D16BF6" w:rsidRDefault="00AD0B20" w:rsidP="00786BA7">
      <w:pPr>
        <w:pStyle w:val="BodyNumbered"/>
        <w:numPr>
          <w:ilvl w:val="0"/>
          <w:numId w:val="17"/>
        </w:numPr>
        <w:tabs>
          <w:tab w:val="num" w:pos="-2160"/>
        </w:tabs>
        <w:ind w:left="425" w:hanging="425"/>
        <w:rPr>
          <w:rFonts w:ascii="Times New Roman" w:hAnsi="Times New Roman"/>
          <w:b/>
          <w:i/>
          <w:sz w:val="24"/>
          <w:szCs w:val="24"/>
          <w:lang w:val="en-GB"/>
        </w:rPr>
      </w:pP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>Mitigating ageing effects:</w:t>
      </w:r>
    </w:p>
    <w:p w14:paraId="4E3E59F3" w14:textId="133485C0" w:rsidR="004A735D" w:rsidRDefault="004A735D" w:rsidP="00786BA7">
      <w:pPr>
        <w:rPr>
          <w:color w:val="000000" w:themeColor="text1"/>
          <w:lang w:val="en-GB"/>
        </w:rPr>
      </w:pPr>
      <w:r w:rsidRPr="005E1F23">
        <w:rPr>
          <w:color w:val="000000" w:themeColor="text1"/>
          <w:lang w:val="en-GB"/>
        </w:rPr>
        <w:t xml:space="preserve">This programme is a condition monitoring programme. This programme has no specific operations, maintenance, and repair aspects except the replacement before the end of the expected lifetime of the </w:t>
      </w:r>
      <w:r w:rsidR="003B333C" w:rsidRPr="005E1F23">
        <w:rPr>
          <w:color w:val="000000" w:themeColor="text1"/>
          <w:lang w:val="en-GB"/>
        </w:rPr>
        <w:t>fan</w:t>
      </w:r>
      <w:r w:rsidRPr="005E1F23">
        <w:rPr>
          <w:color w:val="000000" w:themeColor="text1"/>
          <w:lang w:val="en-GB"/>
        </w:rPr>
        <w:t>.</w:t>
      </w:r>
    </w:p>
    <w:p w14:paraId="60FBE44D" w14:textId="77777777" w:rsidR="00786BA7" w:rsidRPr="005E1F23" w:rsidRDefault="00786BA7" w:rsidP="00786BA7">
      <w:pPr>
        <w:rPr>
          <w:color w:val="000000" w:themeColor="text1"/>
          <w:lang w:val="en-GB"/>
        </w:rPr>
      </w:pPr>
    </w:p>
    <w:p w14:paraId="034D5941" w14:textId="77777777" w:rsidR="00AD0B20" w:rsidRPr="00D16BF6" w:rsidRDefault="00AD0B20" w:rsidP="00786BA7">
      <w:pPr>
        <w:pStyle w:val="BodyNumbered"/>
        <w:numPr>
          <w:ilvl w:val="0"/>
          <w:numId w:val="17"/>
        </w:numPr>
        <w:tabs>
          <w:tab w:val="num" w:pos="-2160"/>
        </w:tabs>
        <w:ind w:left="425" w:hanging="425"/>
        <w:rPr>
          <w:rFonts w:ascii="Times New Roman" w:hAnsi="Times New Roman"/>
          <w:b/>
          <w:i/>
          <w:sz w:val="24"/>
          <w:szCs w:val="24"/>
          <w:lang w:val="en-GB"/>
        </w:rPr>
      </w:pP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>Acceptance criteria:</w:t>
      </w:r>
    </w:p>
    <w:p w14:paraId="2295078D" w14:textId="08B90945" w:rsidR="001B3E8E" w:rsidRPr="005E1F23" w:rsidRDefault="001B3E8E" w:rsidP="00786BA7">
      <w:pPr>
        <w:rPr>
          <w:color w:val="000000" w:themeColor="text1"/>
          <w:lang w:val="en-GB"/>
        </w:rPr>
      </w:pPr>
      <w:r w:rsidRPr="005E1F23">
        <w:rPr>
          <w:color w:val="000000" w:themeColor="text1"/>
          <w:lang w:val="en-GB"/>
        </w:rPr>
        <w:lastRenderedPageBreak/>
        <w:t xml:space="preserve">The physical parameters mentioned in attribute 3 </w:t>
      </w:r>
      <w:r w:rsidR="00A23E07">
        <w:rPr>
          <w:color w:val="000000" w:themeColor="text1"/>
          <w:lang w:val="en-GB"/>
        </w:rPr>
        <w:t>are to</w:t>
      </w:r>
      <w:r w:rsidRPr="005E1F23">
        <w:rPr>
          <w:color w:val="000000" w:themeColor="text1"/>
          <w:lang w:val="en-GB"/>
        </w:rPr>
        <w:t xml:space="preserve"> be within the predicted acceptance criteria.</w:t>
      </w:r>
    </w:p>
    <w:p w14:paraId="4B844627" w14:textId="0D56E076" w:rsidR="009361DB" w:rsidRPr="005E1F23" w:rsidRDefault="009361DB" w:rsidP="00786BA7">
      <w:pPr>
        <w:rPr>
          <w:color w:val="000000" w:themeColor="text1"/>
          <w:lang w:val="en-GB"/>
        </w:rPr>
      </w:pPr>
      <w:r w:rsidRPr="005E1F23">
        <w:rPr>
          <w:color w:val="000000" w:themeColor="text1"/>
          <w:lang w:val="en-GB"/>
        </w:rPr>
        <w:t xml:space="preserve">For periodic visual inspections, according to the observed defects, </w:t>
      </w:r>
      <w:r w:rsidR="006F0231">
        <w:rPr>
          <w:color w:val="000000" w:themeColor="text1"/>
          <w:lang w:val="en-GB"/>
        </w:rPr>
        <w:t>two</w:t>
      </w:r>
      <w:r w:rsidRPr="005E1F23">
        <w:rPr>
          <w:color w:val="000000" w:themeColor="text1"/>
          <w:lang w:val="en-GB"/>
        </w:rPr>
        <w:t xml:space="preserve"> categories are possible: </w:t>
      </w:r>
      <w:r w:rsidR="00AF2171">
        <w:rPr>
          <w:color w:val="000000" w:themeColor="text1"/>
          <w:lang w:val="en-GB"/>
        </w:rPr>
        <w:t>satisfactory and non-satisfactory</w:t>
      </w:r>
      <w:r w:rsidRPr="005E1F23">
        <w:rPr>
          <w:color w:val="000000" w:themeColor="text1"/>
          <w:lang w:val="en-GB"/>
        </w:rPr>
        <w:t>.</w:t>
      </w:r>
    </w:p>
    <w:p w14:paraId="5228B175" w14:textId="24F1AA16" w:rsidR="001B3E8E" w:rsidRPr="005E1F23" w:rsidRDefault="001B3E8E" w:rsidP="00786BA7">
      <w:pPr>
        <w:rPr>
          <w:color w:val="000000" w:themeColor="text1"/>
          <w:lang w:val="en-GB"/>
        </w:rPr>
      </w:pPr>
      <w:r w:rsidRPr="005E1F23">
        <w:rPr>
          <w:color w:val="000000" w:themeColor="text1"/>
          <w:lang w:val="en-GB"/>
        </w:rPr>
        <w:t xml:space="preserve">Acceptance criteria for insulation resistance are defined by codes and standards according to voltage category </w:t>
      </w:r>
      <w:r w:rsidR="006F02F0">
        <w:rPr>
          <w:color w:val="000000" w:themeColor="text1"/>
          <w:highlight w:val="yellow"/>
          <w:lang w:val="en-GB"/>
        </w:rPr>
        <w:fldChar w:fldCharType="begin"/>
      </w:r>
      <w:r w:rsidR="006F02F0">
        <w:rPr>
          <w:color w:val="000000" w:themeColor="text1"/>
          <w:lang w:val="en-GB"/>
        </w:rPr>
        <w:instrText xml:space="preserve"> REF _Ref75268694 \r \h </w:instrText>
      </w:r>
      <w:r w:rsidR="006F02F0">
        <w:rPr>
          <w:color w:val="000000" w:themeColor="text1"/>
          <w:highlight w:val="yellow"/>
          <w:lang w:val="en-GB"/>
        </w:rPr>
      </w:r>
      <w:r w:rsidR="006F02F0">
        <w:rPr>
          <w:color w:val="000000" w:themeColor="text1"/>
          <w:highlight w:val="yellow"/>
          <w:lang w:val="en-GB"/>
        </w:rPr>
        <w:fldChar w:fldCharType="separate"/>
      </w:r>
      <w:r w:rsidR="003831E1">
        <w:rPr>
          <w:color w:val="000000" w:themeColor="text1"/>
          <w:lang w:val="en-GB"/>
        </w:rPr>
        <w:t>[1]</w:t>
      </w:r>
      <w:r w:rsidR="006F02F0">
        <w:rPr>
          <w:color w:val="000000" w:themeColor="text1"/>
          <w:highlight w:val="yellow"/>
          <w:lang w:val="en-GB"/>
        </w:rPr>
        <w:fldChar w:fldCharType="end"/>
      </w:r>
      <w:r w:rsidRPr="005E1F23">
        <w:rPr>
          <w:color w:val="000000" w:themeColor="text1"/>
          <w:lang w:val="en-GB"/>
        </w:rPr>
        <w:t>.</w:t>
      </w:r>
    </w:p>
    <w:p w14:paraId="42023828" w14:textId="070B28B9" w:rsidR="009361DB" w:rsidRDefault="001B3E8E" w:rsidP="00786BA7">
      <w:pPr>
        <w:rPr>
          <w:color w:val="000000" w:themeColor="text1"/>
          <w:lang w:val="en-GB"/>
        </w:rPr>
      </w:pPr>
      <w:r w:rsidRPr="005E1F23">
        <w:rPr>
          <w:color w:val="000000" w:themeColor="text1"/>
          <w:lang w:val="en-GB"/>
        </w:rPr>
        <w:t>Regarding control units testing, information about the appropriate values is given by the manufacturer.</w:t>
      </w:r>
      <w:r w:rsidR="006F0231">
        <w:rPr>
          <w:color w:val="000000" w:themeColor="text1"/>
          <w:lang w:val="en-GB"/>
        </w:rPr>
        <w:t xml:space="preserve"> </w:t>
      </w:r>
      <w:r w:rsidR="009361DB" w:rsidRPr="005E1F23">
        <w:rPr>
          <w:color w:val="000000" w:themeColor="text1"/>
          <w:lang w:val="en-GB"/>
        </w:rPr>
        <w:t>The testing results are compared with previous results to identify a possible degradation trend.</w:t>
      </w:r>
    </w:p>
    <w:p w14:paraId="5225E7A5" w14:textId="77777777" w:rsidR="00786BA7" w:rsidRPr="005E1F23" w:rsidRDefault="00786BA7" w:rsidP="00786BA7">
      <w:pPr>
        <w:rPr>
          <w:color w:val="000000" w:themeColor="text1"/>
          <w:lang w:val="en-GB"/>
        </w:rPr>
      </w:pPr>
    </w:p>
    <w:p w14:paraId="799EB05F" w14:textId="77777777" w:rsidR="00AD0B20" w:rsidRPr="00D16BF6" w:rsidRDefault="00AD0B20" w:rsidP="00786BA7">
      <w:pPr>
        <w:pStyle w:val="BodyNumbered"/>
        <w:numPr>
          <w:ilvl w:val="0"/>
          <w:numId w:val="17"/>
        </w:numPr>
        <w:tabs>
          <w:tab w:val="num" w:pos="-2160"/>
        </w:tabs>
        <w:ind w:left="425" w:hanging="425"/>
        <w:rPr>
          <w:rFonts w:ascii="Times New Roman" w:hAnsi="Times New Roman"/>
          <w:b/>
          <w:i/>
          <w:sz w:val="24"/>
          <w:szCs w:val="24"/>
          <w:lang w:val="en-GB"/>
        </w:rPr>
      </w:pP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>Corrective actions:</w:t>
      </w:r>
    </w:p>
    <w:p w14:paraId="084733AE" w14:textId="77777777" w:rsidR="00C42FED" w:rsidRDefault="00520B56" w:rsidP="00786BA7">
      <w:pPr>
        <w:rPr>
          <w:color w:val="000000" w:themeColor="text1"/>
          <w:lang w:val="en-GB"/>
        </w:rPr>
      </w:pPr>
      <w:r w:rsidRPr="005E1F23">
        <w:rPr>
          <w:color w:val="000000" w:themeColor="text1"/>
          <w:lang w:val="en-GB"/>
        </w:rPr>
        <w:t xml:space="preserve">Corrective actions are taken when unacceptable conditions are found, considering the age of the components as well as the severity of the anomaly. </w:t>
      </w:r>
      <w:r w:rsidR="00836E3D" w:rsidRPr="005E1F23">
        <w:rPr>
          <w:color w:val="000000" w:themeColor="text1"/>
          <w:lang w:val="en-GB"/>
        </w:rPr>
        <w:t>Corrective actions may include</w:t>
      </w:r>
      <w:r w:rsidR="00C42FED">
        <w:rPr>
          <w:color w:val="000000" w:themeColor="text1"/>
          <w:lang w:val="en-GB"/>
        </w:rPr>
        <w:t>:</w:t>
      </w:r>
    </w:p>
    <w:p w14:paraId="3F001AD3" w14:textId="49AB9EC3" w:rsidR="00C42FED" w:rsidRPr="00173B62" w:rsidRDefault="00C42FED" w:rsidP="00786BA7">
      <w:pPr>
        <w:numPr>
          <w:ilvl w:val="0"/>
          <w:numId w:val="31"/>
        </w:numPr>
        <w:ind w:left="714" w:hanging="357"/>
        <w:rPr>
          <w:bCs/>
          <w:lang w:val="en-GB"/>
        </w:rPr>
      </w:pPr>
      <w:r w:rsidRPr="00173B62">
        <w:rPr>
          <w:bCs/>
          <w:lang w:val="en-GB"/>
        </w:rPr>
        <w:t>For enclosure mount type:</w:t>
      </w:r>
      <w:r w:rsidR="00836E3D" w:rsidRPr="00173B62">
        <w:rPr>
          <w:bCs/>
          <w:lang w:val="en-GB"/>
        </w:rPr>
        <w:t xml:space="preserve"> replacement of</w:t>
      </w:r>
      <w:r w:rsidRPr="00173B62">
        <w:rPr>
          <w:bCs/>
          <w:lang w:val="en-GB"/>
        </w:rPr>
        <w:t xml:space="preserve"> bearings or</w:t>
      </w:r>
      <w:r w:rsidR="00836E3D" w:rsidRPr="00173B62">
        <w:rPr>
          <w:bCs/>
          <w:lang w:val="en-GB"/>
        </w:rPr>
        <w:t xml:space="preserve"> the </w:t>
      </w:r>
      <w:r w:rsidRPr="00173B62">
        <w:rPr>
          <w:bCs/>
          <w:lang w:val="en-GB"/>
        </w:rPr>
        <w:t xml:space="preserve">entire </w:t>
      </w:r>
      <w:r w:rsidR="00836E3D" w:rsidRPr="00173B62">
        <w:rPr>
          <w:bCs/>
          <w:lang w:val="en-GB"/>
        </w:rPr>
        <w:t>defective fan</w:t>
      </w:r>
      <w:r w:rsidR="00173B62">
        <w:rPr>
          <w:bCs/>
          <w:lang w:val="en-GB"/>
        </w:rPr>
        <w:t>.</w:t>
      </w:r>
    </w:p>
    <w:p w14:paraId="11265988" w14:textId="16C6820F" w:rsidR="00800440" w:rsidRPr="00173B62" w:rsidRDefault="00C42FED" w:rsidP="00786BA7">
      <w:pPr>
        <w:numPr>
          <w:ilvl w:val="0"/>
          <w:numId w:val="31"/>
        </w:numPr>
        <w:ind w:left="714" w:hanging="357"/>
        <w:rPr>
          <w:bCs/>
          <w:lang w:val="en-GB"/>
        </w:rPr>
      </w:pPr>
      <w:r w:rsidRPr="00173B62">
        <w:rPr>
          <w:bCs/>
          <w:lang w:val="en-GB"/>
        </w:rPr>
        <w:t>F</w:t>
      </w:r>
      <w:r w:rsidR="00AA7A93" w:rsidRPr="00173B62">
        <w:rPr>
          <w:bCs/>
          <w:lang w:val="en-GB"/>
        </w:rPr>
        <w:t>or rackmount type: replacement of a single fan,</w:t>
      </w:r>
      <w:r w:rsidR="0057707E" w:rsidRPr="00173B62">
        <w:rPr>
          <w:bCs/>
          <w:lang w:val="en-GB"/>
        </w:rPr>
        <w:t xml:space="preserve"> the</w:t>
      </w:r>
      <w:r w:rsidR="00836E3D" w:rsidRPr="00173B62">
        <w:rPr>
          <w:bCs/>
          <w:lang w:val="en-GB"/>
        </w:rPr>
        <w:t xml:space="preserve"> control </w:t>
      </w:r>
      <w:r w:rsidR="002D0913" w:rsidRPr="00173B62">
        <w:rPr>
          <w:bCs/>
          <w:lang w:val="en-GB"/>
        </w:rPr>
        <w:t xml:space="preserve">unit </w:t>
      </w:r>
      <w:r w:rsidR="00836E3D" w:rsidRPr="00173B62">
        <w:rPr>
          <w:bCs/>
          <w:lang w:val="en-GB"/>
        </w:rPr>
        <w:t xml:space="preserve">or </w:t>
      </w:r>
      <w:r w:rsidR="0057707E" w:rsidRPr="00173B62">
        <w:rPr>
          <w:bCs/>
          <w:lang w:val="en-GB"/>
        </w:rPr>
        <w:t xml:space="preserve">the </w:t>
      </w:r>
      <w:r w:rsidR="002D0913" w:rsidRPr="00173B62">
        <w:rPr>
          <w:bCs/>
          <w:lang w:val="en-GB"/>
        </w:rPr>
        <w:t xml:space="preserve">complete </w:t>
      </w:r>
      <w:r w:rsidR="00836E3D" w:rsidRPr="00173B62">
        <w:rPr>
          <w:bCs/>
          <w:lang w:val="en-GB"/>
        </w:rPr>
        <w:t>rackmount unit.</w:t>
      </w:r>
    </w:p>
    <w:p w14:paraId="69296317" w14:textId="6AE5A567" w:rsidR="00AA7A93" w:rsidRDefault="00341CEB" w:rsidP="00786BA7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AA7A93" w:rsidRPr="00AA7A93">
        <w:rPr>
          <w:color w:val="000000" w:themeColor="text1"/>
        </w:rPr>
        <w:t xml:space="preserve">n </w:t>
      </w:r>
      <w:r>
        <w:rPr>
          <w:color w:val="000000" w:themeColor="text1"/>
        </w:rPr>
        <w:t>case of cabinets provided with</w:t>
      </w:r>
      <w:r w:rsidR="00AA7A93" w:rsidRPr="00AA7A93">
        <w:rPr>
          <w:color w:val="000000" w:themeColor="text1"/>
        </w:rPr>
        <w:t xml:space="preserve"> maintenance-free fans</w:t>
      </w:r>
      <w:r>
        <w:rPr>
          <w:color w:val="000000" w:themeColor="text1"/>
        </w:rPr>
        <w:t xml:space="preserve">, </w:t>
      </w:r>
      <w:r w:rsidR="00B6564E">
        <w:rPr>
          <w:color w:val="000000" w:themeColor="text1"/>
        </w:rPr>
        <w:t xml:space="preserve">they may be replaced </w:t>
      </w:r>
      <w:r w:rsidR="00AA7A93">
        <w:rPr>
          <w:color w:val="000000" w:themeColor="text1"/>
        </w:rPr>
        <w:t xml:space="preserve">after </w:t>
      </w:r>
      <w:r w:rsidR="006F02F0">
        <w:rPr>
          <w:color w:val="000000" w:themeColor="text1"/>
        </w:rPr>
        <w:t>a certain period, usually five to ten years,</w:t>
      </w:r>
      <w:r w:rsidR="00AA7A93">
        <w:rPr>
          <w:color w:val="000000" w:themeColor="text1"/>
        </w:rPr>
        <w:t xml:space="preserve"> </w:t>
      </w:r>
      <w:r w:rsidR="006F02F0">
        <w:rPr>
          <w:color w:val="000000" w:themeColor="text1"/>
        </w:rPr>
        <w:t>d</w:t>
      </w:r>
      <w:r w:rsidR="00AA7A93">
        <w:rPr>
          <w:color w:val="000000" w:themeColor="text1"/>
        </w:rPr>
        <w:t>epend</w:t>
      </w:r>
      <w:r w:rsidR="006F02F0">
        <w:rPr>
          <w:color w:val="000000" w:themeColor="text1"/>
        </w:rPr>
        <w:t>ing</w:t>
      </w:r>
      <w:r w:rsidR="00AA7A93">
        <w:rPr>
          <w:color w:val="000000" w:themeColor="text1"/>
        </w:rPr>
        <w:t xml:space="preserve"> on the environmental conditions</w:t>
      </w:r>
      <w:r w:rsidR="006F02F0">
        <w:rPr>
          <w:color w:val="000000" w:themeColor="text1"/>
        </w:rPr>
        <w:t xml:space="preserve"> </w:t>
      </w:r>
      <w:r w:rsidR="006F02F0">
        <w:rPr>
          <w:color w:val="000000" w:themeColor="text1"/>
        </w:rPr>
        <w:fldChar w:fldCharType="begin"/>
      </w:r>
      <w:r w:rsidR="006F02F0">
        <w:rPr>
          <w:color w:val="000000" w:themeColor="text1"/>
        </w:rPr>
        <w:instrText xml:space="preserve"> REF _Ref75268776 \r \h </w:instrText>
      </w:r>
      <w:r w:rsidR="006F02F0">
        <w:rPr>
          <w:color w:val="000000" w:themeColor="text1"/>
        </w:rPr>
      </w:r>
      <w:r w:rsidR="006F02F0">
        <w:rPr>
          <w:color w:val="000000" w:themeColor="text1"/>
        </w:rPr>
        <w:fldChar w:fldCharType="separate"/>
      </w:r>
      <w:r w:rsidR="003831E1">
        <w:rPr>
          <w:color w:val="000000" w:themeColor="text1"/>
        </w:rPr>
        <w:t>[2]</w:t>
      </w:r>
      <w:r w:rsidR="006F02F0">
        <w:rPr>
          <w:color w:val="000000" w:themeColor="text1"/>
        </w:rPr>
        <w:fldChar w:fldCharType="end"/>
      </w:r>
      <w:r w:rsidR="00216A02">
        <w:rPr>
          <w:color w:val="000000" w:themeColor="text1"/>
        </w:rPr>
        <w:t xml:space="preserve"> and with no need of previous inspection.</w:t>
      </w:r>
      <w:r w:rsidR="00173B62">
        <w:rPr>
          <w:color w:val="000000" w:themeColor="text1"/>
        </w:rPr>
        <w:t xml:space="preserve"> For monitored fans, run-to-failure approach is </w:t>
      </w:r>
      <w:r w:rsidR="00DE705D">
        <w:rPr>
          <w:color w:val="000000" w:themeColor="text1"/>
        </w:rPr>
        <w:t>also acceptable</w:t>
      </w:r>
      <w:r w:rsidR="00173B62">
        <w:rPr>
          <w:color w:val="000000" w:themeColor="text1"/>
        </w:rPr>
        <w:t>.</w:t>
      </w:r>
    </w:p>
    <w:p w14:paraId="07074952" w14:textId="77777777" w:rsidR="00786BA7" w:rsidRPr="00173B62" w:rsidRDefault="00786BA7" w:rsidP="00786BA7">
      <w:pPr>
        <w:rPr>
          <w:color w:val="000000" w:themeColor="text1"/>
        </w:rPr>
      </w:pPr>
    </w:p>
    <w:p w14:paraId="0745701B" w14:textId="3D948DA8" w:rsidR="0021344D" w:rsidRPr="00D16BF6" w:rsidRDefault="00AD0B20" w:rsidP="00786BA7">
      <w:pPr>
        <w:pStyle w:val="BodyNumbered"/>
        <w:numPr>
          <w:ilvl w:val="0"/>
          <w:numId w:val="17"/>
        </w:numPr>
        <w:tabs>
          <w:tab w:val="num" w:pos="-2160"/>
        </w:tabs>
        <w:ind w:left="425" w:hanging="425"/>
        <w:rPr>
          <w:rFonts w:ascii="Times New Roman" w:hAnsi="Times New Roman"/>
          <w:b/>
          <w:i/>
          <w:sz w:val="24"/>
          <w:szCs w:val="24"/>
          <w:lang w:val="en-GB"/>
        </w:rPr>
      </w:pP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>Operating experience feedback and feedback of research and development results:</w:t>
      </w:r>
    </w:p>
    <w:p w14:paraId="0DEA6A0B" w14:textId="6ADC5359" w:rsidR="00800440" w:rsidRPr="005E1F23" w:rsidRDefault="00800440" w:rsidP="00786BA7">
      <w:pPr>
        <w:rPr>
          <w:color w:val="000000" w:themeColor="text1"/>
          <w:lang w:val="en-GB"/>
        </w:rPr>
      </w:pPr>
      <w:r w:rsidRPr="005E1F23">
        <w:rPr>
          <w:color w:val="000000" w:themeColor="text1"/>
          <w:lang w:val="en-GB"/>
        </w:rPr>
        <w:t>This AMP addresses the industry-wide generic experience. Relevant plant-specific operating experience is considered in the development of the plant AMP to ensure the AMP is adequate for the plant. The plant implements a feedback process to periodically evaluate plant and industry-wide operating experience and research and development (R&amp;D) results, and, as necessary, either modifies the plant AMP or takes additional actions (</w:t>
      </w:r>
      <w:r w:rsidR="00E93716" w:rsidRPr="005E1F23">
        <w:rPr>
          <w:color w:val="000000" w:themeColor="text1"/>
          <w:lang w:val="en-GB"/>
        </w:rPr>
        <w:t>e.g.,</w:t>
      </w:r>
      <w:r w:rsidRPr="005E1F23">
        <w:rPr>
          <w:color w:val="000000" w:themeColor="text1"/>
          <w:lang w:val="en-GB"/>
        </w:rPr>
        <w:t xml:space="preserve"> develop a new plant-specific AMP) to ensure the continued effectiveness of the ageing management.</w:t>
      </w:r>
    </w:p>
    <w:p w14:paraId="00FF81E9" w14:textId="10D7C43C" w:rsidR="00522A8C" w:rsidRDefault="00522A8C" w:rsidP="00786BA7">
      <w:pPr>
        <w:rPr>
          <w:color w:val="000000" w:themeColor="text1"/>
          <w:lang w:val="en-GB"/>
        </w:rPr>
      </w:pPr>
      <w:r w:rsidRPr="005E1F23">
        <w:rPr>
          <w:color w:val="000000" w:themeColor="text1"/>
          <w:lang w:val="en-GB"/>
        </w:rPr>
        <w:t>At the time when this AMP was produced, no relevant R&amp;D was identified.</w:t>
      </w:r>
    </w:p>
    <w:p w14:paraId="408FE233" w14:textId="77777777" w:rsidR="00786BA7" w:rsidRPr="005E1F23" w:rsidRDefault="00786BA7" w:rsidP="00786BA7">
      <w:pPr>
        <w:rPr>
          <w:color w:val="000000" w:themeColor="text1"/>
          <w:lang w:val="en-GB"/>
        </w:rPr>
      </w:pPr>
    </w:p>
    <w:p w14:paraId="380CB607" w14:textId="77777777" w:rsidR="00AD0B20" w:rsidRPr="00D16BF6" w:rsidRDefault="00AD0B20" w:rsidP="00786BA7">
      <w:pPr>
        <w:pStyle w:val="BodyNumbered"/>
        <w:numPr>
          <w:ilvl w:val="0"/>
          <w:numId w:val="17"/>
        </w:numPr>
        <w:tabs>
          <w:tab w:val="num" w:pos="-2160"/>
        </w:tabs>
        <w:ind w:left="425" w:hanging="425"/>
        <w:rPr>
          <w:rFonts w:ascii="Times New Roman" w:hAnsi="Times New Roman"/>
          <w:b/>
          <w:i/>
          <w:sz w:val="24"/>
          <w:szCs w:val="24"/>
          <w:lang w:val="en-GB"/>
        </w:rPr>
      </w:pPr>
      <w:r w:rsidRPr="00D16BF6">
        <w:rPr>
          <w:rFonts w:ascii="Times New Roman" w:hAnsi="Times New Roman"/>
          <w:b/>
          <w:i/>
          <w:sz w:val="24"/>
          <w:szCs w:val="24"/>
          <w:lang w:val="en-GB"/>
        </w:rPr>
        <w:t>Quality management:</w:t>
      </w:r>
    </w:p>
    <w:p w14:paraId="5AB0073A" w14:textId="14200CAA" w:rsidR="00A873D2" w:rsidRDefault="00A873D2" w:rsidP="00786BA7">
      <w:pPr>
        <w:rPr>
          <w:color w:val="000000" w:themeColor="text1"/>
          <w:lang w:val="en-GB"/>
        </w:rPr>
      </w:pPr>
      <w:r w:rsidRPr="005E1F23">
        <w:rPr>
          <w:color w:val="000000" w:themeColor="text1"/>
          <w:lang w:val="en-GB"/>
        </w:rPr>
        <w:t>Site quality assurance procedures, review and approval processes, and administrative controls are implemented in accordance with the different national regulatory requirements (e.g., 10 CFR 50, Appendix B</w:t>
      </w:r>
      <w:r w:rsidR="00522A8C" w:rsidRPr="005E1F23">
        <w:rPr>
          <w:color w:val="000000" w:themeColor="text1"/>
          <w:lang w:val="en-GB"/>
        </w:rPr>
        <w:t xml:space="preserve"> </w:t>
      </w:r>
      <w:r w:rsidR="00D8254E">
        <w:rPr>
          <w:color w:val="000000" w:themeColor="text1"/>
          <w:lang w:val="en-GB"/>
        </w:rPr>
        <w:fldChar w:fldCharType="begin"/>
      </w:r>
      <w:r w:rsidR="00D8254E">
        <w:rPr>
          <w:color w:val="000000" w:themeColor="text1"/>
          <w:lang w:val="en-GB"/>
        </w:rPr>
        <w:instrText xml:space="preserve"> REF _Ref75339375 \r \h </w:instrText>
      </w:r>
      <w:r w:rsidR="00D8254E">
        <w:rPr>
          <w:color w:val="000000" w:themeColor="text1"/>
          <w:lang w:val="en-GB"/>
        </w:rPr>
      </w:r>
      <w:r w:rsidR="00D8254E">
        <w:rPr>
          <w:color w:val="000000" w:themeColor="text1"/>
          <w:lang w:val="en-GB"/>
        </w:rPr>
        <w:fldChar w:fldCharType="separate"/>
      </w:r>
      <w:r w:rsidR="003831E1">
        <w:rPr>
          <w:color w:val="000000" w:themeColor="text1"/>
          <w:lang w:val="en-GB"/>
        </w:rPr>
        <w:t>[3]</w:t>
      </w:r>
      <w:r w:rsidR="00D8254E">
        <w:rPr>
          <w:color w:val="000000" w:themeColor="text1"/>
          <w:lang w:val="en-GB"/>
        </w:rPr>
        <w:fldChar w:fldCharType="end"/>
      </w:r>
      <w:r w:rsidRPr="005E1F23">
        <w:rPr>
          <w:color w:val="000000" w:themeColor="text1"/>
          <w:lang w:val="en-GB"/>
        </w:rPr>
        <w:t>).</w:t>
      </w:r>
    </w:p>
    <w:p w14:paraId="2C92A52F" w14:textId="77777777" w:rsidR="00786BA7" w:rsidRPr="005E1F23" w:rsidRDefault="00786BA7" w:rsidP="00786BA7">
      <w:pPr>
        <w:rPr>
          <w:color w:val="000000" w:themeColor="text1"/>
          <w:lang w:val="en-GB"/>
        </w:rPr>
      </w:pPr>
    </w:p>
    <w:p w14:paraId="0AD60FAB" w14:textId="6FE78777" w:rsidR="00C34CD2" w:rsidRPr="00D16BF6" w:rsidRDefault="005E3DAC" w:rsidP="00786BA7">
      <w:pPr>
        <w:pStyle w:val="IGALLReferencesTitle"/>
      </w:pPr>
      <w:r w:rsidRPr="00D16BF6">
        <w:t>References</w:t>
      </w:r>
    </w:p>
    <w:p w14:paraId="5FA0EF49" w14:textId="0DA1086B" w:rsidR="006F02F0" w:rsidRPr="00DF6CAF" w:rsidRDefault="00F501A1" w:rsidP="00786BA7">
      <w:pPr>
        <w:pStyle w:val="IGALLReferences"/>
        <w:tabs>
          <w:tab w:val="clear" w:pos="502"/>
        </w:tabs>
        <w:ind w:left="714" w:hanging="714"/>
        <w:rPr>
          <w:rFonts w:ascii="Times New Roman" w:hAnsi="Times New Roman"/>
          <w:lang w:val="en-GB"/>
        </w:rPr>
      </w:pPr>
      <w:bookmarkStart w:id="1" w:name="_Hlk75479545"/>
      <w:bookmarkStart w:id="2" w:name="_Ref75268694"/>
      <w:bookmarkStart w:id="3" w:name="_Ref71942960"/>
      <w:r w:rsidRPr="00DF6CAF">
        <w:rPr>
          <w:rFonts w:ascii="Times New Roman" w:hAnsi="Times New Roman"/>
          <w:lang w:val="en-GB"/>
        </w:rPr>
        <w:t xml:space="preserve">INSTITUTE OF ELECTRICAL AND ELECTRONICS ENGINEERS, IEEE Recommended Practice for Testing Insulation Resistance of Electric Machinery, IEEE 43-2013, December 2013. </w:t>
      </w:r>
      <w:bookmarkEnd w:id="1"/>
    </w:p>
    <w:p w14:paraId="4FF253C0" w14:textId="236676CF" w:rsidR="006F02F0" w:rsidRPr="005E1F23" w:rsidRDefault="006F02F0" w:rsidP="00786BA7">
      <w:pPr>
        <w:pStyle w:val="IGALLReferences"/>
        <w:tabs>
          <w:tab w:val="clear" w:pos="502"/>
        </w:tabs>
        <w:ind w:left="714" w:hanging="714"/>
        <w:rPr>
          <w:rStyle w:val="IntenseReference"/>
          <w:rFonts w:ascii="Times New Roman" w:hAnsi="Times New Roman"/>
          <w:b w:val="0"/>
          <w:bCs w:val="0"/>
          <w:smallCaps w:val="0"/>
          <w:color w:val="000000" w:themeColor="text1"/>
          <w:spacing w:val="0"/>
          <w:u w:val="none"/>
          <w:lang w:val="en-GB"/>
        </w:rPr>
      </w:pPr>
      <w:bookmarkStart w:id="4" w:name="_Ref75268776"/>
      <w:bookmarkEnd w:id="2"/>
      <w:r>
        <w:rPr>
          <w:rFonts w:ascii="Times New Roman" w:hAnsi="Times New Roman"/>
          <w:color w:val="000000" w:themeColor="text1"/>
          <w:lang w:val="en-GB"/>
        </w:rPr>
        <w:t>ELECTRIC POWER RESEARCH INSTITUTE, “EPRI Preventive Maintenance Basis Database (PMBD)”</w:t>
      </w:r>
      <w:r w:rsidR="00D8254E">
        <w:rPr>
          <w:rFonts w:ascii="Times New Roman" w:hAnsi="Times New Roman"/>
          <w:color w:val="000000" w:themeColor="text1"/>
          <w:lang w:val="en-GB"/>
        </w:rPr>
        <w:t>, Inverter template</w:t>
      </w:r>
      <w:r>
        <w:rPr>
          <w:rFonts w:ascii="Times New Roman" w:hAnsi="Times New Roman"/>
          <w:color w:val="000000" w:themeColor="text1"/>
          <w:lang w:val="en-GB"/>
        </w:rPr>
        <w:t>, ID 3002005428</w:t>
      </w:r>
      <w:r w:rsidR="00D8254E">
        <w:rPr>
          <w:rFonts w:ascii="Times New Roman" w:hAnsi="Times New Roman"/>
          <w:color w:val="000000" w:themeColor="text1"/>
          <w:lang w:val="en-GB"/>
        </w:rPr>
        <w:t xml:space="preserve">, </w:t>
      </w:r>
      <w:r>
        <w:rPr>
          <w:rFonts w:ascii="Times New Roman" w:hAnsi="Times New Roman"/>
          <w:color w:val="000000" w:themeColor="text1"/>
          <w:lang w:val="en-GB"/>
        </w:rPr>
        <w:t xml:space="preserve">Palo Alto, CA, </w:t>
      </w:r>
      <w:r w:rsidR="00F501A1">
        <w:rPr>
          <w:rFonts w:ascii="Times New Roman" w:hAnsi="Times New Roman"/>
          <w:color w:val="000000" w:themeColor="text1"/>
          <w:lang w:val="en-GB"/>
        </w:rPr>
        <w:t xml:space="preserve">June </w:t>
      </w:r>
      <w:r>
        <w:rPr>
          <w:rFonts w:ascii="Times New Roman" w:hAnsi="Times New Roman"/>
          <w:color w:val="000000" w:themeColor="text1"/>
          <w:lang w:val="en-GB"/>
        </w:rPr>
        <w:t>2015.</w:t>
      </w:r>
      <w:bookmarkEnd w:id="4"/>
      <w:r>
        <w:rPr>
          <w:rFonts w:ascii="Times New Roman" w:hAnsi="Times New Roman"/>
          <w:color w:val="000000" w:themeColor="text1"/>
          <w:lang w:val="en-GB"/>
        </w:rPr>
        <w:t xml:space="preserve"> </w:t>
      </w:r>
    </w:p>
    <w:p w14:paraId="3035B24A" w14:textId="5EAF43E3" w:rsidR="006F02F0" w:rsidRPr="006F02F0" w:rsidRDefault="00115C8A" w:rsidP="00786BA7">
      <w:pPr>
        <w:pStyle w:val="IGALLReferences"/>
        <w:tabs>
          <w:tab w:val="clear" w:pos="502"/>
        </w:tabs>
        <w:ind w:left="714" w:hanging="714"/>
        <w:rPr>
          <w:rStyle w:val="IntenseReference"/>
          <w:rFonts w:ascii="Times New Roman" w:hAnsi="Times New Roman"/>
          <w:b w:val="0"/>
          <w:bCs w:val="0"/>
          <w:smallCaps w:val="0"/>
          <w:color w:val="000000" w:themeColor="text1"/>
          <w:spacing w:val="0"/>
          <w:u w:val="none"/>
          <w:lang w:val="en-GB"/>
        </w:rPr>
      </w:pPr>
      <w:bookmarkStart w:id="5" w:name="_Ref75339375"/>
      <w:r w:rsidRPr="005E1F23">
        <w:rPr>
          <w:rFonts w:ascii="Times New Roman" w:hAnsi="Times New Roman"/>
          <w:color w:val="000000" w:themeColor="text1"/>
          <w:lang w:val="en-GB"/>
        </w:rPr>
        <w:lastRenderedPageBreak/>
        <w:t>UNITED STATES NUCLEAR REGULATORY COMMISSION, 10 CFR Part 50, Appendix B, Quality Assurance Criteria for Nuclear Power Plants, Office of the Federal Register, National Archives and Rec</w:t>
      </w:r>
      <w:r w:rsidR="00522A8C" w:rsidRPr="005E1F23">
        <w:rPr>
          <w:rFonts w:ascii="Times New Roman" w:hAnsi="Times New Roman"/>
          <w:color w:val="000000" w:themeColor="text1"/>
          <w:lang w:val="en-GB"/>
        </w:rPr>
        <w:t>ords Administration, USNRC, 2015</w:t>
      </w:r>
      <w:r w:rsidR="004848EC" w:rsidRPr="005E1F23">
        <w:rPr>
          <w:rFonts w:ascii="Times New Roman" w:hAnsi="Times New Roman"/>
          <w:color w:val="000000" w:themeColor="text1"/>
          <w:lang w:val="en-GB"/>
        </w:rPr>
        <w:t>.</w:t>
      </w:r>
      <w:bookmarkEnd w:id="3"/>
      <w:bookmarkEnd w:id="5"/>
    </w:p>
    <w:sectPr w:rsidR="006F02F0" w:rsidRPr="006F02F0" w:rsidSect="00522A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CC9B6" w14:textId="77777777" w:rsidR="00890BC8" w:rsidRDefault="00890BC8" w:rsidP="00EB24E2">
      <w:r>
        <w:separator/>
      </w:r>
    </w:p>
  </w:endnote>
  <w:endnote w:type="continuationSeparator" w:id="0">
    <w:p w14:paraId="495E48D1" w14:textId="77777777" w:rsidR="00890BC8" w:rsidRDefault="00890BC8" w:rsidP="00EB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4920" w14:textId="77777777" w:rsidR="003831E1" w:rsidRDefault="00383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0CA6" w14:textId="77777777" w:rsidR="00EB24E2" w:rsidRDefault="00EB24E2">
    <w:pPr>
      <w:pStyle w:val="Footer"/>
    </w:pPr>
    <w:r>
      <w:tab/>
    </w:r>
    <w:r w:rsidR="003F7321">
      <w:fldChar w:fldCharType="begin"/>
    </w:r>
    <w:r w:rsidR="003F7321">
      <w:instrText xml:space="preserve"> PAGE   \* MERGEFORMAT </w:instrText>
    </w:r>
    <w:r w:rsidR="003F7321">
      <w:fldChar w:fldCharType="separate"/>
    </w:r>
    <w:r w:rsidR="00212B99">
      <w:rPr>
        <w:noProof/>
      </w:rPr>
      <w:t>3</w:t>
    </w:r>
    <w:r w:rsidR="003F7321">
      <w:rPr>
        <w:noProof/>
      </w:rPr>
      <w:fldChar w:fldCharType="end"/>
    </w:r>
  </w:p>
  <w:p w14:paraId="060406A3" w14:textId="77777777" w:rsidR="00EB24E2" w:rsidRDefault="00EB2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5A77" w14:textId="77777777" w:rsidR="003831E1" w:rsidRDefault="00383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4A81" w14:textId="77777777" w:rsidR="00890BC8" w:rsidRDefault="00890BC8" w:rsidP="00EB24E2">
      <w:r>
        <w:separator/>
      </w:r>
    </w:p>
  </w:footnote>
  <w:footnote w:type="continuationSeparator" w:id="0">
    <w:p w14:paraId="65AD45F1" w14:textId="77777777" w:rsidR="00890BC8" w:rsidRDefault="00890BC8" w:rsidP="00EB2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A520" w14:textId="77777777" w:rsidR="003831E1" w:rsidRDefault="003831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8A68" w14:textId="77777777" w:rsidR="003831E1" w:rsidRDefault="003831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1DA4E" w14:textId="77777777" w:rsidR="003831E1" w:rsidRDefault="003831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41A272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D2D23844"/>
    <w:lvl w:ilvl="0">
      <w:start w:val="1"/>
      <w:numFmt w:val="decimal"/>
      <w:pStyle w:val="Heading1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177300"/>
    <w:multiLevelType w:val="hybridMultilevel"/>
    <w:tmpl w:val="151AC542"/>
    <w:lvl w:ilvl="0" w:tplc="5FD60E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B1AD9"/>
    <w:multiLevelType w:val="hybridMultilevel"/>
    <w:tmpl w:val="5E8ED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2D42"/>
    <w:multiLevelType w:val="hybridMultilevel"/>
    <w:tmpl w:val="0D2C9EFE"/>
    <w:lvl w:ilvl="0" w:tplc="42D2D7D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2B5"/>
    <w:multiLevelType w:val="hybridMultilevel"/>
    <w:tmpl w:val="3392CC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6A4064"/>
    <w:multiLevelType w:val="hybridMultilevel"/>
    <w:tmpl w:val="F676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23252"/>
    <w:multiLevelType w:val="hybridMultilevel"/>
    <w:tmpl w:val="75DAC74E"/>
    <w:lvl w:ilvl="0" w:tplc="71A6739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D6BB2"/>
    <w:multiLevelType w:val="hybridMultilevel"/>
    <w:tmpl w:val="C2A27D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76C2B"/>
    <w:multiLevelType w:val="hybridMultilevel"/>
    <w:tmpl w:val="F2C61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66C7E"/>
    <w:multiLevelType w:val="hybridMultilevel"/>
    <w:tmpl w:val="BA1EADCC"/>
    <w:lvl w:ilvl="0" w:tplc="3AD08E46">
      <w:start w:val="1"/>
      <w:numFmt w:val="lowerLetter"/>
      <w:lvlText w:val="%1)"/>
      <w:lvlJc w:val="left"/>
      <w:pPr>
        <w:ind w:left="567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B3A6E"/>
    <w:multiLevelType w:val="hybridMultilevel"/>
    <w:tmpl w:val="8800F9D8"/>
    <w:lvl w:ilvl="0" w:tplc="6AC0DFEE">
      <w:start w:val="1"/>
      <w:numFmt w:val="decimal"/>
      <w:pStyle w:val="IGALLReferences"/>
      <w:lvlText w:val="[%1]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0"/>
        </w:tabs>
        <w:ind w:left="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420"/>
        </w:tabs>
        <w:ind w:left="4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1260"/>
        </w:tabs>
        <w:ind w:left="126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1680"/>
        </w:tabs>
        <w:ind w:left="16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2520"/>
        </w:tabs>
        <w:ind w:left="252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2940"/>
        </w:tabs>
        <w:ind w:left="2940" w:hanging="420"/>
      </w:pPr>
    </w:lvl>
  </w:abstractNum>
  <w:abstractNum w:abstractNumId="12" w15:restartNumberingAfterBreak="0">
    <w:nsid w:val="4B694998"/>
    <w:multiLevelType w:val="hybridMultilevel"/>
    <w:tmpl w:val="2390B5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272D8D"/>
    <w:multiLevelType w:val="hybridMultilevel"/>
    <w:tmpl w:val="903E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B5E3F"/>
    <w:multiLevelType w:val="hybridMultilevel"/>
    <w:tmpl w:val="B0EE382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ADD7F9B"/>
    <w:multiLevelType w:val="hybridMultilevel"/>
    <w:tmpl w:val="6CDCD1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B1D22"/>
    <w:multiLevelType w:val="hybridMultilevel"/>
    <w:tmpl w:val="A1888908"/>
    <w:lvl w:ilvl="0" w:tplc="715C59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029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8C0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22D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80A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FA65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4A9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2C1D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6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8106D"/>
    <w:multiLevelType w:val="hybridMultilevel"/>
    <w:tmpl w:val="C8B2DDF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86365"/>
    <w:multiLevelType w:val="hybridMultilevel"/>
    <w:tmpl w:val="43CC7FF4"/>
    <w:lvl w:ilvl="0" w:tplc="5B7E6E24">
      <w:start w:val="1"/>
      <w:numFmt w:val="decimal"/>
      <w:pStyle w:val="IGALLTitle3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70511A"/>
    <w:multiLevelType w:val="hybridMultilevel"/>
    <w:tmpl w:val="3828E944"/>
    <w:lvl w:ilvl="0" w:tplc="04070001">
      <w:start w:val="1"/>
      <w:numFmt w:val="bullet"/>
      <w:pStyle w:val="Body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8"/>
  </w:num>
  <w:num w:numId="7">
    <w:abstractNumId w:val="15"/>
  </w:num>
  <w:num w:numId="8">
    <w:abstractNumId w:val="11"/>
  </w:num>
  <w:num w:numId="9">
    <w:abstractNumId w:val="7"/>
  </w:num>
  <w:num w:numId="10">
    <w:abstractNumId w:val="18"/>
  </w:num>
  <w:num w:numId="11">
    <w:abstractNumId w:val="0"/>
  </w:num>
  <w:num w:numId="12">
    <w:abstractNumId w:val="16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3"/>
  </w:num>
  <w:num w:numId="17">
    <w:abstractNumId w:val="1"/>
  </w:num>
  <w:num w:numId="18">
    <w:abstractNumId w:val="14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8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1"/>
  </w:num>
  <w:num w:numId="30">
    <w:abstractNumId w:val="11"/>
  </w:num>
  <w:num w:numId="31">
    <w:abstractNumId w:val="4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DAC"/>
    <w:rsid w:val="000059A8"/>
    <w:rsid w:val="000204E5"/>
    <w:rsid w:val="00020EDB"/>
    <w:rsid w:val="0002141C"/>
    <w:rsid w:val="00027F5D"/>
    <w:rsid w:val="000332DC"/>
    <w:rsid w:val="00041CC6"/>
    <w:rsid w:val="00042487"/>
    <w:rsid w:val="0005276A"/>
    <w:rsid w:val="00062096"/>
    <w:rsid w:val="0006225C"/>
    <w:rsid w:val="00063566"/>
    <w:rsid w:val="00063F41"/>
    <w:rsid w:val="00064287"/>
    <w:rsid w:val="00066936"/>
    <w:rsid w:val="000669E8"/>
    <w:rsid w:val="00072018"/>
    <w:rsid w:val="00076473"/>
    <w:rsid w:val="00082EF8"/>
    <w:rsid w:val="00083493"/>
    <w:rsid w:val="0008459C"/>
    <w:rsid w:val="000854C3"/>
    <w:rsid w:val="000A052B"/>
    <w:rsid w:val="000A0B35"/>
    <w:rsid w:val="000A1A30"/>
    <w:rsid w:val="000C1FA9"/>
    <w:rsid w:val="000D0F16"/>
    <w:rsid w:val="000D241D"/>
    <w:rsid w:val="000D37DA"/>
    <w:rsid w:val="000D4F9B"/>
    <w:rsid w:val="000E3508"/>
    <w:rsid w:val="000F3B92"/>
    <w:rsid w:val="000F6197"/>
    <w:rsid w:val="000F71FF"/>
    <w:rsid w:val="00115C8A"/>
    <w:rsid w:val="001303B5"/>
    <w:rsid w:val="00132E00"/>
    <w:rsid w:val="00135E8C"/>
    <w:rsid w:val="00136145"/>
    <w:rsid w:val="00141063"/>
    <w:rsid w:val="0014452D"/>
    <w:rsid w:val="00147270"/>
    <w:rsid w:val="00152CC5"/>
    <w:rsid w:val="00157780"/>
    <w:rsid w:val="001628E4"/>
    <w:rsid w:val="00163C67"/>
    <w:rsid w:val="001649F0"/>
    <w:rsid w:val="0016551D"/>
    <w:rsid w:val="00171E6A"/>
    <w:rsid w:val="00173B62"/>
    <w:rsid w:val="0017466A"/>
    <w:rsid w:val="001749AD"/>
    <w:rsid w:val="00175B4C"/>
    <w:rsid w:val="00185FF3"/>
    <w:rsid w:val="0019115F"/>
    <w:rsid w:val="001921EA"/>
    <w:rsid w:val="00192A77"/>
    <w:rsid w:val="001A45EB"/>
    <w:rsid w:val="001B3E8E"/>
    <w:rsid w:val="001C3DAC"/>
    <w:rsid w:val="001D03CF"/>
    <w:rsid w:val="001D4DF6"/>
    <w:rsid w:val="001E3714"/>
    <w:rsid w:val="001E469B"/>
    <w:rsid w:val="001E5FF9"/>
    <w:rsid w:val="001E71CB"/>
    <w:rsid w:val="001F7853"/>
    <w:rsid w:val="00201A75"/>
    <w:rsid w:val="002107BF"/>
    <w:rsid w:val="00212B39"/>
    <w:rsid w:val="00212B99"/>
    <w:rsid w:val="0021344D"/>
    <w:rsid w:val="0021366D"/>
    <w:rsid w:val="00214C48"/>
    <w:rsid w:val="0021532D"/>
    <w:rsid w:val="00215E36"/>
    <w:rsid w:val="00216A02"/>
    <w:rsid w:val="0022177F"/>
    <w:rsid w:val="002230C0"/>
    <w:rsid w:val="002259A6"/>
    <w:rsid w:val="00232349"/>
    <w:rsid w:val="002371C7"/>
    <w:rsid w:val="002468F3"/>
    <w:rsid w:val="00247F44"/>
    <w:rsid w:val="00261784"/>
    <w:rsid w:val="002725B1"/>
    <w:rsid w:val="00272717"/>
    <w:rsid w:val="00276191"/>
    <w:rsid w:val="00276DDD"/>
    <w:rsid w:val="002867DC"/>
    <w:rsid w:val="00287625"/>
    <w:rsid w:val="002A12EB"/>
    <w:rsid w:val="002A346D"/>
    <w:rsid w:val="002B67DB"/>
    <w:rsid w:val="002C05B8"/>
    <w:rsid w:val="002C3645"/>
    <w:rsid w:val="002C4359"/>
    <w:rsid w:val="002D070E"/>
    <w:rsid w:val="002D0913"/>
    <w:rsid w:val="002E1F5E"/>
    <w:rsid w:val="002F6238"/>
    <w:rsid w:val="00301DAB"/>
    <w:rsid w:val="00303103"/>
    <w:rsid w:val="00314645"/>
    <w:rsid w:val="00315DC6"/>
    <w:rsid w:val="00322B3F"/>
    <w:rsid w:val="0033291D"/>
    <w:rsid w:val="00333228"/>
    <w:rsid w:val="00336079"/>
    <w:rsid w:val="00341CEB"/>
    <w:rsid w:val="0035054F"/>
    <w:rsid w:val="00351DF0"/>
    <w:rsid w:val="00352C37"/>
    <w:rsid w:val="00363788"/>
    <w:rsid w:val="00371E16"/>
    <w:rsid w:val="00372A99"/>
    <w:rsid w:val="00380DA6"/>
    <w:rsid w:val="00381237"/>
    <w:rsid w:val="003831E1"/>
    <w:rsid w:val="0038632E"/>
    <w:rsid w:val="003962A9"/>
    <w:rsid w:val="003A1297"/>
    <w:rsid w:val="003A7921"/>
    <w:rsid w:val="003B333C"/>
    <w:rsid w:val="003C320B"/>
    <w:rsid w:val="003C3309"/>
    <w:rsid w:val="003D0D23"/>
    <w:rsid w:val="003D5373"/>
    <w:rsid w:val="003D5B6B"/>
    <w:rsid w:val="003F20DD"/>
    <w:rsid w:val="003F5618"/>
    <w:rsid w:val="003F7321"/>
    <w:rsid w:val="00405650"/>
    <w:rsid w:val="00406852"/>
    <w:rsid w:val="00411B38"/>
    <w:rsid w:val="00420804"/>
    <w:rsid w:val="00421CBA"/>
    <w:rsid w:val="00424A30"/>
    <w:rsid w:val="00427791"/>
    <w:rsid w:val="00433FF6"/>
    <w:rsid w:val="00435001"/>
    <w:rsid w:val="004427AF"/>
    <w:rsid w:val="00454B6C"/>
    <w:rsid w:val="00461B92"/>
    <w:rsid w:val="00462F1E"/>
    <w:rsid w:val="004721A6"/>
    <w:rsid w:val="00472992"/>
    <w:rsid w:val="004819EB"/>
    <w:rsid w:val="004848EC"/>
    <w:rsid w:val="0049371D"/>
    <w:rsid w:val="00495A77"/>
    <w:rsid w:val="004A07E5"/>
    <w:rsid w:val="004A5B00"/>
    <w:rsid w:val="004A6F48"/>
    <w:rsid w:val="004A735D"/>
    <w:rsid w:val="004B76DE"/>
    <w:rsid w:val="004B7A5D"/>
    <w:rsid w:val="004C6CCB"/>
    <w:rsid w:val="004D4DF0"/>
    <w:rsid w:val="004E7C52"/>
    <w:rsid w:val="004F278C"/>
    <w:rsid w:val="004F2B05"/>
    <w:rsid w:val="004F53CB"/>
    <w:rsid w:val="004F63AA"/>
    <w:rsid w:val="0050083A"/>
    <w:rsid w:val="00506B2F"/>
    <w:rsid w:val="00506C20"/>
    <w:rsid w:val="00507B94"/>
    <w:rsid w:val="00520B56"/>
    <w:rsid w:val="005225C2"/>
    <w:rsid w:val="00522A8C"/>
    <w:rsid w:val="00531DAC"/>
    <w:rsid w:val="0053308E"/>
    <w:rsid w:val="00534150"/>
    <w:rsid w:val="005346F0"/>
    <w:rsid w:val="00543FBC"/>
    <w:rsid w:val="0055091E"/>
    <w:rsid w:val="00554582"/>
    <w:rsid w:val="005649C0"/>
    <w:rsid w:val="00567178"/>
    <w:rsid w:val="00572DBD"/>
    <w:rsid w:val="0057707E"/>
    <w:rsid w:val="005878F2"/>
    <w:rsid w:val="00596A54"/>
    <w:rsid w:val="005A084A"/>
    <w:rsid w:val="005B0149"/>
    <w:rsid w:val="005B39CC"/>
    <w:rsid w:val="005B74E0"/>
    <w:rsid w:val="005C43BF"/>
    <w:rsid w:val="005C6372"/>
    <w:rsid w:val="005D2897"/>
    <w:rsid w:val="005D5A45"/>
    <w:rsid w:val="005E1F23"/>
    <w:rsid w:val="005E2140"/>
    <w:rsid w:val="005E2628"/>
    <w:rsid w:val="005E3975"/>
    <w:rsid w:val="005E3DAC"/>
    <w:rsid w:val="005E77E6"/>
    <w:rsid w:val="005F059F"/>
    <w:rsid w:val="005F34A1"/>
    <w:rsid w:val="00603572"/>
    <w:rsid w:val="00610224"/>
    <w:rsid w:val="00613423"/>
    <w:rsid w:val="00615AC2"/>
    <w:rsid w:val="00616412"/>
    <w:rsid w:val="0063571C"/>
    <w:rsid w:val="006375E5"/>
    <w:rsid w:val="00653CF1"/>
    <w:rsid w:val="0065773E"/>
    <w:rsid w:val="00660D51"/>
    <w:rsid w:val="006620C6"/>
    <w:rsid w:val="0066359C"/>
    <w:rsid w:val="00685AF5"/>
    <w:rsid w:val="0069091B"/>
    <w:rsid w:val="006B02CC"/>
    <w:rsid w:val="006D058F"/>
    <w:rsid w:val="006D0D9E"/>
    <w:rsid w:val="006D27F7"/>
    <w:rsid w:val="006D6EDB"/>
    <w:rsid w:val="006E1CE8"/>
    <w:rsid w:val="006E7498"/>
    <w:rsid w:val="006F0231"/>
    <w:rsid w:val="006F02F0"/>
    <w:rsid w:val="006F3C2E"/>
    <w:rsid w:val="006F420F"/>
    <w:rsid w:val="006F5CE7"/>
    <w:rsid w:val="006F76B8"/>
    <w:rsid w:val="007007E4"/>
    <w:rsid w:val="007050AF"/>
    <w:rsid w:val="007116EB"/>
    <w:rsid w:val="00714736"/>
    <w:rsid w:val="00716117"/>
    <w:rsid w:val="00717929"/>
    <w:rsid w:val="007228B4"/>
    <w:rsid w:val="007414BA"/>
    <w:rsid w:val="00753BBF"/>
    <w:rsid w:val="0075692B"/>
    <w:rsid w:val="00761583"/>
    <w:rsid w:val="00771162"/>
    <w:rsid w:val="0077534C"/>
    <w:rsid w:val="00777621"/>
    <w:rsid w:val="00786BA7"/>
    <w:rsid w:val="00787B0B"/>
    <w:rsid w:val="007915C7"/>
    <w:rsid w:val="0079357A"/>
    <w:rsid w:val="00795F88"/>
    <w:rsid w:val="00796E24"/>
    <w:rsid w:val="007B4051"/>
    <w:rsid w:val="007C3D05"/>
    <w:rsid w:val="007C7D2B"/>
    <w:rsid w:val="007D7A20"/>
    <w:rsid w:val="007E0A79"/>
    <w:rsid w:val="007E2EDF"/>
    <w:rsid w:val="007E4087"/>
    <w:rsid w:val="007F1697"/>
    <w:rsid w:val="00800440"/>
    <w:rsid w:val="0081561F"/>
    <w:rsid w:val="00836E3D"/>
    <w:rsid w:val="008403D1"/>
    <w:rsid w:val="00842C37"/>
    <w:rsid w:val="00842E1D"/>
    <w:rsid w:val="00846B53"/>
    <w:rsid w:val="00854174"/>
    <w:rsid w:val="0086048D"/>
    <w:rsid w:val="00862FD7"/>
    <w:rsid w:val="00876B59"/>
    <w:rsid w:val="00881416"/>
    <w:rsid w:val="00881B27"/>
    <w:rsid w:val="00890BC8"/>
    <w:rsid w:val="008A1E71"/>
    <w:rsid w:val="008A2E26"/>
    <w:rsid w:val="008C04A6"/>
    <w:rsid w:val="008C1501"/>
    <w:rsid w:val="008C6EE6"/>
    <w:rsid w:val="008D027E"/>
    <w:rsid w:val="008D7F21"/>
    <w:rsid w:val="008E7D32"/>
    <w:rsid w:val="008F2915"/>
    <w:rsid w:val="008F5697"/>
    <w:rsid w:val="008F7B58"/>
    <w:rsid w:val="00901747"/>
    <w:rsid w:val="00901D0D"/>
    <w:rsid w:val="00902D5D"/>
    <w:rsid w:val="00903E41"/>
    <w:rsid w:val="00911C47"/>
    <w:rsid w:val="00913CD5"/>
    <w:rsid w:val="00925BEB"/>
    <w:rsid w:val="00926DF0"/>
    <w:rsid w:val="009309FC"/>
    <w:rsid w:val="009361DB"/>
    <w:rsid w:val="009505DD"/>
    <w:rsid w:val="0095238B"/>
    <w:rsid w:val="00952C0B"/>
    <w:rsid w:val="009622CC"/>
    <w:rsid w:val="00963423"/>
    <w:rsid w:val="00964EF3"/>
    <w:rsid w:val="009756E7"/>
    <w:rsid w:val="00981540"/>
    <w:rsid w:val="00981C08"/>
    <w:rsid w:val="00982750"/>
    <w:rsid w:val="0099149E"/>
    <w:rsid w:val="0099545F"/>
    <w:rsid w:val="009A0C05"/>
    <w:rsid w:val="009A61F0"/>
    <w:rsid w:val="009B0106"/>
    <w:rsid w:val="009B1C58"/>
    <w:rsid w:val="009B32F3"/>
    <w:rsid w:val="009B57FE"/>
    <w:rsid w:val="009B6754"/>
    <w:rsid w:val="009C2046"/>
    <w:rsid w:val="009D0ECF"/>
    <w:rsid w:val="009D5715"/>
    <w:rsid w:val="009E21CF"/>
    <w:rsid w:val="009E4771"/>
    <w:rsid w:val="009F5AA3"/>
    <w:rsid w:val="00A043BC"/>
    <w:rsid w:val="00A05E34"/>
    <w:rsid w:val="00A061BB"/>
    <w:rsid w:val="00A15A28"/>
    <w:rsid w:val="00A23E07"/>
    <w:rsid w:val="00A27DB1"/>
    <w:rsid w:val="00A30C95"/>
    <w:rsid w:val="00A32037"/>
    <w:rsid w:val="00A355F6"/>
    <w:rsid w:val="00A5494A"/>
    <w:rsid w:val="00A60E9E"/>
    <w:rsid w:val="00A61241"/>
    <w:rsid w:val="00A61D0F"/>
    <w:rsid w:val="00A644B6"/>
    <w:rsid w:val="00A73E83"/>
    <w:rsid w:val="00A85138"/>
    <w:rsid w:val="00A873D2"/>
    <w:rsid w:val="00A90BDE"/>
    <w:rsid w:val="00A93701"/>
    <w:rsid w:val="00A95E95"/>
    <w:rsid w:val="00A95EF8"/>
    <w:rsid w:val="00AA073F"/>
    <w:rsid w:val="00AA0DA7"/>
    <w:rsid w:val="00AA1CB0"/>
    <w:rsid w:val="00AA51A2"/>
    <w:rsid w:val="00AA7A93"/>
    <w:rsid w:val="00AB69FF"/>
    <w:rsid w:val="00AB6A2A"/>
    <w:rsid w:val="00AC075D"/>
    <w:rsid w:val="00AC5284"/>
    <w:rsid w:val="00AD00F4"/>
    <w:rsid w:val="00AD0B20"/>
    <w:rsid w:val="00AD6DDE"/>
    <w:rsid w:val="00AE3D74"/>
    <w:rsid w:val="00AE5157"/>
    <w:rsid w:val="00AF2171"/>
    <w:rsid w:val="00AF7C74"/>
    <w:rsid w:val="00B0081A"/>
    <w:rsid w:val="00B11494"/>
    <w:rsid w:val="00B12FA6"/>
    <w:rsid w:val="00B15DDB"/>
    <w:rsid w:val="00B168E6"/>
    <w:rsid w:val="00B2283C"/>
    <w:rsid w:val="00B242ED"/>
    <w:rsid w:val="00B36C6A"/>
    <w:rsid w:val="00B41AAC"/>
    <w:rsid w:val="00B4606B"/>
    <w:rsid w:val="00B6358D"/>
    <w:rsid w:val="00B6564E"/>
    <w:rsid w:val="00B82C94"/>
    <w:rsid w:val="00B8794D"/>
    <w:rsid w:val="00B92041"/>
    <w:rsid w:val="00B94AFD"/>
    <w:rsid w:val="00BA2AF3"/>
    <w:rsid w:val="00BB2609"/>
    <w:rsid w:val="00BB5BCE"/>
    <w:rsid w:val="00BC7F10"/>
    <w:rsid w:val="00BD59AA"/>
    <w:rsid w:val="00BE4425"/>
    <w:rsid w:val="00BE4835"/>
    <w:rsid w:val="00C071B2"/>
    <w:rsid w:val="00C110E8"/>
    <w:rsid w:val="00C133C7"/>
    <w:rsid w:val="00C214AE"/>
    <w:rsid w:val="00C2496E"/>
    <w:rsid w:val="00C25B09"/>
    <w:rsid w:val="00C34CD2"/>
    <w:rsid w:val="00C36A4B"/>
    <w:rsid w:val="00C42FED"/>
    <w:rsid w:val="00C43F5B"/>
    <w:rsid w:val="00C5431F"/>
    <w:rsid w:val="00C61849"/>
    <w:rsid w:val="00C66625"/>
    <w:rsid w:val="00C676D4"/>
    <w:rsid w:val="00C8366A"/>
    <w:rsid w:val="00C8575F"/>
    <w:rsid w:val="00C8609F"/>
    <w:rsid w:val="00CA3958"/>
    <w:rsid w:val="00CB3410"/>
    <w:rsid w:val="00CB4DCA"/>
    <w:rsid w:val="00CC1DD5"/>
    <w:rsid w:val="00CC202B"/>
    <w:rsid w:val="00CC5017"/>
    <w:rsid w:val="00CC581D"/>
    <w:rsid w:val="00CC6CFD"/>
    <w:rsid w:val="00CD3D4A"/>
    <w:rsid w:val="00CD4133"/>
    <w:rsid w:val="00CD45B6"/>
    <w:rsid w:val="00CD616A"/>
    <w:rsid w:val="00D05A2D"/>
    <w:rsid w:val="00D06868"/>
    <w:rsid w:val="00D15214"/>
    <w:rsid w:val="00D16BF6"/>
    <w:rsid w:val="00D17580"/>
    <w:rsid w:val="00D17D3B"/>
    <w:rsid w:val="00D22111"/>
    <w:rsid w:val="00D2732F"/>
    <w:rsid w:val="00D423B2"/>
    <w:rsid w:val="00D43017"/>
    <w:rsid w:val="00D4711C"/>
    <w:rsid w:val="00D56C76"/>
    <w:rsid w:val="00D8254E"/>
    <w:rsid w:val="00D87A8F"/>
    <w:rsid w:val="00DA2C45"/>
    <w:rsid w:val="00DB3822"/>
    <w:rsid w:val="00DB5F4C"/>
    <w:rsid w:val="00DB7BF6"/>
    <w:rsid w:val="00DC2DED"/>
    <w:rsid w:val="00DC6453"/>
    <w:rsid w:val="00DC6B4A"/>
    <w:rsid w:val="00DD5566"/>
    <w:rsid w:val="00DE705D"/>
    <w:rsid w:val="00DF3EF4"/>
    <w:rsid w:val="00DF6CAF"/>
    <w:rsid w:val="00E007B1"/>
    <w:rsid w:val="00E00DBA"/>
    <w:rsid w:val="00E0432F"/>
    <w:rsid w:val="00E0528F"/>
    <w:rsid w:val="00E05A83"/>
    <w:rsid w:val="00E11933"/>
    <w:rsid w:val="00E13A6B"/>
    <w:rsid w:val="00E21ED4"/>
    <w:rsid w:val="00E241FC"/>
    <w:rsid w:val="00E254FF"/>
    <w:rsid w:val="00E30172"/>
    <w:rsid w:val="00E309FB"/>
    <w:rsid w:val="00E5465C"/>
    <w:rsid w:val="00E57068"/>
    <w:rsid w:val="00E74991"/>
    <w:rsid w:val="00E75643"/>
    <w:rsid w:val="00E75789"/>
    <w:rsid w:val="00E77E78"/>
    <w:rsid w:val="00E8374A"/>
    <w:rsid w:val="00E844AC"/>
    <w:rsid w:val="00E93716"/>
    <w:rsid w:val="00E96588"/>
    <w:rsid w:val="00EA4CA5"/>
    <w:rsid w:val="00EA6804"/>
    <w:rsid w:val="00EB24E2"/>
    <w:rsid w:val="00EB3793"/>
    <w:rsid w:val="00F05A44"/>
    <w:rsid w:val="00F10D5C"/>
    <w:rsid w:val="00F218AB"/>
    <w:rsid w:val="00F270BE"/>
    <w:rsid w:val="00F27904"/>
    <w:rsid w:val="00F31C78"/>
    <w:rsid w:val="00F31D36"/>
    <w:rsid w:val="00F33153"/>
    <w:rsid w:val="00F4745B"/>
    <w:rsid w:val="00F47641"/>
    <w:rsid w:val="00F501A1"/>
    <w:rsid w:val="00F5717A"/>
    <w:rsid w:val="00F62DA3"/>
    <w:rsid w:val="00F8120E"/>
    <w:rsid w:val="00F90A24"/>
    <w:rsid w:val="00F912E6"/>
    <w:rsid w:val="00F927FC"/>
    <w:rsid w:val="00F96CE3"/>
    <w:rsid w:val="00FA2252"/>
    <w:rsid w:val="00FA27D0"/>
    <w:rsid w:val="00FB461F"/>
    <w:rsid w:val="00FC6541"/>
    <w:rsid w:val="00FD0156"/>
    <w:rsid w:val="00FE296F"/>
    <w:rsid w:val="00FF2237"/>
    <w:rsid w:val="00FF3147"/>
    <w:rsid w:val="00F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A52086"/>
  <w15:docId w15:val="{6433C7C4-B4D5-4A61-8B2D-9240F972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D2"/>
    <w:pPr>
      <w:widowControl w:val="0"/>
      <w:suppressAutoHyphens/>
      <w:spacing w:before="120" w:after="120"/>
      <w:jc w:val="both"/>
    </w:pPr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styleId="Heading1">
    <w:name w:val="heading 1"/>
    <w:aliases w:val="Edf Titre 1"/>
    <w:next w:val="Normal"/>
    <w:link w:val="Heading1Char"/>
    <w:qFormat/>
    <w:rsid w:val="000A1A30"/>
    <w:pPr>
      <w:keepNext/>
      <w:keepLines/>
      <w:widowControl w:val="0"/>
      <w:numPr>
        <w:numId w:val="17"/>
      </w:numPr>
      <w:tabs>
        <w:tab w:val="left" w:pos="1134"/>
      </w:tabs>
      <w:spacing w:before="240" w:after="180"/>
      <w:outlineLvl w:val="0"/>
    </w:pPr>
    <w:rPr>
      <w:rFonts w:ascii="Arial" w:eastAsia="Times New Roman" w:hAnsi="Arial"/>
      <w:b/>
      <w:kern w:val="28"/>
      <w:sz w:val="28"/>
      <w:szCs w:val="22"/>
      <w:lang w:val="fr-FR"/>
    </w:rPr>
  </w:style>
  <w:style w:type="paragraph" w:styleId="Heading2">
    <w:name w:val="heading 2"/>
    <w:aliases w:val="Edf Titre 2"/>
    <w:next w:val="Normal"/>
    <w:link w:val="Heading2Char"/>
    <w:qFormat/>
    <w:rsid w:val="000A1A30"/>
    <w:pPr>
      <w:keepNext/>
      <w:keepLines/>
      <w:widowControl w:val="0"/>
      <w:numPr>
        <w:ilvl w:val="1"/>
        <w:numId w:val="17"/>
      </w:numPr>
      <w:tabs>
        <w:tab w:val="left" w:pos="1134"/>
      </w:tabs>
      <w:spacing w:before="240" w:after="120"/>
      <w:outlineLvl w:val="1"/>
    </w:pPr>
    <w:rPr>
      <w:rFonts w:ascii="Arial" w:eastAsia="Times New Roman" w:hAnsi="Arial"/>
      <w:b/>
      <w:sz w:val="24"/>
      <w:szCs w:val="22"/>
      <w:lang w:val="fr-FR" w:eastAsia="fr-FR"/>
    </w:rPr>
  </w:style>
  <w:style w:type="paragraph" w:styleId="Heading3">
    <w:name w:val="heading 3"/>
    <w:aliases w:val="Edf Titre 3"/>
    <w:basedOn w:val="Heading2"/>
    <w:next w:val="Normal"/>
    <w:link w:val="Heading3Char"/>
    <w:uiPriority w:val="99"/>
    <w:qFormat/>
    <w:rsid w:val="000A1A30"/>
    <w:pPr>
      <w:numPr>
        <w:ilvl w:val="0"/>
        <w:numId w:val="0"/>
      </w:numPr>
      <w:outlineLvl w:val="2"/>
    </w:pPr>
    <w:rPr>
      <w:noProof/>
      <w:sz w:val="22"/>
    </w:rPr>
  </w:style>
  <w:style w:type="paragraph" w:styleId="Heading4">
    <w:name w:val="heading 4"/>
    <w:aliases w:val="Edf Titre 4"/>
    <w:basedOn w:val="Heading3"/>
    <w:next w:val="Normal"/>
    <w:link w:val="Heading4Char"/>
    <w:qFormat/>
    <w:rsid w:val="000A1A30"/>
    <w:pPr>
      <w:numPr>
        <w:ilvl w:val="3"/>
      </w:numPr>
      <w:outlineLvl w:val="3"/>
    </w:pPr>
    <w:rPr>
      <w:b w:val="0"/>
    </w:rPr>
  </w:style>
  <w:style w:type="paragraph" w:styleId="Heading5">
    <w:name w:val="heading 5"/>
    <w:aliases w:val="Edf Titre 5"/>
    <w:basedOn w:val="Heading4"/>
    <w:next w:val="Normal"/>
    <w:link w:val="Heading5Char"/>
    <w:qFormat/>
    <w:rsid w:val="000A1A30"/>
    <w:pPr>
      <w:numPr>
        <w:ilvl w:val="4"/>
      </w:numPr>
      <w:outlineLvl w:val="4"/>
    </w:pPr>
    <w:rPr>
      <w:b/>
    </w:rPr>
  </w:style>
  <w:style w:type="paragraph" w:styleId="Heading6">
    <w:name w:val="heading 6"/>
    <w:aliases w:val="Edf Titre 6"/>
    <w:basedOn w:val="Heading5"/>
    <w:next w:val="Normal"/>
    <w:link w:val="Heading6Char"/>
    <w:qFormat/>
    <w:rsid w:val="000A1A30"/>
    <w:pPr>
      <w:numPr>
        <w:ilvl w:val="5"/>
      </w:numPr>
      <w:outlineLvl w:val="5"/>
    </w:pPr>
    <w:rPr>
      <w:sz w:val="20"/>
    </w:rPr>
  </w:style>
  <w:style w:type="paragraph" w:styleId="Heading7">
    <w:name w:val="heading 7"/>
    <w:aliases w:val="Edf Titre 7"/>
    <w:basedOn w:val="Heading6"/>
    <w:next w:val="Normal"/>
    <w:link w:val="Heading7Char"/>
    <w:qFormat/>
    <w:rsid w:val="000A1A30"/>
    <w:pPr>
      <w:numPr>
        <w:ilvl w:val="6"/>
      </w:numPr>
      <w:outlineLvl w:val="6"/>
    </w:pPr>
  </w:style>
  <w:style w:type="paragraph" w:styleId="Heading8">
    <w:name w:val="heading 8"/>
    <w:aliases w:val="Edf Titre 8"/>
    <w:basedOn w:val="Heading7"/>
    <w:next w:val="Normal"/>
    <w:link w:val="Heading8Char"/>
    <w:qFormat/>
    <w:rsid w:val="000A1A30"/>
    <w:pPr>
      <w:numPr>
        <w:ilvl w:val="7"/>
      </w:numPr>
      <w:tabs>
        <w:tab w:val="left" w:pos="2087"/>
      </w:tabs>
      <w:outlineLvl w:val="7"/>
    </w:pPr>
    <w:rPr>
      <w:sz w:val="18"/>
    </w:rPr>
  </w:style>
  <w:style w:type="paragraph" w:styleId="Heading9">
    <w:name w:val="heading 9"/>
    <w:aliases w:val="Edf Titre 9"/>
    <w:basedOn w:val="Heading8"/>
    <w:next w:val="Normal"/>
    <w:link w:val="Heading9Char"/>
    <w:qFormat/>
    <w:rsid w:val="000A1A30"/>
    <w:pPr>
      <w:numPr>
        <w:ilvl w:val="8"/>
      </w:numPr>
      <w:tabs>
        <w:tab w:val="clear" w:pos="2087"/>
        <w:tab w:val="left" w:pos="226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3DAC"/>
  </w:style>
  <w:style w:type="character" w:customStyle="1" w:styleId="BodyTextChar">
    <w:name w:val="Body Text Char"/>
    <w:link w:val="BodyText"/>
    <w:rsid w:val="005E3DAC"/>
    <w:rPr>
      <w:rFonts w:ascii="Times New Roman" w:eastAsia="Arial Unicode MS" w:hAnsi="Times New Roman" w:cs="Times New Roman"/>
      <w:kern w:val="1"/>
      <w:sz w:val="24"/>
      <w:szCs w:val="24"/>
      <w:lang w:val="en-US" w:eastAsia="ar-SA"/>
    </w:rPr>
  </w:style>
  <w:style w:type="character" w:styleId="IntenseReference">
    <w:name w:val="Intense Reference"/>
    <w:uiPriority w:val="32"/>
    <w:qFormat/>
    <w:rsid w:val="005E3DAC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99"/>
    <w:qFormat/>
    <w:rsid w:val="005E3DAC"/>
    <w:pPr>
      <w:ind w:left="720"/>
      <w:contextualSpacing/>
    </w:pPr>
  </w:style>
  <w:style w:type="paragraph" w:customStyle="1" w:styleId="References">
    <w:name w:val="References"/>
    <w:basedOn w:val="Normal"/>
    <w:link w:val="ReferencesCar"/>
    <w:rsid w:val="005E3DAC"/>
    <w:pPr>
      <w:widowControl/>
      <w:suppressAutoHyphens w:val="0"/>
      <w:ind w:left="346" w:hanging="346"/>
    </w:pPr>
    <w:rPr>
      <w:rFonts w:ascii="Arial" w:eastAsia="MS Mincho" w:hAnsi="Arial"/>
      <w:kern w:val="0"/>
      <w:sz w:val="20"/>
      <w:szCs w:val="20"/>
    </w:rPr>
  </w:style>
  <w:style w:type="paragraph" w:customStyle="1" w:styleId="IGALLTitle1">
    <w:name w:val="IGALL Title 1"/>
    <w:basedOn w:val="Normal"/>
    <w:link w:val="IGALLTitle1Car"/>
    <w:qFormat/>
    <w:rsid w:val="00A873D2"/>
    <w:rPr>
      <w:b/>
      <w:bCs/>
      <w:lang w:val="en-GB"/>
    </w:rPr>
  </w:style>
  <w:style w:type="paragraph" w:customStyle="1" w:styleId="IGALLTitle2">
    <w:name w:val="IGALL Title 2"/>
    <w:basedOn w:val="Normal"/>
    <w:link w:val="IGALLTitle2Car"/>
    <w:qFormat/>
    <w:rsid w:val="005E3DAC"/>
    <w:rPr>
      <w:b/>
      <w:bCs/>
      <w:lang w:val="en-GB"/>
    </w:rPr>
  </w:style>
  <w:style w:type="character" w:customStyle="1" w:styleId="IGALLTitle1Car">
    <w:name w:val="IGALL Title 1 Car"/>
    <w:link w:val="IGALLTitle1"/>
    <w:rsid w:val="00A873D2"/>
    <w:rPr>
      <w:rFonts w:ascii="Times New Roman" w:eastAsia="Arial Unicode MS" w:hAnsi="Times New Roman"/>
      <w:b/>
      <w:bCs/>
      <w:kern w:val="1"/>
      <w:sz w:val="24"/>
      <w:szCs w:val="24"/>
      <w:lang w:val="en-GB" w:eastAsia="ar-SA"/>
    </w:rPr>
  </w:style>
  <w:style w:type="paragraph" w:customStyle="1" w:styleId="IGALLTitle3">
    <w:name w:val="IGALL Title 3"/>
    <w:basedOn w:val="Normal"/>
    <w:link w:val="IGALLTitle3Car"/>
    <w:qFormat/>
    <w:rsid w:val="00A873D2"/>
    <w:pPr>
      <w:numPr>
        <w:numId w:val="10"/>
      </w:numPr>
    </w:pPr>
    <w:rPr>
      <w:b/>
      <w:bCs/>
      <w:lang w:val="en-GB"/>
    </w:rPr>
  </w:style>
  <w:style w:type="character" w:customStyle="1" w:styleId="IGALLTitle2Car">
    <w:name w:val="IGALL Title 2 Car"/>
    <w:link w:val="IGALLTitle2"/>
    <w:rsid w:val="005E3DAC"/>
    <w:rPr>
      <w:rFonts w:ascii="Times New Roman" w:eastAsia="Arial Unicode MS" w:hAnsi="Times New Roman" w:cs="Times New Roman"/>
      <w:b/>
      <w:bCs/>
      <w:kern w:val="1"/>
      <w:sz w:val="24"/>
      <w:szCs w:val="24"/>
      <w:lang w:val="en-GB" w:eastAsia="ar-SA"/>
    </w:rPr>
  </w:style>
  <w:style w:type="paragraph" w:customStyle="1" w:styleId="IGALLReferencesTitle">
    <w:name w:val="IGALL References Title"/>
    <w:basedOn w:val="Normal"/>
    <w:link w:val="IGALLReferencesTitleCar"/>
    <w:qFormat/>
    <w:rsid w:val="00AE3D74"/>
    <w:rPr>
      <w:b/>
      <w:bCs/>
      <w:lang w:val="en-GB"/>
    </w:rPr>
  </w:style>
  <w:style w:type="character" w:customStyle="1" w:styleId="IGALLTitle3Car">
    <w:name w:val="IGALL Title 3 Car"/>
    <w:link w:val="IGALLTitle3"/>
    <w:rsid w:val="00A873D2"/>
    <w:rPr>
      <w:rFonts w:ascii="Times New Roman" w:eastAsia="Arial Unicode MS" w:hAnsi="Times New Roman"/>
      <w:b/>
      <w:bCs/>
      <w:kern w:val="1"/>
      <w:sz w:val="24"/>
      <w:szCs w:val="24"/>
      <w:lang w:val="en-GB" w:eastAsia="ar-SA"/>
    </w:rPr>
  </w:style>
  <w:style w:type="paragraph" w:customStyle="1" w:styleId="IGALLReferences">
    <w:name w:val="IGALL References"/>
    <w:basedOn w:val="References"/>
    <w:link w:val="IGALLReferencesCar"/>
    <w:qFormat/>
    <w:rsid w:val="00AE3D74"/>
    <w:pPr>
      <w:numPr>
        <w:numId w:val="8"/>
      </w:numPr>
    </w:pPr>
    <w:rPr>
      <w:sz w:val="24"/>
    </w:rPr>
  </w:style>
  <w:style w:type="character" w:customStyle="1" w:styleId="IGALLReferencesTitleCar">
    <w:name w:val="IGALL References Title Car"/>
    <w:link w:val="IGALLReferencesTitle"/>
    <w:rsid w:val="00AE3D74"/>
    <w:rPr>
      <w:rFonts w:ascii="Times New Roman" w:eastAsia="Arial Unicode MS" w:hAnsi="Times New Roman"/>
      <w:b/>
      <w:bCs/>
      <w:kern w:val="1"/>
      <w:sz w:val="24"/>
      <w:szCs w:val="24"/>
      <w:lang w:val="en-GB" w:eastAsia="ar-SA"/>
    </w:rPr>
  </w:style>
  <w:style w:type="character" w:customStyle="1" w:styleId="ReferencesCar">
    <w:name w:val="References Car"/>
    <w:link w:val="References"/>
    <w:rsid w:val="00EB3793"/>
    <w:rPr>
      <w:rFonts w:ascii="Arial" w:eastAsia="MS Mincho" w:hAnsi="Arial" w:cs="Arial"/>
      <w:szCs w:val="20"/>
      <w:lang w:val="en-US"/>
    </w:rPr>
  </w:style>
  <w:style w:type="character" w:customStyle="1" w:styleId="IGALLReferencesCar">
    <w:name w:val="IGALL References Car"/>
    <w:link w:val="IGALLReferences"/>
    <w:rsid w:val="00AE3D74"/>
    <w:rPr>
      <w:rFonts w:ascii="Arial" w:eastAsia="MS Mincho" w:hAnsi="Arial"/>
      <w:sz w:val="24"/>
      <w:lang w:val="en-US" w:eastAsia="ar-SA"/>
    </w:rPr>
  </w:style>
  <w:style w:type="paragraph" w:customStyle="1" w:styleId="Body">
    <w:name w:val="Body"/>
    <w:basedOn w:val="Normal"/>
    <w:link w:val="BodyChar"/>
    <w:rsid w:val="00952C0B"/>
    <w:pPr>
      <w:widowControl/>
      <w:numPr>
        <w:numId w:val="3"/>
      </w:numPr>
      <w:suppressAutoHyphens w:val="0"/>
      <w:ind w:left="0" w:firstLine="0"/>
    </w:pPr>
    <w:rPr>
      <w:rFonts w:ascii="Arial" w:eastAsia="MS Mincho" w:hAnsi="Arial"/>
      <w:kern w:val="0"/>
      <w:sz w:val="20"/>
      <w:szCs w:val="20"/>
    </w:rPr>
  </w:style>
  <w:style w:type="character" w:customStyle="1" w:styleId="BodyChar">
    <w:name w:val="Body Char"/>
    <w:link w:val="Body"/>
    <w:locked/>
    <w:rsid w:val="00952C0B"/>
    <w:rPr>
      <w:rFonts w:ascii="Arial" w:eastAsia="MS Mincho" w:hAnsi="Arial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C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0ECF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EB24E2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EB24E2"/>
    <w:rPr>
      <w:rFonts w:ascii="Arial" w:eastAsia="Arial Unicode MS" w:hAnsi="Arial" w:cs="Times New Roman"/>
      <w:kern w:val="1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EB24E2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rsid w:val="00EB24E2"/>
    <w:rPr>
      <w:rFonts w:ascii="Arial" w:eastAsia="Arial Unicode MS" w:hAnsi="Arial" w:cs="Times New Roman"/>
      <w:kern w:val="1"/>
      <w:szCs w:val="24"/>
      <w:lang w:val="en-US" w:eastAsia="ar-SA"/>
    </w:rPr>
  </w:style>
  <w:style w:type="character" w:styleId="CommentReference">
    <w:name w:val="annotation reference"/>
    <w:uiPriority w:val="99"/>
    <w:semiHidden/>
    <w:unhideWhenUsed/>
    <w:rsid w:val="00534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150"/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534150"/>
    <w:rPr>
      <w:rFonts w:ascii="Arial" w:eastAsia="Arial Unicode MS" w:hAnsi="Arial"/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15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34150"/>
    <w:rPr>
      <w:rFonts w:ascii="Arial" w:eastAsia="Arial Unicode MS" w:hAnsi="Arial"/>
      <w:b/>
      <w:bCs/>
      <w:kern w:val="1"/>
      <w:lang w:eastAsia="ar-SA"/>
    </w:rPr>
  </w:style>
  <w:style w:type="character" w:customStyle="1" w:styleId="Heading1Char">
    <w:name w:val="Heading 1 Char"/>
    <w:aliases w:val="Edf Titre 1 Char"/>
    <w:link w:val="Heading1"/>
    <w:rsid w:val="000A1A30"/>
    <w:rPr>
      <w:rFonts w:ascii="Arial" w:eastAsia="Times New Roman" w:hAnsi="Arial"/>
      <w:b/>
      <w:kern w:val="28"/>
      <w:sz w:val="28"/>
      <w:szCs w:val="22"/>
      <w:lang w:eastAsia="en-US"/>
    </w:rPr>
  </w:style>
  <w:style w:type="character" w:customStyle="1" w:styleId="Heading2Char">
    <w:name w:val="Heading 2 Char"/>
    <w:aliases w:val="Edf Titre 2 Char"/>
    <w:link w:val="Heading2"/>
    <w:rsid w:val="000A1A30"/>
    <w:rPr>
      <w:rFonts w:ascii="Arial" w:eastAsia="Times New Roman" w:hAnsi="Arial"/>
      <w:b/>
      <w:sz w:val="24"/>
      <w:szCs w:val="22"/>
    </w:rPr>
  </w:style>
  <w:style w:type="character" w:customStyle="1" w:styleId="Heading3Char">
    <w:name w:val="Heading 3 Char"/>
    <w:aliases w:val="Edf Titre 3 Char"/>
    <w:link w:val="Heading3"/>
    <w:uiPriority w:val="99"/>
    <w:rsid w:val="000A1A30"/>
    <w:rPr>
      <w:rFonts w:ascii="Arial" w:eastAsia="Times New Roman" w:hAnsi="Arial"/>
      <w:b/>
      <w:noProof/>
      <w:sz w:val="22"/>
      <w:szCs w:val="22"/>
    </w:rPr>
  </w:style>
  <w:style w:type="character" w:customStyle="1" w:styleId="Heading4Char">
    <w:name w:val="Heading 4 Char"/>
    <w:aliases w:val="Edf Titre 4 Char"/>
    <w:link w:val="Heading4"/>
    <w:rsid w:val="000A1A30"/>
    <w:rPr>
      <w:rFonts w:ascii="Arial" w:eastAsia="Times New Roman" w:hAnsi="Arial"/>
      <w:noProof/>
      <w:sz w:val="22"/>
      <w:szCs w:val="22"/>
    </w:rPr>
  </w:style>
  <w:style w:type="character" w:customStyle="1" w:styleId="Heading5Char">
    <w:name w:val="Heading 5 Char"/>
    <w:aliases w:val="Edf Titre 5 Char"/>
    <w:link w:val="Heading5"/>
    <w:rsid w:val="000A1A30"/>
    <w:rPr>
      <w:rFonts w:ascii="Arial" w:eastAsia="Times New Roman" w:hAnsi="Arial"/>
      <w:b/>
      <w:noProof/>
      <w:sz w:val="22"/>
      <w:szCs w:val="22"/>
    </w:rPr>
  </w:style>
  <w:style w:type="character" w:customStyle="1" w:styleId="Heading6Char">
    <w:name w:val="Heading 6 Char"/>
    <w:aliases w:val="Edf Titre 6 Char"/>
    <w:link w:val="Heading6"/>
    <w:rsid w:val="000A1A30"/>
    <w:rPr>
      <w:rFonts w:ascii="Arial" w:eastAsia="Times New Roman" w:hAnsi="Arial"/>
      <w:b/>
      <w:noProof/>
      <w:szCs w:val="22"/>
    </w:rPr>
  </w:style>
  <w:style w:type="character" w:customStyle="1" w:styleId="Heading7Char">
    <w:name w:val="Heading 7 Char"/>
    <w:aliases w:val="Edf Titre 7 Char"/>
    <w:link w:val="Heading7"/>
    <w:rsid w:val="000A1A30"/>
    <w:rPr>
      <w:rFonts w:ascii="Arial" w:eastAsia="Times New Roman" w:hAnsi="Arial"/>
      <w:b/>
      <w:noProof/>
      <w:szCs w:val="22"/>
    </w:rPr>
  </w:style>
  <w:style w:type="character" w:customStyle="1" w:styleId="Heading8Char">
    <w:name w:val="Heading 8 Char"/>
    <w:aliases w:val="Edf Titre 8 Char"/>
    <w:link w:val="Heading8"/>
    <w:rsid w:val="000A1A30"/>
    <w:rPr>
      <w:rFonts w:ascii="Arial" w:eastAsia="Times New Roman" w:hAnsi="Arial"/>
      <w:b/>
      <w:noProof/>
      <w:sz w:val="18"/>
      <w:szCs w:val="22"/>
    </w:rPr>
  </w:style>
  <w:style w:type="character" w:customStyle="1" w:styleId="Heading9Char">
    <w:name w:val="Heading 9 Char"/>
    <w:aliases w:val="Edf Titre 9 Char"/>
    <w:link w:val="Heading9"/>
    <w:rsid w:val="000A1A30"/>
    <w:rPr>
      <w:rFonts w:ascii="Arial" w:eastAsia="Times New Roman" w:hAnsi="Arial"/>
      <w:b/>
      <w:noProof/>
      <w:sz w:val="18"/>
      <w:szCs w:val="22"/>
    </w:rPr>
  </w:style>
  <w:style w:type="paragraph" w:styleId="Revision">
    <w:name w:val="Revision"/>
    <w:hidden/>
    <w:uiPriority w:val="99"/>
    <w:semiHidden/>
    <w:rsid w:val="00F927FC"/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customStyle="1" w:styleId="EdfParagraphe">
    <w:name w:val="Edf Paragraphe"/>
    <w:basedOn w:val="Normal"/>
    <w:qFormat/>
    <w:rsid w:val="00C8575F"/>
    <w:pPr>
      <w:keepLines/>
      <w:widowControl/>
      <w:suppressAutoHyphens w:val="0"/>
      <w:spacing w:before="0"/>
      <w:ind w:left="284"/>
    </w:pPr>
    <w:rPr>
      <w:rFonts w:ascii="Arial" w:eastAsia="Times New Roman" w:hAnsi="Arial"/>
      <w:kern w:val="0"/>
      <w:sz w:val="20"/>
      <w:szCs w:val="22"/>
      <w:lang w:val="fr-FR" w:eastAsia="fr-FR"/>
    </w:rPr>
  </w:style>
  <w:style w:type="paragraph" w:customStyle="1" w:styleId="BodyNumbered">
    <w:name w:val="Body Numbered"/>
    <w:basedOn w:val="Normal"/>
    <w:link w:val="BodyNumberedChar"/>
    <w:uiPriority w:val="99"/>
    <w:rsid w:val="002107BF"/>
    <w:pPr>
      <w:widowControl/>
      <w:tabs>
        <w:tab w:val="num" w:pos="432"/>
      </w:tabs>
      <w:suppressAutoHyphens w:val="0"/>
      <w:ind w:left="432" w:hanging="432"/>
      <w:jc w:val="left"/>
    </w:pPr>
    <w:rPr>
      <w:rFonts w:ascii="Arial" w:eastAsia="Times New Roman" w:hAnsi="Arial"/>
      <w:kern w:val="0"/>
      <w:sz w:val="22"/>
      <w:szCs w:val="20"/>
      <w:lang w:eastAsia="en-US"/>
    </w:rPr>
  </w:style>
  <w:style w:type="character" w:customStyle="1" w:styleId="BodyNumberedChar">
    <w:name w:val="Body Numbered Char"/>
    <w:link w:val="BodyNumbered"/>
    <w:uiPriority w:val="99"/>
    <w:locked/>
    <w:rsid w:val="002107BF"/>
    <w:rPr>
      <w:rFonts w:ascii="Arial" w:eastAsia="Times New Roman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982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RIBulletedList">
    <w:name w:val="EPRI Bulleted List"/>
    <w:autoRedefine/>
    <w:rsid w:val="0081561F"/>
    <w:pPr>
      <w:tabs>
        <w:tab w:val="left" w:pos="0"/>
      </w:tabs>
    </w:pPr>
    <w:rPr>
      <w:rFonts w:ascii="Arial" w:eastAsia="Times New Roman" w:hAnsi="Arial" w:cs="Arial"/>
      <w:color w:val="FF0000"/>
    </w:rPr>
  </w:style>
  <w:style w:type="character" w:customStyle="1" w:styleId="jlqj4b">
    <w:name w:val="jlqj4b"/>
    <w:basedOn w:val="DefaultParagraphFont"/>
    <w:rsid w:val="00C25B09"/>
  </w:style>
  <w:style w:type="paragraph" w:styleId="Caption">
    <w:name w:val="caption"/>
    <w:basedOn w:val="Normal"/>
    <w:next w:val="Normal"/>
    <w:uiPriority w:val="35"/>
    <w:unhideWhenUsed/>
    <w:qFormat/>
    <w:rsid w:val="004A5B00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214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ntns:customXsn xmlns:ntns="http://schemas.microsoft.com/office/2006/metadata/customXsn">
  <ntns:xsnLocation>http://gnssn.iaea.org/sites/auth/_cts/Document/1309463d9eea164dcustomXsn.xsn</ntns:xsnLocation>
  <ntns:cached>False</ntns:cached>
  <ntns:openByDefault>False</ntns:openByDefault>
  <ntns:xsnScope>http://gnssn.iaea.org/sites/auth</ntns:xsnScope>
</ntns: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CA7C15B08304CAE7CEE9FF3F09770" ma:contentTypeVersion="0" ma:contentTypeDescription="Create a new document." ma:contentTypeScope="" ma:versionID="6d211cbe4ebc9cf650678beb2321c3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26B15-DFFD-418F-8D89-9900ECF2CA98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8413089-4D6A-459D-9C68-FCBDF53DD69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3423A398-028A-444F-A9E2-D33C5E507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3F33E8-3A02-47DA-A908-22C1ED6E3A9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3776AD-2833-45F8-8236-7E68B546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14" baseType="variant">
      <vt:variant>
        <vt:lpstr>Titre</vt:lpstr>
      </vt:variant>
      <vt:variant>
        <vt:i4>1</vt:i4>
      </vt:variant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제목</vt:lpstr>
      </vt:variant>
      <vt:variant>
        <vt:i4>1</vt:i4>
      </vt:variant>
      <vt:variant>
        <vt:lpstr>Název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7" baseType="lpstr">
      <vt:lpstr/>
      <vt:lpstr/>
      <vt:lpstr/>
      <vt:lpstr/>
      <vt:lpstr/>
      <vt:lpstr/>
      <vt:lpstr/>
    </vt:vector>
  </TitlesOfParts>
  <Company>IBERDROLA S.A.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PETOFI, Gabor</cp:lastModifiedBy>
  <cp:revision>5</cp:revision>
  <cp:lastPrinted>2016-09-12T15:59:00Z</cp:lastPrinted>
  <dcterms:created xsi:type="dcterms:W3CDTF">2021-08-06T14:49:00Z</dcterms:created>
  <dcterms:modified xsi:type="dcterms:W3CDTF">2022-01-20T15:24:00Z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