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8956" w14:textId="5FD970CB" w:rsidR="00313568" w:rsidRPr="00F27EBE" w:rsidRDefault="00313568" w:rsidP="00486E85">
      <w:pPr>
        <w:tabs>
          <w:tab w:val="left" w:pos="1134"/>
        </w:tabs>
        <w:spacing w:before="120" w:after="120"/>
        <w:jc w:val="left"/>
        <w:rPr>
          <w:rFonts w:ascii="Times New Roman" w:hAnsi="Times New Roman"/>
          <w:b/>
          <w:color w:val="FF0000"/>
          <w:lang w:val="fr-FR"/>
        </w:rPr>
      </w:pPr>
      <w:r w:rsidRPr="00F27EBE">
        <w:rPr>
          <w:rFonts w:ascii="Times New Roman" w:hAnsi="Times New Roman"/>
          <w:b/>
          <w:color w:val="FF0000"/>
          <w:lang w:val="fr-FR"/>
        </w:rPr>
        <w:t>AMP</w:t>
      </w:r>
      <w:r w:rsidR="00501E97" w:rsidRPr="00F27EBE">
        <w:rPr>
          <w:rFonts w:ascii="Times New Roman" w:hAnsi="Times New Roman"/>
          <w:b/>
          <w:color w:val="FF0000"/>
          <w:lang w:val="fr-FR"/>
        </w:rPr>
        <w:t xml:space="preserve"> </w:t>
      </w:r>
      <w:r w:rsidR="001F3407" w:rsidRPr="00F27EBE">
        <w:rPr>
          <w:rFonts w:ascii="Times New Roman" w:hAnsi="Times New Roman"/>
          <w:b/>
          <w:color w:val="FF0000"/>
          <w:lang w:val="fr-FR"/>
        </w:rPr>
        <w:t>310</w:t>
      </w:r>
      <w:r w:rsidR="001F3407" w:rsidRPr="00F27EBE">
        <w:rPr>
          <w:rFonts w:ascii="Times New Roman" w:hAnsi="Times New Roman"/>
          <w:b/>
          <w:color w:val="FF0000"/>
          <w:lang w:val="fr-FR"/>
        </w:rPr>
        <w:tab/>
      </w:r>
      <w:r w:rsidRPr="00F27EBE">
        <w:rPr>
          <w:rFonts w:ascii="Times New Roman" w:hAnsi="Times New Roman"/>
          <w:b/>
          <w:color w:val="FF0000"/>
          <w:lang w:val="fr-FR"/>
        </w:rPr>
        <w:t xml:space="preserve">GROUND </w:t>
      </w:r>
      <w:r w:rsidR="00772617" w:rsidRPr="00F27EBE">
        <w:rPr>
          <w:rFonts w:ascii="Times New Roman" w:hAnsi="Times New Roman"/>
          <w:b/>
          <w:color w:val="FF0000"/>
          <w:lang w:val="fr-FR"/>
        </w:rPr>
        <w:t>MOVEMENT DUE</w:t>
      </w:r>
      <w:r w:rsidR="000B0E2D" w:rsidRPr="00F27EBE">
        <w:rPr>
          <w:rFonts w:ascii="Times New Roman" w:hAnsi="Times New Roman"/>
          <w:b/>
          <w:color w:val="FF0000"/>
          <w:lang w:val="fr-FR"/>
        </w:rPr>
        <w:t xml:space="preserve"> TO EXPANSIVE </w:t>
      </w:r>
      <w:r w:rsidR="00F27EBE" w:rsidRPr="00F27EBE">
        <w:rPr>
          <w:rFonts w:ascii="Times New Roman" w:hAnsi="Times New Roman"/>
          <w:b/>
          <w:color w:val="FF0000"/>
          <w:lang w:val="fr-FR"/>
        </w:rPr>
        <w:t>SOILS (</w:t>
      </w:r>
      <w:r w:rsidR="005C1F23" w:rsidRPr="00F27EBE">
        <w:rPr>
          <w:rFonts w:ascii="Times New Roman" w:hAnsi="Times New Roman"/>
          <w:b/>
          <w:color w:val="FF0000"/>
          <w:lang w:val="fr-FR"/>
        </w:rPr>
        <w:t xml:space="preserve">VERSION </w:t>
      </w:r>
      <w:r w:rsidR="0039453E" w:rsidRPr="00F27EBE">
        <w:rPr>
          <w:rFonts w:ascii="Times New Roman" w:hAnsi="Times New Roman"/>
          <w:b/>
          <w:color w:val="FF0000"/>
          <w:lang w:val="fr-FR"/>
        </w:rPr>
        <w:t>2021</w:t>
      </w:r>
      <w:r w:rsidR="005C1F23" w:rsidRPr="00F27EBE">
        <w:rPr>
          <w:rFonts w:ascii="Times New Roman" w:hAnsi="Times New Roman"/>
          <w:b/>
          <w:color w:val="FF0000"/>
          <w:lang w:val="fr-FR"/>
        </w:rPr>
        <w:t>)</w:t>
      </w:r>
    </w:p>
    <w:p w14:paraId="384E8957" w14:textId="77777777" w:rsidR="0098563D" w:rsidRPr="006A78F4" w:rsidRDefault="0098563D" w:rsidP="00486E85">
      <w:pPr>
        <w:tabs>
          <w:tab w:val="left" w:pos="1134"/>
        </w:tabs>
        <w:spacing w:before="120" w:after="120"/>
        <w:jc w:val="left"/>
        <w:rPr>
          <w:rFonts w:ascii="Times New Roman" w:hAnsi="Times New Roman"/>
          <w:lang w:val="fr-FR"/>
        </w:rPr>
      </w:pPr>
    </w:p>
    <w:p w14:paraId="384E8958" w14:textId="77777777" w:rsidR="00313568" w:rsidRPr="006A78F4" w:rsidRDefault="003D42A6" w:rsidP="00486E85">
      <w:pPr>
        <w:spacing w:before="120" w:after="120"/>
        <w:jc w:val="left"/>
        <w:rPr>
          <w:rFonts w:ascii="Times New Roman" w:hAnsi="Times New Roman"/>
          <w:b/>
          <w:lang w:val="fr-FR"/>
        </w:rPr>
      </w:pPr>
      <w:r w:rsidRPr="006A78F4">
        <w:rPr>
          <w:rFonts w:ascii="Times New Roman" w:hAnsi="Times New Roman"/>
          <w:b/>
          <w:lang w:val="fr-FR"/>
        </w:rPr>
        <w:t>Programme</w:t>
      </w:r>
      <w:r w:rsidR="00313568" w:rsidRPr="006A78F4">
        <w:rPr>
          <w:rFonts w:ascii="Times New Roman" w:hAnsi="Times New Roman"/>
          <w:b/>
          <w:lang w:val="fr-FR"/>
        </w:rPr>
        <w:t xml:space="preserve"> </w:t>
      </w:r>
      <w:r w:rsidR="00FD0064" w:rsidRPr="006A78F4">
        <w:rPr>
          <w:rFonts w:ascii="Times New Roman" w:hAnsi="Times New Roman"/>
          <w:b/>
          <w:lang w:val="fr-FR"/>
        </w:rPr>
        <w:t>D</w:t>
      </w:r>
      <w:r w:rsidR="00313568" w:rsidRPr="006A78F4">
        <w:rPr>
          <w:rFonts w:ascii="Times New Roman" w:hAnsi="Times New Roman"/>
          <w:b/>
          <w:lang w:val="fr-FR"/>
        </w:rPr>
        <w:t>escription</w:t>
      </w:r>
    </w:p>
    <w:p w14:paraId="384E8959" w14:textId="1F6220B9" w:rsidR="00313568" w:rsidRPr="00F27EBE" w:rsidRDefault="00D64544" w:rsidP="00486E85">
      <w:pPr>
        <w:spacing w:before="120" w:after="120"/>
        <w:rPr>
          <w:rFonts w:ascii="Times New Roman" w:hAnsi="Times New Roman"/>
          <w:color w:val="FF0000"/>
        </w:rPr>
      </w:pPr>
      <w:r w:rsidRPr="00F27EBE">
        <w:rPr>
          <w:rFonts w:ascii="Times New Roman" w:hAnsi="Times New Roman"/>
          <w:color w:val="FF0000"/>
        </w:rPr>
        <w:t>This AMP applies to g</w:t>
      </w:r>
      <w:r w:rsidR="00313568" w:rsidRPr="00F27EBE">
        <w:rPr>
          <w:rFonts w:ascii="Times New Roman" w:hAnsi="Times New Roman"/>
          <w:color w:val="FF0000"/>
        </w:rPr>
        <w:t xml:space="preserve">round </w:t>
      </w:r>
      <w:r w:rsidR="006B793E" w:rsidRPr="00F27EBE">
        <w:rPr>
          <w:rFonts w:ascii="Times New Roman" w:hAnsi="Times New Roman"/>
          <w:color w:val="FF0000"/>
        </w:rPr>
        <w:t xml:space="preserve">movement </w:t>
      </w:r>
      <w:r w:rsidR="00313568" w:rsidRPr="00F27EBE">
        <w:rPr>
          <w:rFonts w:ascii="Times New Roman" w:hAnsi="Times New Roman"/>
          <w:color w:val="FF0000"/>
        </w:rPr>
        <w:t>phenomen</w:t>
      </w:r>
      <w:r w:rsidR="006B793E" w:rsidRPr="00F27EBE">
        <w:rPr>
          <w:rFonts w:ascii="Times New Roman" w:hAnsi="Times New Roman"/>
          <w:color w:val="FF0000"/>
        </w:rPr>
        <w:t>a</w:t>
      </w:r>
      <w:r w:rsidR="00313568" w:rsidRPr="00F27EBE">
        <w:rPr>
          <w:rFonts w:ascii="Times New Roman" w:hAnsi="Times New Roman"/>
          <w:color w:val="FF0000"/>
        </w:rPr>
        <w:t xml:space="preserve"> </w:t>
      </w:r>
      <w:r w:rsidR="00D87392" w:rsidRPr="00F27EBE">
        <w:rPr>
          <w:rFonts w:ascii="Times New Roman" w:hAnsi="Times New Roman"/>
          <w:color w:val="FF0000"/>
        </w:rPr>
        <w:t xml:space="preserve">generated by the volumetric expansion of expansive soils [1], </w:t>
      </w:r>
      <w:r w:rsidRPr="00F27EBE">
        <w:rPr>
          <w:rFonts w:ascii="Times New Roman" w:hAnsi="Times New Roman"/>
          <w:color w:val="FF0000"/>
        </w:rPr>
        <w:t>which may</w:t>
      </w:r>
      <w:r w:rsidR="00D87392" w:rsidRPr="00F27EBE">
        <w:rPr>
          <w:rFonts w:ascii="Times New Roman" w:hAnsi="Times New Roman"/>
          <w:color w:val="FF0000"/>
        </w:rPr>
        <w:t xml:space="preserve"> affect</w:t>
      </w:r>
      <w:r w:rsidR="00313568" w:rsidRPr="00F27EBE">
        <w:rPr>
          <w:rFonts w:ascii="Times New Roman" w:hAnsi="Times New Roman"/>
          <w:color w:val="FF0000"/>
        </w:rPr>
        <w:t xml:space="preserve"> structures</w:t>
      </w:r>
      <w:r w:rsidR="00D87392" w:rsidRPr="00F27EBE">
        <w:rPr>
          <w:rFonts w:ascii="Times New Roman" w:hAnsi="Times New Roman"/>
          <w:color w:val="FF0000"/>
        </w:rPr>
        <w:t>,</w:t>
      </w:r>
      <w:r w:rsidR="00313568" w:rsidRPr="00F27EBE">
        <w:rPr>
          <w:rFonts w:ascii="Times New Roman" w:hAnsi="Times New Roman"/>
          <w:color w:val="FF0000"/>
        </w:rPr>
        <w:t xml:space="preserve"> </w:t>
      </w:r>
      <w:proofErr w:type="gramStart"/>
      <w:r w:rsidR="00313568" w:rsidRPr="00F27EBE">
        <w:rPr>
          <w:rFonts w:ascii="Times New Roman" w:hAnsi="Times New Roman"/>
          <w:color w:val="FF0000"/>
        </w:rPr>
        <w:t>systems</w:t>
      </w:r>
      <w:proofErr w:type="gramEnd"/>
      <w:r w:rsidR="00313568" w:rsidRPr="00F27EBE">
        <w:rPr>
          <w:rFonts w:ascii="Times New Roman" w:hAnsi="Times New Roman"/>
          <w:color w:val="FF0000"/>
        </w:rPr>
        <w:t xml:space="preserve"> </w:t>
      </w:r>
      <w:r w:rsidR="00D87392" w:rsidRPr="00F27EBE">
        <w:rPr>
          <w:rFonts w:ascii="Times New Roman" w:hAnsi="Times New Roman"/>
          <w:color w:val="FF0000"/>
        </w:rPr>
        <w:t xml:space="preserve">and components </w:t>
      </w:r>
      <w:r w:rsidR="00313568" w:rsidRPr="00F27EBE">
        <w:rPr>
          <w:rFonts w:ascii="Times New Roman" w:hAnsi="Times New Roman"/>
          <w:color w:val="FF0000"/>
        </w:rPr>
        <w:t>of N</w:t>
      </w:r>
      <w:r w:rsidR="009A5E47" w:rsidRPr="00F27EBE">
        <w:rPr>
          <w:rFonts w:ascii="Times New Roman" w:hAnsi="Times New Roman"/>
          <w:color w:val="FF0000"/>
        </w:rPr>
        <w:t xml:space="preserve">uclear </w:t>
      </w:r>
      <w:r w:rsidR="00313568" w:rsidRPr="00F27EBE">
        <w:rPr>
          <w:rFonts w:ascii="Times New Roman" w:hAnsi="Times New Roman"/>
          <w:color w:val="FF0000"/>
        </w:rPr>
        <w:t>P</w:t>
      </w:r>
      <w:r w:rsidR="009A5E47" w:rsidRPr="00F27EBE">
        <w:rPr>
          <w:rFonts w:ascii="Times New Roman" w:hAnsi="Times New Roman"/>
          <w:color w:val="FF0000"/>
        </w:rPr>
        <w:t xml:space="preserve">ower </w:t>
      </w:r>
      <w:r w:rsidR="00313568" w:rsidRPr="00F27EBE">
        <w:rPr>
          <w:rFonts w:ascii="Times New Roman" w:hAnsi="Times New Roman"/>
          <w:color w:val="FF0000"/>
        </w:rPr>
        <w:t>P</w:t>
      </w:r>
      <w:r w:rsidR="009A5E47" w:rsidRPr="00F27EBE">
        <w:rPr>
          <w:rFonts w:ascii="Times New Roman" w:hAnsi="Times New Roman"/>
          <w:color w:val="FF0000"/>
        </w:rPr>
        <w:t>lant</w:t>
      </w:r>
      <w:r w:rsidR="00D67BE1" w:rsidRPr="00F27EBE">
        <w:rPr>
          <w:rFonts w:ascii="Times New Roman" w:hAnsi="Times New Roman"/>
          <w:color w:val="FF0000"/>
        </w:rPr>
        <w:t>s</w:t>
      </w:r>
      <w:r w:rsidR="00817643" w:rsidRPr="00F27EBE">
        <w:rPr>
          <w:rFonts w:ascii="Times New Roman" w:hAnsi="Times New Roman"/>
          <w:color w:val="FF0000"/>
        </w:rPr>
        <w:t xml:space="preserve"> (NPPs)</w:t>
      </w:r>
      <w:r w:rsidR="00313568" w:rsidRPr="00F27EBE">
        <w:rPr>
          <w:rFonts w:ascii="Times New Roman" w:hAnsi="Times New Roman"/>
          <w:color w:val="FF0000"/>
        </w:rPr>
        <w:t>.</w:t>
      </w:r>
    </w:p>
    <w:p w14:paraId="384E895A" w14:textId="77777777" w:rsidR="00E57486" w:rsidRPr="006A78F4" w:rsidRDefault="00B47525" w:rsidP="00486E85">
      <w:pPr>
        <w:spacing w:before="120" w:after="120"/>
        <w:rPr>
          <w:rFonts w:ascii="Times New Roman" w:hAnsi="Times New Roman"/>
        </w:rPr>
      </w:pPr>
      <w:r w:rsidRPr="006A78F4">
        <w:rPr>
          <w:rFonts w:ascii="Times New Roman" w:hAnsi="Times New Roman"/>
          <w:bCs/>
        </w:rPr>
        <w:t xml:space="preserve">In general, during construction and early years, structures </w:t>
      </w:r>
      <w:r w:rsidR="0078095E" w:rsidRPr="006A78F4">
        <w:rPr>
          <w:rFonts w:ascii="Times New Roman" w:hAnsi="Times New Roman"/>
          <w:bCs/>
        </w:rPr>
        <w:t>undergo</w:t>
      </w:r>
      <w:r w:rsidR="00C503E2" w:rsidRPr="006A78F4">
        <w:rPr>
          <w:rFonts w:ascii="Times New Roman" w:hAnsi="Times New Roman"/>
          <w:bCs/>
        </w:rPr>
        <w:t xml:space="preserve"> </w:t>
      </w:r>
      <w:r w:rsidR="00947E14" w:rsidRPr="006A78F4">
        <w:rPr>
          <w:rFonts w:ascii="Times New Roman" w:hAnsi="Times New Roman"/>
          <w:bCs/>
        </w:rPr>
        <w:t>g</w:t>
      </w:r>
      <w:r w:rsidR="00C503E2" w:rsidRPr="006A78F4">
        <w:rPr>
          <w:rFonts w:ascii="Times New Roman" w:hAnsi="Times New Roman"/>
          <w:bCs/>
        </w:rPr>
        <w:t>round</w:t>
      </w:r>
      <w:r w:rsidR="0078095E" w:rsidRPr="006A78F4">
        <w:rPr>
          <w:rFonts w:ascii="Times New Roman" w:hAnsi="Times New Roman"/>
          <w:bCs/>
        </w:rPr>
        <w:t xml:space="preserve"> </w:t>
      </w:r>
      <w:r w:rsidRPr="006A78F4">
        <w:rPr>
          <w:rFonts w:ascii="Times New Roman" w:hAnsi="Times New Roman"/>
          <w:bCs/>
        </w:rPr>
        <w:t>settlement.</w:t>
      </w:r>
      <w:r w:rsidR="00976ABD" w:rsidRPr="006A78F4">
        <w:rPr>
          <w:rFonts w:ascii="Times New Roman" w:hAnsi="Times New Roman"/>
          <w:bCs/>
        </w:rPr>
        <w:t xml:space="preserve"> </w:t>
      </w:r>
      <w:r w:rsidR="0078095E" w:rsidRPr="006A78F4">
        <w:rPr>
          <w:rFonts w:ascii="Times New Roman" w:hAnsi="Times New Roman"/>
          <w:bCs/>
        </w:rPr>
        <w:t xml:space="preserve">Since most </w:t>
      </w:r>
      <w:r w:rsidR="009A5E47" w:rsidRPr="006A78F4">
        <w:rPr>
          <w:rFonts w:ascii="Times New Roman" w:hAnsi="Times New Roman"/>
          <w:bCs/>
        </w:rPr>
        <w:t>NPP</w:t>
      </w:r>
      <w:r w:rsidR="0078095E" w:rsidRPr="006A78F4">
        <w:rPr>
          <w:rFonts w:ascii="Times New Roman" w:hAnsi="Times New Roman"/>
          <w:bCs/>
        </w:rPr>
        <w:t xml:space="preserve"> foundations rest on firm rock or other non-cohesive material, </w:t>
      </w:r>
      <w:r w:rsidR="00976ABD" w:rsidRPr="006A78F4">
        <w:rPr>
          <w:rFonts w:ascii="Times New Roman" w:hAnsi="Times New Roman"/>
        </w:rPr>
        <w:t>settlement occur</w:t>
      </w:r>
      <w:r w:rsidR="003D42A6" w:rsidRPr="006A78F4">
        <w:rPr>
          <w:rFonts w:ascii="Times New Roman" w:hAnsi="Times New Roman"/>
        </w:rPr>
        <w:t>s</w:t>
      </w:r>
      <w:r w:rsidR="00976ABD" w:rsidRPr="006A78F4">
        <w:rPr>
          <w:rFonts w:ascii="Times New Roman" w:hAnsi="Times New Roman"/>
        </w:rPr>
        <w:t xml:space="preserve"> in the first months after construction and </w:t>
      </w:r>
      <w:r w:rsidR="0078095E" w:rsidRPr="006A78F4">
        <w:rPr>
          <w:rFonts w:ascii="Times New Roman" w:hAnsi="Times New Roman"/>
        </w:rPr>
        <w:t xml:space="preserve">tend to </w:t>
      </w:r>
      <w:r w:rsidR="00976ABD" w:rsidRPr="006A78F4">
        <w:rPr>
          <w:rFonts w:ascii="Times New Roman" w:hAnsi="Times New Roman"/>
        </w:rPr>
        <w:t xml:space="preserve">disappear </w:t>
      </w:r>
      <w:r w:rsidR="0078095E" w:rsidRPr="006A78F4">
        <w:rPr>
          <w:rFonts w:ascii="Times New Roman" w:hAnsi="Times New Roman"/>
        </w:rPr>
        <w:t>or reduce substantially afterwards. AMP</w:t>
      </w:r>
      <w:r w:rsidR="001F3407" w:rsidRPr="006A78F4">
        <w:rPr>
          <w:rFonts w:ascii="Times New Roman" w:hAnsi="Times New Roman"/>
        </w:rPr>
        <w:t xml:space="preserve"> </w:t>
      </w:r>
      <w:r w:rsidR="0078095E" w:rsidRPr="006A78F4">
        <w:rPr>
          <w:rFonts w:ascii="Times New Roman" w:hAnsi="Times New Roman"/>
        </w:rPr>
        <w:t>302, AMP</w:t>
      </w:r>
      <w:r w:rsidR="001F3407" w:rsidRPr="006A78F4">
        <w:rPr>
          <w:rFonts w:ascii="Times New Roman" w:hAnsi="Times New Roman"/>
        </w:rPr>
        <w:t xml:space="preserve"> </w:t>
      </w:r>
      <w:r w:rsidR="0078095E" w:rsidRPr="006A78F4">
        <w:rPr>
          <w:rFonts w:ascii="Times New Roman" w:hAnsi="Times New Roman"/>
        </w:rPr>
        <w:t>306, and AMP</w:t>
      </w:r>
      <w:r w:rsidR="001F3407" w:rsidRPr="006A78F4">
        <w:rPr>
          <w:rFonts w:ascii="Times New Roman" w:hAnsi="Times New Roman"/>
        </w:rPr>
        <w:t xml:space="preserve"> </w:t>
      </w:r>
      <w:r w:rsidR="0078095E" w:rsidRPr="006A78F4">
        <w:rPr>
          <w:rFonts w:ascii="Times New Roman" w:hAnsi="Times New Roman"/>
        </w:rPr>
        <w:t xml:space="preserve">307 can be used effectively to manage </w:t>
      </w:r>
      <w:r w:rsidR="004E7239" w:rsidRPr="006A78F4">
        <w:rPr>
          <w:rFonts w:ascii="Times New Roman" w:hAnsi="Times New Roman"/>
        </w:rPr>
        <w:t>ageing</w:t>
      </w:r>
      <w:r w:rsidR="0078095E" w:rsidRPr="006A78F4">
        <w:rPr>
          <w:rFonts w:ascii="Times New Roman" w:hAnsi="Times New Roman"/>
        </w:rPr>
        <w:t xml:space="preserve"> of such structures due to settlement.</w:t>
      </w:r>
    </w:p>
    <w:p w14:paraId="531EFFA4" w14:textId="128E22DD" w:rsidR="004F44ED" w:rsidRPr="00F27EBE" w:rsidRDefault="007B4DFD" w:rsidP="00486E85">
      <w:pPr>
        <w:spacing w:before="120" w:after="120"/>
        <w:rPr>
          <w:rFonts w:ascii="Times New Roman" w:hAnsi="Times New Roman"/>
          <w:color w:val="FF0000"/>
        </w:rPr>
      </w:pPr>
      <w:r w:rsidRPr="00F27EBE">
        <w:rPr>
          <w:rFonts w:ascii="Times New Roman" w:hAnsi="Times New Roman"/>
          <w:color w:val="FF0000"/>
        </w:rPr>
        <w:t>At some NPPs, a phenomenon of continued settlement or up-heave of the terrain</w:t>
      </w:r>
      <w:r w:rsidR="00D87392" w:rsidRPr="00F27EBE">
        <w:rPr>
          <w:rFonts w:ascii="Times New Roman" w:hAnsi="Times New Roman"/>
          <w:color w:val="FF0000"/>
        </w:rPr>
        <w:t>,</w:t>
      </w:r>
      <w:r w:rsidRPr="00F27EBE">
        <w:rPr>
          <w:rFonts w:ascii="Times New Roman" w:hAnsi="Times New Roman"/>
          <w:color w:val="FF0000"/>
        </w:rPr>
        <w:t xml:space="preserve"> has been detected. Settlement is</w:t>
      </w:r>
      <w:r w:rsidR="00D87392" w:rsidRPr="00F27EBE">
        <w:rPr>
          <w:rFonts w:ascii="Times New Roman" w:hAnsi="Times New Roman"/>
          <w:color w:val="FF0000"/>
        </w:rPr>
        <w:t xml:space="preserve"> a</w:t>
      </w:r>
      <w:r w:rsidRPr="00F27EBE">
        <w:rPr>
          <w:rFonts w:ascii="Times New Roman" w:hAnsi="Times New Roman"/>
          <w:color w:val="FF0000"/>
        </w:rPr>
        <w:t xml:space="preserve"> well</w:t>
      </w:r>
      <w:r w:rsidR="00D87392" w:rsidRPr="00F27EBE">
        <w:rPr>
          <w:rFonts w:ascii="Times New Roman" w:hAnsi="Times New Roman"/>
          <w:color w:val="FF0000"/>
        </w:rPr>
        <w:t>-</w:t>
      </w:r>
      <w:r w:rsidRPr="00F27EBE">
        <w:rPr>
          <w:rFonts w:ascii="Times New Roman" w:hAnsi="Times New Roman"/>
          <w:color w:val="FF0000"/>
        </w:rPr>
        <w:t xml:space="preserve">known phenomenon that has been widely studied. </w:t>
      </w:r>
      <w:r w:rsidR="00D87392" w:rsidRPr="00F27EBE">
        <w:rPr>
          <w:rFonts w:ascii="Times New Roman" w:hAnsi="Times New Roman"/>
          <w:color w:val="FF0000"/>
        </w:rPr>
        <w:t xml:space="preserve">Its ageing effects are managed in AMP 317. </w:t>
      </w:r>
    </w:p>
    <w:p w14:paraId="384E895B" w14:textId="72A0B780" w:rsidR="007B4DFD" w:rsidRPr="00F27EBE" w:rsidRDefault="007B4DFD" w:rsidP="00486E85">
      <w:pPr>
        <w:spacing w:before="120" w:after="120"/>
        <w:rPr>
          <w:rFonts w:ascii="Times New Roman" w:hAnsi="Times New Roman"/>
          <w:color w:val="FF0000"/>
        </w:rPr>
      </w:pPr>
      <w:r w:rsidRPr="00F27EBE">
        <w:rPr>
          <w:rFonts w:ascii="Times New Roman" w:hAnsi="Times New Roman"/>
          <w:color w:val="FF0000"/>
        </w:rPr>
        <w:t xml:space="preserve">Up-heave phenomenon of ground movement is not so </w:t>
      </w:r>
      <w:r w:rsidR="00F27EBE" w:rsidRPr="00F27EBE">
        <w:rPr>
          <w:rFonts w:ascii="Times New Roman" w:hAnsi="Times New Roman"/>
          <w:color w:val="FF0000"/>
        </w:rPr>
        <w:t>usual and</w:t>
      </w:r>
      <w:r w:rsidRPr="00F27EBE">
        <w:rPr>
          <w:rFonts w:ascii="Times New Roman" w:hAnsi="Times New Roman"/>
          <w:color w:val="FF0000"/>
        </w:rPr>
        <w:t xml:space="preserve"> may occur due to swelling of </w:t>
      </w:r>
      <w:r w:rsidR="00D87392" w:rsidRPr="00F27EBE">
        <w:rPr>
          <w:rFonts w:ascii="Times New Roman" w:hAnsi="Times New Roman"/>
          <w:color w:val="FF0000"/>
        </w:rPr>
        <w:t>expansive soils in contact with water.</w:t>
      </w:r>
      <w:r w:rsidR="004F44ED" w:rsidRPr="00F27EBE">
        <w:rPr>
          <w:rFonts w:ascii="Times New Roman" w:hAnsi="Times New Roman"/>
          <w:color w:val="FF0000"/>
        </w:rPr>
        <w:t xml:space="preserve"> </w:t>
      </w:r>
      <w:r w:rsidR="00D87392" w:rsidRPr="00F27EBE">
        <w:rPr>
          <w:rFonts w:ascii="Times New Roman" w:hAnsi="Times New Roman"/>
          <w:color w:val="FF0000"/>
        </w:rPr>
        <w:t xml:space="preserve">Expansive soils are clayey and unsaturated soils </w:t>
      </w:r>
      <w:r w:rsidRPr="00F27EBE">
        <w:rPr>
          <w:rFonts w:ascii="Times New Roman" w:hAnsi="Times New Roman"/>
          <w:color w:val="FF0000"/>
        </w:rPr>
        <w:t>(</w:t>
      </w:r>
      <w:proofErr w:type="gramStart"/>
      <w:r w:rsidR="005B10DA" w:rsidRPr="00F27EBE">
        <w:rPr>
          <w:rFonts w:ascii="Times New Roman" w:hAnsi="Times New Roman"/>
          <w:color w:val="FF0000"/>
        </w:rPr>
        <w:t>e.g</w:t>
      </w:r>
      <w:r w:rsidR="00F74DBA" w:rsidRPr="00F27EBE">
        <w:rPr>
          <w:rFonts w:ascii="Times New Roman" w:hAnsi="Times New Roman"/>
          <w:color w:val="FF0000"/>
        </w:rPr>
        <w:t>.</w:t>
      </w:r>
      <w:proofErr w:type="gramEnd"/>
      <w:r w:rsidR="00F74DBA" w:rsidRPr="00F27EBE">
        <w:rPr>
          <w:rFonts w:ascii="Times New Roman" w:hAnsi="Times New Roman"/>
          <w:color w:val="FF0000"/>
        </w:rPr>
        <w:t xml:space="preserve"> </w:t>
      </w:r>
      <w:r w:rsidRPr="00F27EBE">
        <w:rPr>
          <w:rFonts w:ascii="Times New Roman" w:hAnsi="Times New Roman"/>
          <w:color w:val="FF0000"/>
          <w:lang w:val="en"/>
        </w:rPr>
        <w:t>a calcium carbonate or lime rich mud or mudstone that contains clays and silt between 35 to 65 percent</w:t>
      </w:r>
      <w:r w:rsidR="00F74DBA" w:rsidRPr="00F27EBE">
        <w:rPr>
          <w:rFonts w:ascii="Times New Roman" w:hAnsi="Times New Roman"/>
          <w:color w:val="FF0000"/>
          <w:lang w:val="en"/>
        </w:rPr>
        <w:t xml:space="preserve">, described in </w:t>
      </w:r>
      <w:r w:rsidR="00F74DBA" w:rsidRPr="00F27EBE">
        <w:rPr>
          <w:rFonts w:ascii="Times New Roman" w:hAnsi="Times New Roman"/>
          <w:color w:val="FF0000"/>
        </w:rPr>
        <w:t xml:space="preserve">“Ground Movements Surveillance Manual, </w:t>
      </w:r>
      <w:proofErr w:type="spellStart"/>
      <w:r w:rsidR="00F74DBA" w:rsidRPr="00F27EBE">
        <w:rPr>
          <w:rFonts w:ascii="Times New Roman" w:hAnsi="Times New Roman"/>
          <w:color w:val="FF0000"/>
        </w:rPr>
        <w:t>Ascó</w:t>
      </w:r>
      <w:proofErr w:type="spellEnd"/>
      <w:r w:rsidR="00F74DBA" w:rsidRPr="00F27EBE">
        <w:rPr>
          <w:rFonts w:ascii="Times New Roman" w:hAnsi="Times New Roman"/>
          <w:color w:val="FF0000"/>
        </w:rPr>
        <w:t xml:space="preserve"> 2 NPP” [</w:t>
      </w:r>
      <w:r w:rsidR="004F44ED" w:rsidRPr="00F27EBE">
        <w:rPr>
          <w:rFonts w:ascii="Times New Roman" w:hAnsi="Times New Roman"/>
          <w:color w:val="FF0000"/>
        </w:rPr>
        <w:t>2</w:t>
      </w:r>
      <w:r w:rsidR="00F74DBA" w:rsidRPr="00F27EBE">
        <w:rPr>
          <w:rFonts w:ascii="Times New Roman" w:hAnsi="Times New Roman"/>
          <w:color w:val="FF0000"/>
        </w:rPr>
        <w:t>]</w:t>
      </w:r>
      <w:r w:rsidRPr="00F27EBE">
        <w:rPr>
          <w:rFonts w:ascii="Times New Roman" w:hAnsi="Times New Roman"/>
          <w:color w:val="FF0000"/>
          <w:lang w:val="en"/>
        </w:rPr>
        <w:t>)</w:t>
      </w:r>
      <w:r w:rsidRPr="00F27EBE">
        <w:rPr>
          <w:rFonts w:ascii="Times New Roman" w:hAnsi="Times New Roman"/>
          <w:color w:val="FF0000"/>
        </w:rPr>
        <w:t xml:space="preserve"> </w:t>
      </w:r>
      <w:r w:rsidR="004F44ED" w:rsidRPr="00F27EBE">
        <w:rPr>
          <w:rFonts w:ascii="Times New Roman" w:hAnsi="Times New Roman"/>
          <w:color w:val="FF0000"/>
        </w:rPr>
        <w:t xml:space="preserve">whose physical proprieties lead them to a volumetric expansion (swelling) </w:t>
      </w:r>
      <w:r w:rsidRPr="00F27EBE">
        <w:rPr>
          <w:rFonts w:ascii="Times New Roman" w:hAnsi="Times New Roman"/>
          <w:color w:val="FF0000"/>
        </w:rPr>
        <w:t xml:space="preserve">in </w:t>
      </w:r>
      <w:r w:rsidR="004F44ED" w:rsidRPr="00F27EBE">
        <w:rPr>
          <w:rFonts w:ascii="Times New Roman" w:hAnsi="Times New Roman"/>
          <w:color w:val="FF0000"/>
        </w:rPr>
        <w:t>presence of</w:t>
      </w:r>
      <w:r w:rsidRPr="00F27EBE">
        <w:rPr>
          <w:rFonts w:ascii="Times New Roman" w:hAnsi="Times New Roman"/>
          <w:color w:val="FF0000"/>
        </w:rPr>
        <w:t xml:space="preserve"> water.</w:t>
      </w:r>
    </w:p>
    <w:p w14:paraId="384E895C" w14:textId="77777777" w:rsidR="007B4DFD" w:rsidRPr="006A78F4" w:rsidRDefault="007B4DFD" w:rsidP="00486E85">
      <w:pPr>
        <w:spacing w:before="120" w:after="120"/>
        <w:rPr>
          <w:rFonts w:ascii="Times New Roman" w:hAnsi="Times New Roman"/>
        </w:rPr>
      </w:pPr>
      <w:r w:rsidRPr="006A78F4">
        <w:rPr>
          <w:rFonts w:ascii="Times New Roman" w:hAnsi="Times New Roman"/>
        </w:rPr>
        <w:t xml:space="preserve">Excavation of the overburden during construction and changes into the soil, like the ground water level, </w:t>
      </w:r>
      <w:r w:rsidR="00F74DBA" w:rsidRPr="006A78F4">
        <w:rPr>
          <w:rFonts w:ascii="Times New Roman" w:hAnsi="Times New Roman"/>
        </w:rPr>
        <w:t xml:space="preserve">may </w:t>
      </w:r>
      <w:r w:rsidRPr="006A78F4">
        <w:rPr>
          <w:rFonts w:ascii="Times New Roman" w:hAnsi="Times New Roman"/>
        </w:rPr>
        <w:t xml:space="preserve">lead those ground movements to occur during the </w:t>
      </w:r>
      <w:r w:rsidR="009A5E47" w:rsidRPr="006A78F4">
        <w:rPr>
          <w:rFonts w:ascii="Times New Roman" w:hAnsi="Times New Roman"/>
        </w:rPr>
        <w:t>lifetime</w:t>
      </w:r>
      <w:r w:rsidRPr="006A78F4">
        <w:rPr>
          <w:rFonts w:ascii="Times New Roman" w:hAnsi="Times New Roman"/>
        </w:rPr>
        <w:t xml:space="preserve"> of the </w:t>
      </w:r>
      <w:r w:rsidR="009A5E47" w:rsidRPr="006A78F4">
        <w:rPr>
          <w:rFonts w:ascii="Times New Roman" w:hAnsi="Times New Roman"/>
        </w:rPr>
        <w:t>NPP</w:t>
      </w:r>
      <w:r w:rsidRPr="006A78F4">
        <w:rPr>
          <w:rFonts w:ascii="Times New Roman" w:hAnsi="Times New Roman"/>
        </w:rPr>
        <w:t>.</w:t>
      </w:r>
    </w:p>
    <w:p w14:paraId="4F257E7A" w14:textId="77777777" w:rsidR="004F44ED" w:rsidRPr="00F27EBE" w:rsidRDefault="004F44ED" w:rsidP="004F44ED">
      <w:pPr>
        <w:spacing w:before="120" w:after="120"/>
        <w:rPr>
          <w:rFonts w:ascii="Times New Roman" w:hAnsi="Times New Roman"/>
          <w:color w:val="FF0000"/>
        </w:rPr>
      </w:pPr>
      <w:r w:rsidRPr="00F27EBE">
        <w:rPr>
          <w:rFonts w:ascii="Times New Roman" w:hAnsi="Times New Roman"/>
          <w:color w:val="FF0000"/>
        </w:rPr>
        <w:t>As the expansion is volumetric, the soil undergoes displacements in the three main directions (one vertical and two horizontal). Therefore, structures, as well as systems and components structurally attached to them, founded on a geotechnical profile that comprises an expansive soil layer undergo a ground movement due to the upward soil vertical displacement component (up-heave), and earth pressure on underground walls, buried structures, and retaining walls due to the soil horizontal displacement components.</w:t>
      </w:r>
    </w:p>
    <w:p w14:paraId="17959E74" w14:textId="07FB2A1B" w:rsidR="004F44ED" w:rsidRDefault="007B4DFD" w:rsidP="00486E85">
      <w:pPr>
        <w:spacing w:before="120" w:after="120"/>
        <w:rPr>
          <w:rFonts w:ascii="Times New Roman" w:hAnsi="Times New Roman"/>
        </w:rPr>
      </w:pPr>
      <w:r w:rsidRPr="006A78F4">
        <w:rPr>
          <w:rFonts w:ascii="Times New Roman" w:hAnsi="Times New Roman"/>
        </w:rPr>
        <w:t xml:space="preserve">Those movements </w:t>
      </w:r>
      <w:r w:rsidR="00F27EBE">
        <w:rPr>
          <w:rFonts w:ascii="Times New Roman" w:hAnsi="Times New Roman"/>
        </w:rPr>
        <w:t xml:space="preserve">are </w:t>
      </w:r>
      <w:r w:rsidR="00F27EBE" w:rsidRPr="006A78F4">
        <w:rPr>
          <w:rFonts w:ascii="Times New Roman" w:hAnsi="Times New Roman"/>
        </w:rPr>
        <w:t>extrapolated</w:t>
      </w:r>
      <w:r w:rsidR="006D1F78" w:rsidRPr="006A78F4">
        <w:rPr>
          <w:rFonts w:ascii="Times New Roman" w:hAnsi="Times New Roman"/>
        </w:rPr>
        <w:t xml:space="preserve"> to the end of the design life of the plant, by ground movement prediction models. The effect of th</w:t>
      </w:r>
      <w:r w:rsidR="009A5E47" w:rsidRPr="006A78F4">
        <w:rPr>
          <w:rFonts w:ascii="Times New Roman" w:hAnsi="Times New Roman"/>
        </w:rPr>
        <w:t>e</w:t>
      </w:r>
      <w:r w:rsidR="006D1F78" w:rsidRPr="006A78F4">
        <w:rPr>
          <w:rFonts w:ascii="Times New Roman" w:hAnsi="Times New Roman"/>
        </w:rPr>
        <w:t xml:space="preserve"> extrapolated values on the safety related structures, systems and components </w:t>
      </w:r>
      <w:r w:rsidR="00F27EBE">
        <w:rPr>
          <w:rFonts w:ascii="Times New Roman" w:hAnsi="Times New Roman"/>
        </w:rPr>
        <w:t xml:space="preserve">is </w:t>
      </w:r>
      <w:r w:rsidR="00F27EBE" w:rsidRPr="006A78F4">
        <w:rPr>
          <w:rFonts w:ascii="Times New Roman" w:hAnsi="Times New Roman"/>
        </w:rPr>
        <w:t>checked</w:t>
      </w:r>
      <w:r w:rsidR="006D1F78" w:rsidRPr="006A78F4">
        <w:rPr>
          <w:rFonts w:ascii="Times New Roman" w:hAnsi="Times New Roman"/>
        </w:rPr>
        <w:t xml:space="preserve">. </w:t>
      </w:r>
    </w:p>
    <w:p w14:paraId="384E895D" w14:textId="60997679" w:rsidR="00A67781" w:rsidRPr="006A78F4" w:rsidRDefault="006D1F78" w:rsidP="00486E85">
      <w:pPr>
        <w:spacing w:before="120" w:after="120"/>
        <w:rPr>
          <w:rFonts w:ascii="Times New Roman" w:hAnsi="Times New Roman"/>
        </w:rPr>
      </w:pPr>
      <w:r w:rsidRPr="006A78F4">
        <w:rPr>
          <w:rFonts w:ascii="Times New Roman" w:hAnsi="Times New Roman"/>
        </w:rPr>
        <w:t xml:space="preserve"> </w:t>
      </w:r>
      <w:r w:rsidR="004F44ED">
        <w:rPr>
          <w:rFonts w:ascii="Times New Roman" w:hAnsi="Times New Roman"/>
        </w:rPr>
        <w:t xml:space="preserve">Actual </w:t>
      </w:r>
      <w:r w:rsidRPr="006A78F4">
        <w:rPr>
          <w:rFonts w:ascii="Times New Roman" w:hAnsi="Times New Roman"/>
        </w:rPr>
        <w:t>values</w:t>
      </w:r>
      <w:r w:rsidR="004F44ED">
        <w:rPr>
          <w:rFonts w:ascii="Times New Roman" w:hAnsi="Times New Roman"/>
        </w:rPr>
        <w:t xml:space="preserve"> of those movements</w:t>
      </w:r>
      <w:r w:rsidRPr="006A78F4">
        <w:rPr>
          <w:rFonts w:ascii="Times New Roman" w:hAnsi="Times New Roman"/>
        </w:rPr>
        <w:t xml:space="preserve"> </w:t>
      </w:r>
      <w:r w:rsidR="007B4DFD" w:rsidRPr="006A78F4">
        <w:rPr>
          <w:rFonts w:ascii="Times New Roman" w:hAnsi="Times New Roman"/>
        </w:rPr>
        <w:t xml:space="preserve">may not match the predicted </w:t>
      </w:r>
      <w:r w:rsidR="004F44ED">
        <w:rPr>
          <w:rFonts w:ascii="Times New Roman" w:hAnsi="Times New Roman"/>
        </w:rPr>
        <w:t>ones</w:t>
      </w:r>
      <w:r w:rsidR="00BF2F2D" w:rsidRPr="006A78F4">
        <w:rPr>
          <w:rFonts w:ascii="Times New Roman" w:hAnsi="Times New Roman"/>
        </w:rPr>
        <w:t>,</w:t>
      </w:r>
      <w:r w:rsidR="007B4DFD" w:rsidRPr="006A78F4">
        <w:rPr>
          <w:rFonts w:ascii="Times New Roman" w:hAnsi="Times New Roman"/>
        </w:rPr>
        <w:t xml:space="preserve"> due to l</w:t>
      </w:r>
      <w:r w:rsidR="009A5E47" w:rsidRPr="006A78F4">
        <w:rPr>
          <w:rFonts w:ascii="Times New Roman" w:hAnsi="Times New Roman"/>
        </w:rPr>
        <w:t>ack of adequate knowledge of</w:t>
      </w:r>
      <w:r w:rsidRPr="006A78F4">
        <w:rPr>
          <w:rFonts w:ascii="Times New Roman" w:hAnsi="Times New Roman"/>
        </w:rPr>
        <w:t xml:space="preserve"> foundation material properties, so it is necessary to monitor the phenomenon along that time.</w:t>
      </w:r>
    </w:p>
    <w:p w14:paraId="384E895E" w14:textId="09422D98" w:rsidR="00313568" w:rsidRPr="006A78F4" w:rsidRDefault="00313568" w:rsidP="00486E85">
      <w:pPr>
        <w:spacing w:before="120" w:after="120"/>
        <w:rPr>
          <w:rFonts w:ascii="Times New Roman" w:hAnsi="Times New Roman"/>
        </w:rPr>
      </w:pPr>
      <w:r w:rsidRPr="006A78F4">
        <w:rPr>
          <w:rFonts w:ascii="Times New Roman" w:hAnsi="Times New Roman"/>
        </w:rPr>
        <w:t>Th</w:t>
      </w:r>
      <w:r w:rsidR="006B793E" w:rsidRPr="006A78F4">
        <w:rPr>
          <w:rFonts w:ascii="Times New Roman" w:hAnsi="Times New Roman"/>
        </w:rPr>
        <w:t>is</w:t>
      </w:r>
      <w:r w:rsidRPr="006A78F4">
        <w:rPr>
          <w:rFonts w:ascii="Times New Roman" w:hAnsi="Times New Roman"/>
        </w:rPr>
        <w:t xml:space="preserve"> AMP </w:t>
      </w:r>
      <w:r w:rsidR="004F44ED">
        <w:rPr>
          <w:rFonts w:ascii="Times New Roman" w:hAnsi="Times New Roman"/>
        </w:rPr>
        <w:t>addre</w:t>
      </w:r>
      <w:r w:rsidR="00471BE1">
        <w:rPr>
          <w:rFonts w:ascii="Times New Roman" w:hAnsi="Times New Roman"/>
        </w:rPr>
        <w:t>s</w:t>
      </w:r>
      <w:r w:rsidR="004F44ED">
        <w:rPr>
          <w:rFonts w:ascii="Times New Roman" w:hAnsi="Times New Roman"/>
        </w:rPr>
        <w:t>ses</w:t>
      </w:r>
      <w:r w:rsidRPr="006A78F4">
        <w:rPr>
          <w:rFonts w:ascii="Times New Roman" w:hAnsi="Times New Roman"/>
        </w:rPr>
        <w:t xml:space="preserve"> the activities </w:t>
      </w:r>
      <w:r w:rsidR="00F27EBE" w:rsidRPr="006A78F4">
        <w:rPr>
          <w:rFonts w:ascii="Times New Roman" w:hAnsi="Times New Roman"/>
        </w:rPr>
        <w:t xml:space="preserve">to </w:t>
      </w:r>
      <w:r w:rsidR="00F27EBE">
        <w:rPr>
          <w:rFonts w:ascii="Times New Roman" w:hAnsi="Times New Roman"/>
        </w:rPr>
        <w:t>be</w:t>
      </w:r>
      <w:r w:rsidRPr="006A78F4">
        <w:rPr>
          <w:rFonts w:ascii="Times New Roman" w:hAnsi="Times New Roman"/>
        </w:rPr>
        <w:t xml:space="preserve"> performed during the life</w:t>
      </w:r>
      <w:r w:rsidR="006B793E" w:rsidRPr="006A78F4">
        <w:rPr>
          <w:rFonts w:ascii="Times New Roman" w:hAnsi="Times New Roman"/>
        </w:rPr>
        <w:t>time</w:t>
      </w:r>
      <w:r w:rsidRPr="006A78F4">
        <w:rPr>
          <w:rFonts w:ascii="Times New Roman" w:hAnsi="Times New Roman"/>
        </w:rPr>
        <w:t xml:space="preserve"> of the NPP </w:t>
      </w:r>
      <w:proofErr w:type="gramStart"/>
      <w:r w:rsidRPr="006A78F4">
        <w:rPr>
          <w:rFonts w:ascii="Times New Roman" w:hAnsi="Times New Roman"/>
        </w:rPr>
        <w:t>in order to</w:t>
      </w:r>
      <w:proofErr w:type="gramEnd"/>
      <w:r w:rsidRPr="006A78F4">
        <w:rPr>
          <w:rFonts w:ascii="Times New Roman" w:hAnsi="Times New Roman"/>
        </w:rPr>
        <w:t xml:space="preserve"> survey the effects of the soil </w:t>
      </w:r>
      <w:r w:rsidR="006B793E" w:rsidRPr="006A78F4">
        <w:rPr>
          <w:rFonts w:ascii="Times New Roman" w:hAnsi="Times New Roman"/>
        </w:rPr>
        <w:t>movements</w:t>
      </w:r>
      <w:r w:rsidRPr="006A78F4">
        <w:rPr>
          <w:rFonts w:ascii="Times New Roman" w:hAnsi="Times New Roman"/>
        </w:rPr>
        <w:t xml:space="preserve">. These surveillance </w:t>
      </w:r>
      <w:r w:rsidR="00F27EBE" w:rsidRPr="006A78F4">
        <w:rPr>
          <w:rFonts w:ascii="Times New Roman" w:hAnsi="Times New Roman"/>
        </w:rPr>
        <w:t xml:space="preserve">activities </w:t>
      </w:r>
      <w:r w:rsidR="00F27EBE">
        <w:rPr>
          <w:rFonts w:ascii="Times New Roman" w:hAnsi="Times New Roman"/>
        </w:rPr>
        <w:t>include</w:t>
      </w:r>
      <w:r w:rsidRPr="006A78F4">
        <w:rPr>
          <w:rFonts w:ascii="Times New Roman" w:hAnsi="Times New Roman"/>
        </w:rPr>
        <w:t>:</w:t>
      </w:r>
    </w:p>
    <w:p w14:paraId="384E895F" w14:textId="6F8AFA55" w:rsidR="00313568" w:rsidRPr="006A78F4" w:rsidRDefault="00E1210E" w:rsidP="00961BFF">
      <w:pPr>
        <w:numPr>
          <w:ilvl w:val="0"/>
          <w:numId w:val="15"/>
        </w:numPr>
        <w:spacing w:before="120" w:after="120" w:line="276" w:lineRule="auto"/>
        <w:ind w:left="714" w:hanging="357"/>
        <w:rPr>
          <w:rFonts w:ascii="Times New Roman" w:hAnsi="Times New Roman"/>
        </w:rPr>
      </w:pPr>
      <w:r>
        <w:rPr>
          <w:rFonts w:ascii="Times New Roman" w:hAnsi="Times New Roman"/>
        </w:rPr>
        <w:t>‘</w:t>
      </w:r>
      <w:r w:rsidR="00471BE1">
        <w:rPr>
          <w:rFonts w:ascii="Times New Roman" w:hAnsi="Times New Roman"/>
        </w:rPr>
        <w:t>Soil d</w:t>
      </w:r>
      <w:r w:rsidR="00313568" w:rsidRPr="006A78F4">
        <w:rPr>
          <w:rFonts w:ascii="Times New Roman" w:hAnsi="Times New Roman"/>
        </w:rPr>
        <w:t>ata collection</w:t>
      </w:r>
      <w:r>
        <w:rPr>
          <w:rFonts w:ascii="Times New Roman" w:hAnsi="Times New Roman"/>
        </w:rPr>
        <w:t>’</w:t>
      </w:r>
      <w:r w:rsidR="00313568" w:rsidRPr="006A78F4">
        <w:rPr>
          <w:rFonts w:ascii="Times New Roman" w:hAnsi="Times New Roman"/>
        </w:rPr>
        <w:t>, describes the field measurements to be performed</w:t>
      </w:r>
      <w:r w:rsidR="00471BE1">
        <w:rPr>
          <w:rFonts w:ascii="Times New Roman" w:hAnsi="Times New Roman"/>
        </w:rPr>
        <w:t>,</w:t>
      </w:r>
      <w:r w:rsidR="00313568" w:rsidRPr="006A78F4">
        <w:rPr>
          <w:rFonts w:ascii="Times New Roman" w:hAnsi="Times New Roman"/>
        </w:rPr>
        <w:t xml:space="preserve"> excluding the hydrological measurements.</w:t>
      </w:r>
      <w:r w:rsidR="00093018" w:rsidRPr="006A78F4">
        <w:rPr>
          <w:rFonts w:ascii="Times New Roman" w:hAnsi="Times New Roman"/>
        </w:rPr>
        <w:t xml:space="preserve"> Many devices are available for monitoring </w:t>
      </w:r>
      <w:r w:rsidR="00471BE1">
        <w:rPr>
          <w:rFonts w:ascii="Times New Roman" w:hAnsi="Times New Roman"/>
        </w:rPr>
        <w:t>up-</w:t>
      </w:r>
      <w:r w:rsidR="00093018" w:rsidRPr="006A78F4">
        <w:rPr>
          <w:rFonts w:ascii="Times New Roman" w:hAnsi="Times New Roman"/>
        </w:rPr>
        <w:t>heave. Vertical movement can be measured by settlement plates or remote settlement ga</w:t>
      </w:r>
      <w:r w:rsidR="00471BE1">
        <w:rPr>
          <w:rFonts w:ascii="Times New Roman" w:hAnsi="Times New Roman"/>
        </w:rPr>
        <w:t>u</w:t>
      </w:r>
      <w:r w:rsidR="00093018" w:rsidRPr="006A78F4">
        <w:rPr>
          <w:rFonts w:ascii="Times New Roman" w:hAnsi="Times New Roman"/>
        </w:rPr>
        <w:t xml:space="preserve">ges </w:t>
      </w:r>
      <w:r w:rsidR="0024324C" w:rsidRPr="006A78F4">
        <w:rPr>
          <w:rFonts w:ascii="Times New Roman" w:hAnsi="Times New Roman"/>
        </w:rPr>
        <w:t xml:space="preserve">like the ones </w:t>
      </w:r>
      <w:r w:rsidR="00093018" w:rsidRPr="006A78F4">
        <w:rPr>
          <w:rFonts w:ascii="Times New Roman" w:hAnsi="Times New Roman"/>
        </w:rPr>
        <w:t xml:space="preserve">utilizing closed fluid systems. </w:t>
      </w:r>
      <w:r w:rsidR="0024324C" w:rsidRPr="006A78F4">
        <w:rPr>
          <w:rFonts w:ascii="Times New Roman" w:hAnsi="Times New Roman"/>
        </w:rPr>
        <w:t xml:space="preserve">Other examples of instrumentation can be </w:t>
      </w:r>
      <w:proofErr w:type="gramStart"/>
      <w:r w:rsidR="0024324C" w:rsidRPr="006A78F4">
        <w:rPr>
          <w:rFonts w:ascii="Times New Roman" w:hAnsi="Times New Roman"/>
        </w:rPr>
        <w:t>inclinometers</w:t>
      </w:r>
      <w:r w:rsidR="00FC0ECA">
        <w:rPr>
          <w:rFonts w:ascii="Times New Roman" w:hAnsi="Times New Roman"/>
        </w:rPr>
        <w:t>;</w:t>
      </w:r>
      <w:proofErr w:type="gramEnd"/>
      <w:r w:rsidR="00A67781" w:rsidRPr="006A78F4">
        <w:rPr>
          <w:rFonts w:ascii="Times New Roman" w:hAnsi="Times New Roman"/>
        </w:rPr>
        <w:t xml:space="preserve"> </w:t>
      </w:r>
    </w:p>
    <w:p w14:paraId="384E8960" w14:textId="5CAFB2A2" w:rsidR="00257732" w:rsidRPr="006A78F4" w:rsidRDefault="00E1210E" w:rsidP="00961BFF">
      <w:pPr>
        <w:numPr>
          <w:ilvl w:val="0"/>
          <w:numId w:val="15"/>
        </w:numPr>
        <w:spacing w:before="120" w:after="120" w:line="276" w:lineRule="auto"/>
        <w:ind w:left="714" w:hanging="357"/>
        <w:rPr>
          <w:rFonts w:ascii="Times New Roman" w:hAnsi="Times New Roman"/>
        </w:rPr>
      </w:pPr>
      <w:r>
        <w:rPr>
          <w:rFonts w:ascii="Times New Roman" w:hAnsi="Times New Roman"/>
        </w:rPr>
        <w:lastRenderedPageBreak/>
        <w:t>‘</w:t>
      </w:r>
      <w:r w:rsidR="00471BE1" w:rsidRPr="00F27EBE">
        <w:rPr>
          <w:rFonts w:ascii="Times New Roman" w:hAnsi="Times New Roman"/>
          <w:color w:val="FF0000"/>
        </w:rPr>
        <w:t>Soil d</w:t>
      </w:r>
      <w:r w:rsidR="00313568" w:rsidRPr="00F27EBE">
        <w:rPr>
          <w:rFonts w:ascii="Times New Roman" w:hAnsi="Times New Roman"/>
          <w:color w:val="FF0000"/>
        </w:rPr>
        <w:t>ata evaluation</w:t>
      </w:r>
      <w:r w:rsidRPr="00F27EBE">
        <w:rPr>
          <w:rFonts w:ascii="Times New Roman" w:hAnsi="Times New Roman"/>
          <w:color w:val="FF0000"/>
        </w:rPr>
        <w:t>’</w:t>
      </w:r>
      <w:r w:rsidR="00313568" w:rsidRPr="00F27EBE">
        <w:rPr>
          <w:rFonts w:ascii="Times New Roman" w:hAnsi="Times New Roman"/>
          <w:color w:val="FF0000"/>
        </w:rPr>
        <w:t xml:space="preserve">, collects and analyzes the data </w:t>
      </w:r>
      <w:proofErr w:type="gramStart"/>
      <w:r w:rsidR="00313568" w:rsidRPr="00F27EBE">
        <w:rPr>
          <w:rFonts w:ascii="Times New Roman" w:hAnsi="Times New Roman"/>
          <w:color w:val="FF0000"/>
        </w:rPr>
        <w:t>in order to</w:t>
      </w:r>
      <w:proofErr w:type="gramEnd"/>
      <w:r w:rsidR="00313568" w:rsidRPr="00F27EBE">
        <w:rPr>
          <w:rFonts w:ascii="Times New Roman" w:hAnsi="Times New Roman"/>
          <w:color w:val="FF0000"/>
        </w:rPr>
        <w:t xml:space="preserve"> faithfully establish the </w:t>
      </w:r>
      <w:r w:rsidR="00471BE1" w:rsidRPr="00F27EBE">
        <w:rPr>
          <w:rFonts w:ascii="Times New Roman" w:hAnsi="Times New Roman"/>
          <w:color w:val="FF0000"/>
        </w:rPr>
        <w:t>condition</w:t>
      </w:r>
      <w:r w:rsidR="00313568" w:rsidRPr="00F27EBE">
        <w:rPr>
          <w:rFonts w:ascii="Times New Roman" w:hAnsi="Times New Roman"/>
          <w:color w:val="FF0000"/>
        </w:rPr>
        <w:t xml:space="preserve"> of the plant and compare it </w:t>
      </w:r>
      <w:r w:rsidR="009D2D0B" w:rsidRPr="00F27EBE">
        <w:rPr>
          <w:rFonts w:ascii="Times New Roman" w:hAnsi="Times New Roman"/>
          <w:color w:val="FF0000"/>
        </w:rPr>
        <w:t xml:space="preserve">to </w:t>
      </w:r>
      <w:r w:rsidR="00471BE1" w:rsidRPr="00F27EBE">
        <w:rPr>
          <w:rFonts w:ascii="Times New Roman" w:hAnsi="Times New Roman"/>
          <w:color w:val="FF0000"/>
        </w:rPr>
        <w:t>its</w:t>
      </w:r>
      <w:r w:rsidR="009D2D0B" w:rsidRPr="00F27EBE">
        <w:rPr>
          <w:rFonts w:ascii="Times New Roman" w:hAnsi="Times New Roman"/>
          <w:color w:val="FF0000"/>
        </w:rPr>
        <w:t xml:space="preserve"> current licensing basis</w:t>
      </w:r>
      <w:r w:rsidR="00471BE1" w:rsidRPr="00F27EBE">
        <w:rPr>
          <w:rFonts w:ascii="Times New Roman" w:hAnsi="Times New Roman"/>
          <w:color w:val="FF0000"/>
        </w:rPr>
        <w:t>, defined by the ground movement prediction models</w:t>
      </w:r>
      <w:r w:rsidR="009D2D0B" w:rsidRPr="00F27EBE">
        <w:rPr>
          <w:rFonts w:ascii="Times New Roman" w:hAnsi="Times New Roman"/>
          <w:color w:val="FF0000"/>
        </w:rPr>
        <w:t xml:space="preserve">. </w:t>
      </w:r>
      <w:r w:rsidR="00313568" w:rsidRPr="00F27EBE">
        <w:rPr>
          <w:rFonts w:ascii="Times New Roman" w:hAnsi="Times New Roman"/>
          <w:color w:val="FF0000"/>
        </w:rPr>
        <w:t xml:space="preserve">This activity consists of two parts: </w:t>
      </w:r>
    </w:p>
    <w:p w14:paraId="384E8961" w14:textId="77777777" w:rsidR="00C30101" w:rsidRPr="006A78F4" w:rsidRDefault="00313568" w:rsidP="00961BFF">
      <w:pPr>
        <w:numPr>
          <w:ilvl w:val="1"/>
          <w:numId w:val="17"/>
        </w:numPr>
        <w:tabs>
          <w:tab w:val="clear" w:pos="1544"/>
        </w:tabs>
        <w:spacing w:before="120" w:after="120" w:line="276" w:lineRule="auto"/>
        <w:ind w:left="1077" w:hanging="357"/>
        <w:rPr>
          <w:rFonts w:ascii="Times New Roman" w:hAnsi="Times New Roman"/>
        </w:rPr>
      </w:pPr>
      <w:r w:rsidRPr="006A78F4">
        <w:rPr>
          <w:rFonts w:ascii="Times New Roman" w:hAnsi="Times New Roman"/>
        </w:rPr>
        <w:t xml:space="preserve">Monitoring of ground </w:t>
      </w:r>
      <w:r w:rsidR="006B793E" w:rsidRPr="006A78F4">
        <w:rPr>
          <w:rFonts w:ascii="Times New Roman" w:hAnsi="Times New Roman"/>
        </w:rPr>
        <w:t xml:space="preserve">movements </w:t>
      </w:r>
      <w:r w:rsidRPr="006A78F4">
        <w:rPr>
          <w:rFonts w:ascii="Times New Roman" w:hAnsi="Times New Roman"/>
        </w:rPr>
        <w:t>and comparison of the results with the previously developed pre</w:t>
      </w:r>
      <w:r w:rsidR="009D2D0B" w:rsidRPr="006A78F4">
        <w:rPr>
          <w:rFonts w:ascii="Times New Roman" w:hAnsi="Times New Roman"/>
        </w:rPr>
        <w:t xml:space="preserve">dicted </w:t>
      </w:r>
      <w:proofErr w:type="gramStart"/>
      <w:r w:rsidR="009D2D0B" w:rsidRPr="006A78F4">
        <w:rPr>
          <w:rFonts w:ascii="Times New Roman" w:hAnsi="Times New Roman"/>
        </w:rPr>
        <w:t>values</w:t>
      </w:r>
      <w:r w:rsidR="00FC0ECA">
        <w:rPr>
          <w:rFonts w:ascii="Times New Roman" w:hAnsi="Times New Roman"/>
        </w:rPr>
        <w:t>;</w:t>
      </w:r>
      <w:proofErr w:type="gramEnd"/>
    </w:p>
    <w:p w14:paraId="384E8962" w14:textId="6BF1314D" w:rsidR="00DC0A75" w:rsidRPr="006A78F4" w:rsidRDefault="00313568" w:rsidP="00961BFF">
      <w:pPr>
        <w:numPr>
          <w:ilvl w:val="1"/>
          <w:numId w:val="17"/>
        </w:numPr>
        <w:tabs>
          <w:tab w:val="clear" w:pos="1544"/>
        </w:tabs>
        <w:spacing w:before="120" w:after="120" w:line="276" w:lineRule="auto"/>
        <w:ind w:left="1077" w:hanging="357"/>
        <w:rPr>
          <w:rFonts w:ascii="Times New Roman" w:hAnsi="Times New Roman"/>
        </w:rPr>
      </w:pPr>
      <w:r w:rsidRPr="006A78F4">
        <w:rPr>
          <w:rFonts w:ascii="Times New Roman" w:hAnsi="Times New Roman"/>
        </w:rPr>
        <w:t xml:space="preserve">Evaluation of field data </w:t>
      </w:r>
      <w:proofErr w:type="gramStart"/>
      <w:r w:rsidRPr="006A78F4">
        <w:rPr>
          <w:rFonts w:ascii="Times New Roman" w:hAnsi="Times New Roman"/>
        </w:rPr>
        <w:t>in order to</w:t>
      </w:r>
      <w:proofErr w:type="gramEnd"/>
      <w:r w:rsidRPr="006A78F4">
        <w:rPr>
          <w:rFonts w:ascii="Times New Roman" w:hAnsi="Times New Roman"/>
        </w:rPr>
        <w:t xml:space="preserve"> </w:t>
      </w:r>
      <w:r w:rsidR="009D2D0B" w:rsidRPr="006A78F4">
        <w:rPr>
          <w:rFonts w:ascii="Times New Roman" w:hAnsi="Times New Roman"/>
        </w:rPr>
        <w:t xml:space="preserve">determine any preventive measures so that current licensing basis is maintained during the </w:t>
      </w:r>
      <w:r w:rsidR="00C30101" w:rsidRPr="006A78F4">
        <w:rPr>
          <w:rFonts w:ascii="Times New Roman" w:hAnsi="Times New Roman"/>
        </w:rPr>
        <w:t>intended period of operation</w:t>
      </w:r>
      <w:r w:rsidR="00486E85">
        <w:rPr>
          <w:rFonts w:ascii="Times New Roman" w:hAnsi="Times New Roman"/>
        </w:rPr>
        <w:t>.</w:t>
      </w:r>
    </w:p>
    <w:p w14:paraId="384E8963" w14:textId="77777777" w:rsidR="00313568" w:rsidRPr="006A78F4" w:rsidRDefault="00313568" w:rsidP="00961BFF">
      <w:pPr>
        <w:tabs>
          <w:tab w:val="num" w:pos="1134"/>
          <w:tab w:val="num" w:pos="1544"/>
        </w:tabs>
        <w:spacing w:before="120" w:after="120" w:line="276" w:lineRule="auto"/>
        <w:rPr>
          <w:rFonts w:ascii="Times New Roman" w:hAnsi="Times New Roman"/>
        </w:rPr>
      </w:pPr>
    </w:p>
    <w:p w14:paraId="384E8965" w14:textId="68C7C07A" w:rsidR="00313568" w:rsidRPr="00F27EBE" w:rsidRDefault="00E1210E" w:rsidP="00961BFF">
      <w:pPr>
        <w:numPr>
          <w:ilvl w:val="0"/>
          <w:numId w:val="15"/>
        </w:numPr>
        <w:spacing w:before="120" w:after="120" w:line="276" w:lineRule="auto"/>
        <w:ind w:left="714" w:hanging="357"/>
        <w:rPr>
          <w:rFonts w:ascii="Times New Roman" w:hAnsi="Times New Roman"/>
          <w:color w:val="FF0000"/>
        </w:rPr>
      </w:pPr>
      <w:r w:rsidRPr="00F27EBE">
        <w:rPr>
          <w:rFonts w:ascii="Times New Roman" w:hAnsi="Times New Roman"/>
          <w:color w:val="FF0000"/>
        </w:rPr>
        <w:t>‘</w:t>
      </w:r>
      <w:r w:rsidR="00313568" w:rsidRPr="00F27EBE">
        <w:rPr>
          <w:rFonts w:ascii="Times New Roman" w:hAnsi="Times New Roman"/>
          <w:color w:val="FF0000"/>
        </w:rPr>
        <w:t>Hydro</w:t>
      </w:r>
      <w:r w:rsidR="00980816" w:rsidRPr="00F27EBE">
        <w:rPr>
          <w:rFonts w:ascii="Times New Roman" w:hAnsi="Times New Roman"/>
          <w:color w:val="FF0000"/>
        </w:rPr>
        <w:t>-geo</w:t>
      </w:r>
      <w:r w:rsidR="00313568" w:rsidRPr="00F27EBE">
        <w:rPr>
          <w:rFonts w:ascii="Times New Roman" w:hAnsi="Times New Roman"/>
          <w:color w:val="FF0000"/>
        </w:rPr>
        <w:t>logy</w:t>
      </w:r>
      <w:r w:rsidRPr="00F27EBE">
        <w:rPr>
          <w:rFonts w:ascii="Times New Roman" w:hAnsi="Times New Roman"/>
          <w:color w:val="FF0000"/>
        </w:rPr>
        <w:t>’</w:t>
      </w:r>
      <w:r w:rsidR="00313568" w:rsidRPr="00F27EBE">
        <w:rPr>
          <w:rFonts w:ascii="Times New Roman" w:hAnsi="Times New Roman"/>
          <w:color w:val="FF0000"/>
        </w:rPr>
        <w:t xml:space="preserve">, </w:t>
      </w:r>
      <w:proofErr w:type="gramStart"/>
      <w:r w:rsidR="00313568" w:rsidRPr="00F27EBE">
        <w:rPr>
          <w:rFonts w:ascii="Times New Roman" w:hAnsi="Times New Roman"/>
          <w:color w:val="FF0000"/>
        </w:rPr>
        <w:t>in order to</w:t>
      </w:r>
      <w:proofErr w:type="gramEnd"/>
      <w:r w:rsidR="00313568" w:rsidRPr="00F27EBE">
        <w:rPr>
          <w:rFonts w:ascii="Times New Roman" w:hAnsi="Times New Roman"/>
          <w:color w:val="FF0000"/>
        </w:rPr>
        <w:t xml:space="preserve"> ensure the effectiveness of the systems that </w:t>
      </w:r>
      <w:r w:rsidR="006A041E" w:rsidRPr="00F27EBE">
        <w:rPr>
          <w:rFonts w:ascii="Times New Roman" w:hAnsi="Times New Roman"/>
          <w:color w:val="FF0000"/>
        </w:rPr>
        <w:t>control</w:t>
      </w:r>
      <w:r w:rsidR="00313568" w:rsidRPr="00F27EBE">
        <w:rPr>
          <w:rFonts w:ascii="Times New Roman" w:hAnsi="Times New Roman"/>
          <w:color w:val="FF0000"/>
        </w:rPr>
        <w:t xml:space="preserve"> the </w:t>
      </w:r>
      <w:r w:rsidR="00471BE1" w:rsidRPr="00F27EBE">
        <w:rPr>
          <w:rFonts w:ascii="Times New Roman" w:hAnsi="Times New Roman"/>
          <w:color w:val="FF0000"/>
        </w:rPr>
        <w:t xml:space="preserve">entry of </w:t>
      </w:r>
      <w:r w:rsidR="00313568" w:rsidRPr="00F27EBE">
        <w:rPr>
          <w:rFonts w:ascii="Times New Roman" w:hAnsi="Times New Roman"/>
          <w:color w:val="FF0000"/>
        </w:rPr>
        <w:t xml:space="preserve">water </w:t>
      </w:r>
      <w:r w:rsidR="00471BE1" w:rsidRPr="00F27EBE">
        <w:rPr>
          <w:rFonts w:ascii="Times New Roman" w:hAnsi="Times New Roman"/>
          <w:color w:val="FF0000"/>
        </w:rPr>
        <w:t>in</w:t>
      </w:r>
      <w:r w:rsidR="00313568" w:rsidRPr="00F27EBE">
        <w:rPr>
          <w:rFonts w:ascii="Times New Roman" w:hAnsi="Times New Roman"/>
          <w:color w:val="FF0000"/>
        </w:rPr>
        <w:t xml:space="preserve">to the silt-clayey layer, </w:t>
      </w:r>
      <w:r w:rsidR="00815233" w:rsidRPr="00F27EBE">
        <w:rPr>
          <w:rFonts w:ascii="Times New Roman" w:hAnsi="Times New Roman"/>
          <w:color w:val="FF0000"/>
        </w:rPr>
        <w:t xml:space="preserve">an </w:t>
      </w:r>
      <w:r w:rsidR="00E119AF" w:rsidRPr="00F27EBE">
        <w:rPr>
          <w:rFonts w:ascii="Times New Roman" w:hAnsi="Times New Roman"/>
          <w:color w:val="FF0000"/>
        </w:rPr>
        <w:t>on</w:t>
      </w:r>
      <w:r w:rsidR="00815233" w:rsidRPr="00F27EBE">
        <w:rPr>
          <w:rFonts w:ascii="Times New Roman" w:hAnsi="Times New Roman"/>
          <w:color w:val="FF0000"/>
        </w:rPr>
        <w:t>-site hydro</w:t>
      </w:r>
      <w:r w:rsidR="00980816" w:rsidRPr="00F27EBE">
        <w:rPr>
          <w:rFonts w:ascii="Times New Roman" w:hAnsi="Times New Roman"/>
          <w:color w:val="FF0000"/>
        </w:rPr>
        <w:t>-geo</w:t>
      </w:r>
      <w:r w:rsidR="00815233" w:rsidRPr="00F27EBE">
        <w:rPr>
          <w:rFonts w:ascii="Times New Roman" w:hAnsi="Times New Roman"/>
          <w:color w:val="FF0000"/>
        </w:rPr>
        <w:t>logical monitoring system as well as data evaluation methods is</w:t>
      </w:r>
      <w:r w:rsidR="00313568" w:rsidRPr="00F27EBE">
        <w:rPr>
          <w:rFonts w:ascii="Times New Roman" w:hAnsi="Times New Roman"/>
          <w:color w:val="FF0000"/>
        </w:rPr>
        <w:t xml:space="preserve"> established.</w:t>
      </w:r>
      <w:r w:rsidR="0024324C" w:rsidRPr="00F27EBE">
        <w:rPr>
          <w:rFonts w:ascii="Times New Roman" w:hAnsi="Times New Roman"/>
          <w:color w:val="FF0000"/>
        </w:rPr>
        <w:t xml:space="preserve"> This monitoring system can consist in a </w:t>
      </w:r>
      <w:r w:rsidR="00DC0A75" w:rsidRPr="00F27EBE">
        <w:rPr>
          <w:rFonts w:ascii="Times New Roman" w:hAnsi="Times New Roman"/>
          <w:color w:val="FF0000"/>
        </w:rPr>
        <w:t>net of piezometers</w:t>
      </w:r>
      <w:r w:rsidR="0024324C" w:rsidRPr="00F27EBE">
        <w:rPr>
          <w:rFonts w:ascii="Times New Roman" w:hAnsi="Times New Roman"/>
          <w:color w:val="FF0000"/>
        </w:rPr>
        <w:t>.</w:t>
      </w:r>
      <w:r w:rsidR="006D1F78" w:rsidRPr="00F27EBE">
        <w:rPr>
          <w:rFonts w:ascii="Times New Roman" w:hAnsi="Times New Roman"/>
          <w:color w:val="FF0000"/>
        </w:rPr>
        <w:t xml:space="preserve"> The evaluation </w:t>
      </w:r>
      <w:proofErr w:type="gramStart"/>
      <w:r w:rsidR="006D1F78" w:rsidRPr="00F27EBE">
        <w:rPr>
          <w:rFonts w:ascii="Times New Roman" w:hAnsi="Times New Roman"/>
          <w:color w:val="FF0000"/>
        </w:rPr>
        <w:t>take</w:t>
      </w:r>
      <w:r w:rsidR="00F27EBE" w:rsidRPr="00F27EBE">
        <w:rPr>
          <w:rFonts w:ascii="Times New Roman" w:hAnsi="Times New Roman"/>
          <w:color w:val="FF0000"/>
        </w:rPr>
        <w:t>s</w:t>
      </w:r>
      <w:r w:rsidR="006D1F78" w:rsidRPr="00F27EBE">
        <w:rPr>
          <w:rFonts w:ascii="Times New Roman" w:hAnsi="Times New Roman"/>
          <w:color w:val="FF0000"/>
        </w:rPr>
        <w:t xml:space="preserve"> into account</w:t>
      </w:r>
      <w:proofErr w:type="gramEnd"/>
      <w:r w:rsidR="006D1F78" w:rsidRPr="00F27EBE">
        <w:rPr>
          <w:rFonts w:ascii="Times New Roman" w:hAnsi="Times New Roman"/>
          <w:color w:val="FF0000"/>
        </w:rPr>
        <w:t xml:space="preserve"> effects </w:t>
      </w:r>
      <w:r w:rsidR="00DC0A75" w:rsidRPr="00F27EBE">
        <w:rPr>
          <w:rFonts w:ascii="Times New Roman" w:hAnsi="Times New Roman"/>
          <w:color w:val="FF0000"/>
        </w:rPr>
        <w:t xml:space="preserve">of </w:t>
      </w:r>
      <w:r w:rsidR="006D1F78" w:rsidRPr="00F27EBE">
        <w:rPr>
          <w:rFonts w:ascii="Times New Roman" w:hAnsi="Times New Roman"/>
          <w:color w:val="FF0000"/>
        </w:rPr>
        <w:t>ground temperature in permafrost regions</w:t>
      </w:r>
      <w:r w:rsidR="00961BFF" w:rsidRPr="00F27EBE">
        <w:rPr>
          <w:rFonts w:ascii="Times New Roman" w:hAnsi="Times New Roman"/>
          <w:color w:val="FF0000"/>
        </w:rPr>
        <w:t xml:space="preserve">. </w:t>
      </w:r>
      <w:r w:rsidR="00C04EE7" w:rsidRPr="00F27EBE">
        <w:rPr>
          <w:rFonts w:ascii="Times New Roman" w:hAnsi="Times New Roman"/>
          <w:color w:val="FF0000"/>
        </w:rPr>
        <w:t>If a dewatering system</w:t>
      </w:r>
      <w:r w:rsidR="001736B5" w:rsidRPr="00F27EBE">
        <w:rPr>
          <w:rFonts w:ascii="Times New Roman" w:hAnsi="Times New Roman"/>
          <w:color w:val="FF0000"/>
        </w:rPr>
        <w:t xml:space="preserve"> is relied upon</w:t>
      </w:r>
      <w:r w:rsidR="00E07CE3" w:rsidRPr="00F27EBE">
        <w:rPr>
          <w:rFonts w:ascii="Times New Roman" w:hAnsi="Times New Roman"/>
          <w:color w:val="FF0000"/>
        </w:rPr>
        <w:t xml:space="preserve"> </w:t>
      </w:r>
      <w:r w:rsidR="00C04EE7" w:rsidRPr="00F27EBE">
        <w:rPr>
          <w:rFonts w:ascii="Times New Roman" w:hAnsi="Times New Roman"/>
          <w:color w:val="FF0000"/>
        </w:rPr>
        <w:t xml:space="preserve">to control </w:t>
      </w:r>
      <w:r w:rsidR="00471BE1" w:rsidRPr="00F27EBE">
        <w:rPr>
          <w:rFonts w:ascii="Times New Roman" w:hAnsi="Times New Roman"/>
          <w:color w:val="FF0000"/>
        </w:rPr>
        <w:t>up-heave</w:t>
      </w:r>
      <w:r w:rsidR="00C04EE7" w:rsidRPr="00F27EBE">
        <w:rPr>
          <w:rFonts w:ascii="Times New Roman" w:hAnsi="Times New Roman"/>
          <w:color w:val="FF0000"/>
        </w:rPr>
        <w:t>, further evaluation is recommended to verify</w:t>
      </w:r>
      <w:r w:rsidR="00C61C13" w:rsidRPr="00F27EBE">
        <w:rPr>
          <w:rFonts w:ascii="Times New Roman" w:hAnsi="Times New Roman"/>
          <w:color w:val="FF0000"/>
        </w:rPr>
        <w:t xml:space="preserve"> </w:t>
      </w:r>
      <w:r w:rsidR="00456021" w:rsidRPr="00F27EBE">
        <w:rPr>
          <w:rFonts w:ascii="Times New Roman" w:hAnsi="Times New Roman"/>
          <w:color w:val="FF0000"/>
        </w:rPr>
        <w:t>its</w:t>
      </w:r>
      <w:r w:rsidR="00C04EE7" w:rsidRPr="00F27EBE">
        <w:rPr>
          <w:rFonts w:ascii="Times New Roman" w:hAnsi="Times New Roman"/>
          <w:color w:val="FF0000"/>
        </w:rPr>
        <w:t xml:space="preserve"> continued functionality during the </w:t>
      </w:r>
      <w:r w:rsidR="00456021" w:rsidRPr="00F27EBE">
        <w:rPr>
          <w:rFonts w:ascii="Times New Roman" w:hAnsi="Times New Roman"/>
          <w:color w:val="FF0000"/>
        </w:rPr>
        <w:t>intended</w:t>
      </w:r>
      <w:r w:rsidR="00C04EE7" w:rsidRPr="00F27EBE">
        <w:rPr>
          <w:rFonts w:ascii="Times New Roman" w:hAnsi="Times New Roman"/>
          <w:color w:val="FF0000"/>
        </w:rPr>
        <w:t xml:space="preserve"> period of </w:t>
      </w:r>
      <w:r w:rsidR="00456021" w:rsidRPr="00F27EBE">
        <w:rPr>
          <w:rFonts w:ascii="Times New Roman" w:hAnsi="Times New Roman"/>
          <w:color w:val="FF0000"/>
        </w:rPr>
        <w:t>long term</w:t>
      </w:r>
      <w:r w:rsidR="00C04EE7" w:rsidRPr="00F27EBE">
        <w:rPr>
          <w:rFonts w:ascii="Times New Roman" w:hAnsi="Times New Roman"/>
          <w:color w:val="FF0000"/>
        </w:rPr>
        <w:t xml:space="preserve"> </w:t>
      </w:r>
      <w:proofErr w:type="gramStart"/>
      <w:r w:rsidR="00C04EE7" w:rsidRPr="00F27EBE">
        <w:rPr>
          <w:rFonts w:ascii="Times New Roman" w:hAnsi="Times New Roman"/>
          <w:color w:val="FF0000"/>
        </w:rPr>
        <w:t>operation</w:t>
      </w:r>
      <w:r w:rsidR="00FC0ECA" w:rsidRPr="00F27EBE">
        <w:rPr>
          <w:rFonts w:ascii="Times New Roman" w:hAnsi="Times New Roman"/>
          <w:color w:val="FF0000"/>
        </w:rPr>
        <w:t>;</w:t>
      </w:r>
      <w:proofErr w:type="gramEnd"/>
    </w:p>
    <w:p w14:paraId="384E8966" w14:textId="77777777" w:rsidR="00A67781" w:rsidRPr="006A78F4" w:rsidRDefault="00E1210E" w:rsidP="00961BFF">
      <w:pPr>
        <w:numPr>
          <w:ilvl w:val="0"/>
          <w:numId w:val="15"/>
        </w:numPr>
        <w:spacing w:before="120" w:after="120" w:line="276" w:lineRule="auto"/>
        <w:ind w:left="714" w:hanging="357"/>
        <w:rPr>
          <w:rFonts w:ascii="Times New Roman" w:hAnsi="Times New Roman"/>
        </w:rPr>
      </w:pPr>
      <w:r>
        <w:rPr>
          <w:rFonts w:ascii="Times New Roman" w:hAnsi="Times New Roman"/>
        </w:rPr>
        <w:t>‘</w:t>
      </w:r>
      <w:proofErr w:type="gramStart"/>
      <w:r w:rsidR="00313568" w:rsidRPr="006A78F4">
        <w:rPr>
          <w:rFonts w:ascii="Times New Roman" w:hAnsi="Times New Roman"/>
        </w:rPr>
        <w:t>Geotechnics</w:t>
      </w:r>
      <w:r>
        <w:rPr>
          <w:rFonts w:ascii="Times New Roman" w:hAnsi="Times New Roman"/>
        </w:rPr>
        <w:t>’</w:t>
      </w:r>
      <w:r w:rsidR="00313568" w:rsidRPr="006A78F4">
        <w:rPr>
          <w:rFonts w:ascii="Times New Roman" w:hAnsi="Times New Roman"/>
        </w:rPr>
        <w:t>,</w:t>
      </w:r>
      <w:proofErr w:type="gramEnd"/>
      <w:r w:rsidR="00313568" w:rsidRPr="006A78F4">
        <w:rPr>
          <w:rFonts w:ascii="Times New Roman" w:hAnsi="Times New Roman"/>
        </w:rPr>
        <w:t xml:space="preserve"> deals with the geotechnical aspects of the ground </w:t>
      </w:r>
      <w:r w:rsidR="006B793E" w:rsidRPr="006A78F4">
        <w:rPr>
          <w:rFonts w:ascii="Times New Roman" w:hAnsi="Times New Roman"/>
        </w:rPr>
        <w:t>movement</w:t>
      </w:r>
      <w:r w:rsidR="00313568" w:rsidRPr="006A78F4">
        <w:rPr>
          <w:rFonts w:ascii="Times New Roman" w:hAnsi="Times New Roman"/>
        </w:rPr>
        <w:t xml:space="preserve"> phenomenon.</w:t>
      </w:r>
      <w:r w:rsidR="00C30101" w:rsidRPr="006A78F4">
        <w:rPr>
          <w:rFonts w:ascii="Times New Roman" w:hAnsi="Times New Roman"/>
        </w:rPr>
        <w:t xml:space="preserve"> </w:t>
      </w:r>
      <w:r w:rsidR="0024324C" w:rsidRPr="006A78F4">
        <w:rPr>
          <w:rFonts w:ascii="Times New Roman" w:hAnsi="Times New Roman"/>
        </w:rPr>
        <w:t xml:space="preserve">This monitoring system can consist in a </w:t>
      </w:r>
      <w:r w:rsidR="00DC0A75" w:rsidRPr="006A78F4">
        <w:rPr>
          <w:rFonts w:ascii="Times New Roman" w:hAnsi="Times New Roman"/>
        </w:rPr>
        <w:t xml:space="preserve">net of </w:t>
      </w:r>
      <w:proofErr w:type="gramStart"/>
      <w:r w:rsidR="0024324C" w:rsidRPr="006A78F4">
        <w:rPr>
          <w:rFonts w:ascii="Times New Roman" w:hAnsi="Times New Roman"/>
        </w:rPr>
        <w:t>extensometers</w:t>
      </w:r>
      <w:r w:rsidR="00FC0ECA">
        <w:rPr>
          <w:rFonts w:ascii="Times New Roman" w:hAnsi="Times New Roman"/>
        </w:rPr>
        <w:t>;</w:t>
      </w:r>
      <w:proofErr w:type="gramEnd"/>
    </w:p>
    <w:p w14:paraId="384E8967" w14:textId="77777777" w:rsidR="001F3407" w:rsidRPr="006A78F4" w:rsidRDefault="00E1210E" w:rsidP="00961BFF">
      <w:pPr>
        <w:numPr>
          <w:ilvl w:val="0"/>
          <w:numId w:val="15"/>
        </w:numPr>
        <w:spacing w:before="120" w:after="120" w:line="276" w:lineRule="auto"/>
        <w:ind w:left="714" w:hanging="357"/>
        <w:rPr>
          <w:rFonts w:ascii="Times New Roman" w:hAnsi="Times New Roman"/>
        </w:rPr>
      </w:pPr>
      <w:r>
        <w:rPr>
          <w:rFonts w:ascii="Times New Roman" w:hAnsi="Times New Roman"/>
        </w:rPr>
        <w:t>‘</w:t>
      </w:r>
      <w:r w:rsidR="00313568" w:rsidRPr="006A78F4">
        <w:rPr>
          <w:rFonts w:ascii="Times New Roman" w:hAnsi="Times New Roman"/>
        </w:rPr>
        <w:t>Precautions</w:t>
      </w:r>
      <w:r>
        <w:rPr>
          <w:rFonts w:ascii="Times New Roman" w:hAnsi="Times New Roman"/>
        </w:rPr>
        <w:t>’</w:t>
      </w:r>
      <w:r w:rsidR="00313568" w:rsidRPr="006A78F4">
        <w:rPr>
          <w:rFonts w:ascii="Times New Roman" w:hAnsi="Times New Roman"/>
        </w:rPr>
        <w:t>, list</w:t>
      </w:r>
      <w:r w:rsidR="00E119AF" w:rsidRPr="006A78F4">
        <w:rPr>
          <w:rFonts w:ascii="Times New Roman" w:hAnsi="Times New Roman"/>
        </w:rPr>
        <w:t>ed</w:t>
      </w:r>
      <w:r w:rsidR="00313568" w:rsidRPr="006A78F4">
        <w:rPr>
          <w:rFonts w:ascii="Times New Roman" w:hAnsi="Times New Roman"/>
        </w:rPr>
        <w:t xml:space="preserve"> in </w:t>
      </w:r>
      <w:r w:rsidR="00E119AF" w:rsidRPr="006A78F4">
        <w:rPr>
          <w:rFonts w:ascii="Times New Roman" w:hAnsi="Times New Roman"/>
        </w:rPr>
        <w:t xml:space="preserve">the </w:t>
      </w:r>
      <w:r w:rsidR="00313568" w:rsidRPr="006A78F4">
        <w:rPr>
          <w:rFonts w:ascii="Times New Roman" w:hAnsi="Times New Roman"/>
        </w:rPr>
        <w:t xml:space="preserve">owner’s instruction </w:t>
      </w:r>
      <w:r w:rsidR="00E119AF" w:rsidRPr="006A78F4">
        <w:rPr>
          <w:rFonts w:ascii="Times New Roman" w:hAnsi="Times New Roman"/>
        </w:rPr>
        <w:t xml:space="preserve">manual that are established based on </w:t>
      </w:r>
      <w:r w:rsidR="00313568" w:rsidRPr="006A78F4">
        <w:rPr>
          <w:rFonts w:ascii="Times New Roman" w:hAnsi="Times New Roman"/>
        </w:rPr>
        <w:t xml:space="preserve">ground </w:t>
      </w:r>
      <w:r w:rsidR="006B793E" w:rsidRPr="006A78F4">
        <w:rPr>
          <w:rFonts w:ascii="Times New Roman" w:hAnsi="Times New Roman"/>
        </w:rPr>
        <w:t>movement</w:t>
      </w:r>
      <w:r w:rsidR="00313568" w:rsidRPr="006A78F4">
        <w:rPr>
          <w:rFonts w:ascii="Times New Roman" w:hAnsi="Times New Roman"/>
        </w:rPr>
        <w:t xml:space="preserve"> phenomenon observed </w:t>
      </w:r>
      <w:r w:rsidR="00E119AF" w:rsidRPr="006A78F4">
        <w:rPr>
          <w:rFonts w:ascii="Times New Roman" w:hAnsi="Times New Roman"/>
        </w:rPr>
        <w:t>during plant operation.</w:t>
      </w:r>
    </w:p>
    <w:p w14:paraId="384E8968" w14:textId="77777777" w:rsidR="00313568" w:rsidRPr="006A78F4" w:rsidRDefault="00313568" w:rsidP="006572AD">
      <w:pPr>
        <w:spacing w:before="120" w:after="120"/>
        <w:rPr>
          <w:rFonts w:ascii="Times New Roman" w:hAnsi="Times New Roman"/>
        </w:rPr>
      </w:pPr>
    </w:p>
    <w:p w14:paraId="384E8969" w14:textId="77777777" w:rsidR="00313568" w:rsidRPr="006A78F4" w:rsidRDefault="00313568" w:rsidP="006572AD">
      <w:pPr>
        <w:spacing w:before="120" w:after="120"/>
        <w:jc w:val="left"/>
        <w:rPr>
          <w:rFonts w:ascii="Times New Roman" w:hAnsi="Times New Roman"/>
          <w:b/>
        </w:rPr>
      </w:pPr>
      <w:r w:rsidRPr="006A78F4">
        <w:rPr>
          <w:rFonts w:ascii="Times New Roman" w:hAnsi="Times New Roman"/>
          <w:b/>
        </w:rPr>
        <w:t xml:space="preserve">Evaluation and </w:t>
      </w:r>
      <w:r w:rsidR="00FD0064" w:rsidRPr="006A78F4">
        <w:rPr>
          <w:rFonts w:ascii="Times New Roman" w:hAnsi="Times New Roman"/>
          <w:b/>
        </w:rPr>
        <w:t>T</w:t>
      </w:r>
      <w:r w:rsidRPr="006A78F4">
        <w:rPr>
          <w:rFonts w:ascii="Times New Roman" w:hAnsi="Times New Roman"/>
          <w:b/>
        </w:rPr>
        <w:t xml:space="preserve">echnical </w:t>
      </w:r>
      <w:r w:rsidR="00FD0064" w:rsidRPr="006A78F4">
        <w:rPr>
          <w:rFonts w:ascii="Times New Roman" w:hAnsi="Times New Roman"/>
          <w:b/>
        </w:rPr>
        <w:t>B</w:t>
      </w:r>
      <w:r w:rsidRPr="006A78F4">
        <w:rPr>
          <w:rFonts w:ascii="Times New Roman" w:hAnsi="Times New Roman"/>
          <w:b/>
        </w:rPr>
        <w:t>asis</w:t>
      </w:r>
    </w:p>
    <w:p w14:paraId="384E896A" w14:textId="77777777" w:rsidR="00313568" w:rsidRPr="006A78F4" w:rsidRDefault="00313568" w:rsidP="006572AD">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Scope of </w:t>
      </w:r>
      <w:r w:rsidR="006B793E" w:rsidRPr="006A78F4">
        <w:rPr>
          <w:rFonts w:ascii="Times New Roman" w:hAnsi="Times New Roman"/>
          <w:b/>
          <w:i/>
          <w:sz w:val="24"/>
          <w:szCs w:val="24"/>
        </w:rPr>
        <w:t xml:space="preserve">the </w:t>
      </w:r>
      <w:r w:rsidR="00692932" w:rsidRPr="006A78F4">
        <w:rPr>
          <w:rFonts w:ascii="Times New Roman" w:hAnsi="Times New Roman"/>
          <w:b/>
          <w:i/>
          <w:sz w:val="24"/>
          <w:szCs w:val="24"/>
        </w:rPr>
        <w:t>a</w:t>
      </w:r>
      <w:r w:rsidR="006B793E" w:rsidRPr="006A78F4">
        <w:rPr>
          <w:rFonts w:ascii="Times New Roman" w:hAnsi="Times New Roman"/>
          <w:b/>
          <w:i/>
          <w:sz w:val="24"/>
          <w:szCs w:val="24"/>
        </w:rPr>
        <w:t xml:space="preserve">geing </w:t>
      </w:r>
      <w:r w:rsidR="00692932" w:rsidRPr="006A78F4">
        <w:rPr>
          <w:rFonts w:ascii="Times New Roman" w:hAnsi="Times New Roman"/>
          <w:b/>
          <w:i/>
          <w:sz w:val="24"/>
          <w:szCs w:val="24"/>
        </w:rPr>
        <w:t>m</w:t>
      </w:r>
      <w:r w:rsidR="006B793E" w:rsidRPr="006A78F4">
        <w:rPr>
          <w:rFonts w:ascii="Times New Roman" w:hAnsi="Times New Roman"/>
          <w:b/>
          <w:i/>
          <w:sz w:val="24"/>
          <w:szCs w:val="24"/>
        </w:rPr>
        <w:t xml:space="preserve">anagement </w:t>
      </w:r>
      <w:r w:rsidR="003D42A6" w:rsidRPr="006A78F4">
        <w:rPr>
          <w:rFonts w:ascii="Times New Roman" w:hAnsi="Times New Roman"/>
          <w:b/>
          <w:i/>
          <w:sz w:val="24"/>
          <w:szCs w:val="24"/>
        </w:rPr>
        <w:t>programme based on understanding ageing:</w:t>
      </w:r>
    </w:p>
    <w:p w14:paraId="384E896B" w14:textId="5CA59B07" w:rsidR="00313568" w:rsidRPr="006A78F4" w:rsidRDefault="00313568" w:rsidP="006572AD">
      <w:pPr>
        <w:spacing w:before="120" w:after="120"/>
        <w:rPr>
          <w:rFonts w:ascii="Times New Roman" w:hAnsi="Times New Roman"/>
        </w:rPr>
      </w:pPr>
      <w:r w:rsidRPr="006A78F4">
        <w:rPr>
          <w:rFonts w:ascii="Times New Roman" w:hAnsi="Times New Roman"/>
        </w:rPr>
        <w:t>Th</w:t>
      </w:r>
      <w:r w:rsidR="00B64FD7" w:rsidRPr="006A78F4">
        <w:rPr>
          <w:rFonts w:ascii="Times New Roman" w:hAnsi="Times New Roman"/>
        </w:rPr>
        <w:t>is</w:t>
      </w:r>
      <w:r w:rsidRPr="006A78F4">
        <w:rPr>
          <w:rFonts w:ascii="Times New Roman" w:hAnsi="Times New Roman"/>
        </w:rPr>
        <w:t xml:space="preserve"> AMP manages the monitoring actions of the </w:t>
      </w:r>
      <w:r w:rsidR="00980816" w:rsidRPr="006A78F4">
        <w:rPr>
          <w:rFonts w:ascii="Times New Roman" w:hAnsi="Times New Roman"/>
        </w:rPr>
        <w:t>foundation media</w:t>
      </w:r>
      <w:r w:rsidRPr="006A78F4">
        <w:rPr>
          <w:rFonts w:ascii="Times New Roman" w:hAnsi="Times New Roman"/>
        </w:rPr>
        <w:t xml:space="preserve"> at the site of NPP where the ground </w:t>
      </w:r>
      <w:r w:rsidR="006B793E" w:rsidRPr="006A78F4">
        <w:rPr>
          <w:rFonts w:ascii="Times New Roman" w:hAnsi="Times New Roman"/>
        </w:rPr>
        <w:t>movement</w:t>
      </w:r>
      <w:r w:rsidRPr="006A78F4">
        <w:rPr>
          <w:rFonts w:ascii="Times New Roman" w:hAnsi="Times New Roman"/>
        </w:rPr>
        <w:t xml:space="preserve"> phenomenon </w:t>
      </w:r>
      <w:r w:rsidR="00456021">
        <w:rPr>
          <w:rFonts w:ascii="Times New Roman" w:hAnsi="Times New Roman"/>
        </w:rPr>
        <w:t xml:space="preserve">due to expansive soils </w:t>
      </w:r>
      <w:r w:rsidRPr="006A78F4">
        <w:rPr>
          <w:rFonts w:ascii="Times New Roman" w:hAnsi="Times New Roman"/>
        </w:rPr>
        <w:t xml:space="preserve">occurs and evaluates its effects upon safety related systems, </w:t>
      </w:r>
      <w:proofErr w:type="gramStart"/>
      <w:r w:rsidRPr="006A78F4">
        <w:rPr>
          <w:rFonts w:ascii="Times New Roman" w:hAnsi="Times New Roman"/>
        </w:rPr>
        <w:t>structures</w:t>
      </w:r>
      <w:proofErr w:type="gramEnd"/>
      <w:r w:rsidRPr="006A78F4">
        <w:rPr>
          <w:rFonts w:ascii="Times New Roman" w:hAnsi="Times New Roman"/>
        </w:rPr>
        <w:t xml:space="preserve"> and components (SSC</w:t>
      </w:r>
      <w:r w:rsidR="004E6EF3" w:rsidRPr="006A78F4">
        <w:rPr>
          <w:rFonts w:ascii="Times New Roman" w:hAnsi="Times New Roman"/>
        </w:rPr>
        <w:t>s</w:t>
      </w:r>
      <w:r w:rsidRPr="006A78F4">
        <w:rPr>
          <w:rFonts w:ascii="Times New Roman" w:hAnsi="Times New Roman"/>
        </w:rPr>
        <w:t>).</w:t>
      </w:r>
    </w:p>
    <w:p w14:paraId="384E896C" w14:textId="3386C62D" w:rsidR="00263E42" w:rsidRPr="00F27EBE" w:rsidRDefault="00263E42" w:rsidP="006572AD">
      <w:pPr>
        <w:spacing w:before="120" w:after="120"/>
        <w:rPr>
          <w:rFonts w:ascii="Times New Roman" w:hAnsi="Times New Roman"/>
          <w:color w:val="FF0000"/>
        </w:rPr>
      </w:pPr>
      <w:r w:rsidRPr="00F27EBE">
        <w:rPr>
          <w:rFonts w:ascii="Times New Roman" w:hAnsi="Times New Roman"/>
          <w:color w:val="FF0000"/>
        </w:rPr>
        <w:t xml:space="preserve">The scope includes all structures and components that are included in the scope of </w:t>
      </w:r>
      <w:r w:rsidR="001C45DF" w:rsidRPr="00F27EBE">
        <w:rPr>
          <w:rFonts w:ascii="Times New Roman" w:hAnsi="Times New Roman"/>
          <w:color w:val="FF0000"/>
        </w:rPr>
        <w:t>AMP</w:t>
      </w:r>
      <w:r w:rsidR="001F3407" w:rsidRPr="00F27EBE">
        <w:rPr>
          <w:rFonts w:ascii="Times New Roman" w:hAnsi="Times New Roman"/>
          <w:color w:val="FF0000"/>
        </w:rPr>
        <w:t xml:space="preserve"> </w:t>
      </w:r>
      <w:r w:rsidR="001C45DF" w:rsidRPr="00F27EBE">
        <w:rPr>
          <w:rFonts w:ascii="Times New Roman" w:hAnsi="Times New Roman"/>
          <w:color w:val="FF0000"/>
        </w:rPr>
        <w:t>302, AMP</w:t>
      </w:r>
      <w:r w:rsidR="001F3407" w:rsidRPr="00F27EBE">
        <w:rPr>
          <w:rFonts w:ascii="Times New Roman" w:hAnsi="Times New Roman"/>
          <w:color w:val="FF0000"/>
        </w:rPr>
        <w:t xml:space="preserve"> 3</w:t>
      </w:r>
      <w:r w:rsidR="001C45DF" w:rsidRPr="00F27EBE">
        <w:rPr>
          <w:rFonts w:ascii="Times New Roman" w:hAnsi="Times New Roman"/>
          <w:color w:val="FF0000"/>
        </w:rPr>
        <w:t>0</w:t>
      </w:r>
      <w:r w:rsidR="00456021" w:rsidRPr="00F27EBE">
        <w:rPr>
          <w:rFonts w:ascii="Times New Roman" w:hAnsi="Times New Roman"/>
          <w:color w:val="FF0000"/>
        </w:rPr>
        <w:t>5,</w:t>
      </w:r>
      <w:r w:rsidR="001C45DF" w:rsidRPr="00F27EBE">
        <w:rPr>
          <w:rFonts w:ascii="Times New Roman" w:hAnsi="Times New Roman"/>
          <w:color w:val="FF0000"/>
        </w:rPr>
        <w:t xml:space="preserve"> AMP</w:t>
      </w:r>
      <w:r w:rsidR="001F3407" w:rsidRPr="00F27EBE">
        <w:rPr>
          <w:rFonts w:ascii="Times New Roman" w:hAnsi="Times New Roman"/>
          <w:color w:val="FF0000"/>
        </w:rPr>
        <w:t xml:space="preserve"> </w:t>
      </w:r>
      <w:r w:rsidR="001C45DF" w:rsidRPr="00F27EBE">
        <w:rPr>
          <w:rFonts w:ascii="Times New Roman" w:hAnsi="Times New Roman"/>
          <w:color w:val="FF0000"/>
        </w:rPr>
        <w:t>307</w:t>
      </w:r>
      <w:r w:rsidR="00456021" w:rsidRPr="00F27EBE">
        <w:rPr>
          <w:rFonts w:ascii="Times New Roman" w:hAnsi="Times New Roman"/>
          <w:color w:val="FF0000"/>
        </w:rPr>
        <w:t xml:space="preserve">, AMP </w:t>
      </w:r>
      <w:proofErr w:type="gramStart"/>
      <w:r w:rsidR="00456021" w:rsidRPr="00F27EBE">
        <w:rPr>
          <w:rFonts w:ascii="Times New Roman" w:hAnsi="Times New Roman"/>
          <w:color w:val="FF0000"/>
        </w:rPr>
        <w:t>318</w:t>
      </w:r>
      <w:proofErr w:type="gramEnd"/>
      <w:r w:rsidR="00456021" w:rsidRPr="00F27EBE">
        <w:rPr>
          <w:rFonts w:ascii="Times New Roman" w:hAnsi="Times New Roman"/>
          <w:color w:val="FF0000"/>
        </w:rPr>
        <w:t xml:space="preserve"> and AMP 319,</w:t>
      </w:r>
      <w:r w:rsidRPr="00F27EBE">
        <w:rPr>
          <w:rFonts w:ascii="Times New Roman" w:hAnsi="Times New Roman"/>
          <w:color w:val="FF0000"/>
        </w:rPr>
        <w:t xml:space="preserve"> </w:t>
      </w:r>
      <w:r w:rsidR="003D42A6" w:rsidRPr="00F27EBE">
        <w:rPr>
          <w:rFonts w:ascii="Times New Roman" w:hAnsi="Times New Roman"/>
          <w:color w:val="FF0000"/>
        </w:rPr>
        <w:t xml:space="preserve">that </w:t>
      </w:r>
      <w:r w:rsidRPr="00F27EBE">
        <w:rPr>
          <w:rFonts w:ascii="Times New Roman" w:hAnsi="Times New Roman"/>
          <w:color w:val="FF0000"/>
        </w:rPr>
        <w:t xml:space="preserve">are founded on </w:t>
      </w:r>
      <w:r w:rsidR="00456021" w:rsidRPr="00F27EBE">
        <w:rPr>
          <w:rFonts w:ascii="Times New Roman" w:hAnsi="Times New Roman"/>
          <w:color w:val="FF0000"/>
        </w:rPr>
        <w:t>soils affected by swelling.</w:t>
      </w:r>
      <w:r w:rsidR="00E809BB" w:rsidRPr="00F27EBE">
        <w:rPr>
          <w:rFonts w:ascii="Times New Roman" w:hAnsi="Times New Roman"/>
          <w:color w:val="FF0000"/>
        </w:rPr>
        <w:t xml:space="preserve"> </w:t>
      </w:r>
    </w:p>
    <w:p w14:paraId="384E896D" w14:textId="77777777" w:rsidR="00313568" w:rsidRPr="006A78F4" w:rsidRDefault="001F3407" w:rsidP="006572AD">
      <w:pPr>
        <w:spacing w:before="120" w:after="120"/>
        <w:rPr>
          <w:rFonts w:ascii="Times New Roman" w:hAnsi="Times New Roman"/>
        </w:rPr>
      </w:pPr>
      <w:r w:rsidRPr="006A78F4">
        <w:rPr>
          <w:rFonts w:ascii="Times New Roman" w:hAnsi="Times New Roman"/>
        </w:rPr>
        <w:t xml:space="preserve">For </w:t>
      </w:r>
      <w:r w:rsidR="00980816" w:rsidRPr="006A78F4">
        <w:rPr>
          <w:rFonts w:ascii="Times New Roman" w:hAnsi="Times New Roman"/>
        </w:rPr>
        <w:t xml:space="preserve">example, for </w:t>
      </w:r>
      <w:r w:rsidRPr="006A78F4">
        <w:rPr>
          <w:rFonts w:ascii="Times New Roman" w:hAnsi="Times New Roman"/>
        </w:rPr>
        <w:t>a PWR/BWR</w:t>
      </w:r>
      <w:r w:rsidR="003D42A6" w:rsidRPr="006A78F4">
        <w:rPr>
          <w:rFonts w:ascii="Times New Roman" w:hAnsi="Times New Roman"/>
        </w:rPr>
        <w:t xml:space="preserve">, the </w:t>
      </w:r>
      <w:r w:rsidR="00313568" w:rsidRPr="006A78F4">
        <w:rPr>
          <w:rFonts w:ascii="Times New Roman" w:hAnsi="Times New Roman"/>
        </w:rPr>
        <w:t>SSC</w:t>
      </w:r>
      <w:r w:rsidR="003D42A6" w:rsidRPr="006A78F4">
        <w:rPr>
          <w:rFonts w:ascii="Times New Roman" w:hAnsi="Times New Roman"/>
        </w:rPr>
        <w:t>s</w:t>
      </w:r>
      <w:r w:rsidR="006B793E" w:rsidRPr="006A78F4">
        <w:rPr>
          <w:rFonts w:ascii="Times New Roman" w:hAnsi="Times New Roman"/>
        </w:rPr>
        <w:t xml:space="preserve"> included</w:t>
      </w:r>
      <w:r w:rsidR="00263E42" w:rsidRPr="006A78F4">
        <w:rPr>
          <w:rFonts w:ascii="Times New Roman" w:hAnsi="Times New Roman"/>
        </w:rPr>
        <w:t xml:space="preserve"> in the scope normally include the following</w:t>
      </w:r>
      <w:r w:rsidR="00313568" w:rsidRPr="006A78F4">
        <w:rPr>
          <w:rFonts w:ascii="Times New Roman" w:hAnsi="Times New Roman"/>
        </w:rPr>
        <w:t xml:space="preserve">: </w:t>
      </w:r>
    </w:p>
    <w:p w14:paraId="384E896E" w14:textId="77777777" w:rsidR="00313568" w:rsidRPr="006A78F4" w:rsidRDefault="00313568" w:rsidP="00AD08CF">
      <w:pPr>
        <w:numPr>
          <w:ilvl w:val="0"/>
          <w:numId w:val="4"/>
        </w:numPr>
        <w:tabs>
          <w:tab w:val="clear" w:pos="900"/>
        </w:tabs>
        <w:spacing w:line="276" w:lineRule="auto"/>
        <w:ind w:left="714" w:hanging="357"/>
        <w:jc w:val="left"/>
        <w:rPr>
          <w:rFonts w:ascii="Times New Roman" w:hAnsi="Times New Roman"/>
        </w:rPr>
      </w:pPr>
      <w:r w:rsidRPr="006A78F4">
        <w:rPr>
          <w:rFonts w:ascii="Times New Roman" w:hAnsi="Times New Roman"/>
        </w:rPr>
        <w:t>Structures:</w:t>
      </w:r>
    </w:p>
    <w:p w14:paraId="384E896F"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Containment </w:t>
      </w:r>
      <w:proofErr w:type="gramStart"/>
      <w:r w:rsidRPr="006A78F4">
        <w:rPr>
          <w:rFonts w:ascii="Times New Roman" w:hAnsi="Times New Roman"/>
        </w:rPr>
        <w:t>building</w:t>
      </w:r>
      <w:r w:rsidR="00FC0ECA">
        <w:rPr>
          <w:rFonts w:ascii="Times New Roman" w:hAnsi="Times New Roman"/>
        </w:rPr>
        <w:t>;</w:t>
      </w:r>
      <w:proofErr w:type="gramEnd"/>
    </w:p>
    <w:p w14:paraId="384E8970" w14:textId="77777777" w:rsidR="00313568" w:rsidRPr="003C0843" w:rsidRDefault="00313568" w:rsidP="00017A17">
      <w:pPr>
        <w:numPr>
          <w:ilvl w:val="1"/>
          <w:numId w:val="4"/>
        </w:numPr>
        <w:tabs>
          <w:tab w:val="clear" w:pos="1495"/>
        </w:tabs>
        <w:spacing w:line="276" w:lineRule="auto"/>
        <w:ind w:left="1077" w:hanging="357"/>
        <w:jc w:val="left"/>
        <w:rPr>
          <w:rFonts w:ascii="Times New Roman" w:hAnsi="Times New Roman"/>
        </w:rPr>
      </w:pPr>
      <w:r w:rsidRPr="003C0843">
        <w:rPr>
          <w:rFonts w:ascii="Times New Roman" w:hAnsi="Times New Roman"/>
        </w:rPr>
        <w:t xml:space="preserve">Fuel </w:t>
      </w:r>
      <w:proofErr w:type="gramStart"/>
      <w:r w:rsidRPr="003C0843">
        <w:rPr>
          <w:rFonts w:ascii="Times New Roman" w:hAnsi="Times New Roman"/>
        </w:rPr>
        <w:t>building</w:t>
      </w:r>
      <w:r w:rsidR="00FC0ECA">
        <w:rPr>
          <w:rFonts w:ascii="Times New Roman" w:hAnsi="Times New Roman"/>
        </w:rPr>
        <w:t>;</w:t>
      </w:r>
      <w:proofErr w:type="gramEnd"/>
    </w:p>
    <w:p w14:paraId="384E8971"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Auxiliary </w:t>
      </w:r>
      <w:proofErr w:type="gramStart"/>
      <w:r w:rsidRPr="006A78F4">
        <w:rPr>
          <w:rFonts w:ascii="Times New Roman" w:hAnsi="Times New Roman"/>
        </w:rPr>
        <w:t>building</w:t>
      </w:r>
      <w:r w:rsidR="00FC0ECA">
        <w:rPr>
          <w:rFonts w:ascii="Times New Roman" w:hAnsi="Times New Roman"/>
        </w:rPr>
        <w:t>;</w:t>
      </w:r>
      <w:proofErr w:type="gramEnd"/>
    </w:p>
    <w:p w14:paraId="384E8972"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Control </w:t>
      </w:r>
      <w:proofErr w:type="gramStart"/>
      <w:r w:rsidRPr="006A78F4">
        <w:rPr>
          <w:rFonts w:ascii="Times New Roman" w:hAnsi="Times New Roman"/>
        </w:rPr>
        <w:t>building</w:t>
      </w:r>
      <w:r w:rsidR="00FC0ECA">
        <w:rPr>
          <w:rFonts w:ascii="Times New Roman" w:hAnsi="Times New Roman"/>
        </w:rPr>
        <w:t>;</w:t>
      </w:r>
      <w:proofErr w:type="gramEnd"/>
    </w:p>
    <w:p w14:paraId="384E8973"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Control and turbine buildings </w:t>
      </w:r>
      <w:proofErr w:type="gramStart"/>
      <w:r w:rsidRPr="006A78F4">
        <w:rPr>
          <w:rFonts w:ascii="Times New Roman" w:hAnsi="Times New Roman"/>
        </w:rPr>
        <w:t>penetrations</w:t>
      </w:r>
      <w:r w:rsidR="00FC0ECA">
        <w:rPr>
          <w:rFonts w:ascii="Times New Roman" w:hAnsi="Times New Roman"/>
        </w:rPr>
        <w:t>;</w:t>
      </w:r>
      <w:proofErr w:type="gramEnd"/>
    </w:p>
    <w:p w14:paraId="384E8974"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Diesel generators </w:t>
      </w:r>
      <w:proofErr w:type="gramStart"/>
      <w:r w:rsidRPr="006A78F4">
        <w:rPr>
          <w:rFonts w:ascii="Times New Roman" w:hAnsi="Times New Roman"/>
        </w:rPr>
        <w:t>building</w:t>
      </w:r>
      <w:r w:rsidR="00FC0ECA">
        <w:rPr>
          <w:rFonts w:ascii="Times New Roman" w:hAnsi="Times New Roman"/>
        </w:rPr>
        <w:t>;</w:t>
      </w:r>
      <w:proofErr w:type="gramEnd"/>
    </w:p>
    <w:p w14:paraId="384E8975"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Solid waste </w:t>
      </w:r>
      <w:proofErr w:type="gramStart"/>
      <w:r w:rsidRPr="006A78F4">
        <w:rPr>
          <w:rFonts w:ascii="Times New Roman" w:hAnsi="Times New Roman"/>
        </w:rPr>
        <w:t>building</w:t>
      </w:r>
      <w:r w:rsidR="00FC0ECA">
        <w:rPr>
          <w:rFonts w:ascii="Times New Roman" w:hAnsi="Times New Roman"/>
        </w:rPr>
        <w:t>;</w:t>
      </w:r>
      <w:proofErr w:type="gramEnd"/>
    </w:p>
    <w:p w14:paraId="384E8976"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Emergency cooling </w:t>
      </w:r>
      <w:proofErr w:type="gramStart"/>
      <w:r w:rsidRPr="006A78F4">
        <w:rPr>
          <w:rFonts w:ascii="Times New Roman" w:hAnsi="Times New Roman"/>
        </w:rPr>
        <w:t>towers</w:t>
      </w:r>
      <w:r w:rsidR="00FC0ECA">
        <w:rPr>
          <w:rFonts w:ascii="Times New Roman" w:hAnsi="Times New Roman"/>
        </w:rPr>
        <w:t>;</w:t>
      </w:r>
      <w:proofErr w:type="gramEnd"/>
    </w:p>
    <w:p w14:paraId="384E8977" w14:textId="77777777" w:rsidR="00B64FD7" w:rsidRPr="006A78F4" w:rsidRDefault="00D7571C"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Water control</w:t>
      </w:r>
      <w:r w:rsidR="009B026D" w:rsidRPr="006A78F4">
        <w:rPr>
          <w:rFonts w:ascii="Times New Roman" w:hAnsi="Times New Roman"/>
        </w:rPr>
        <w:t xml:space="preserve"> structure</w:t>
      </w:r>
      <w:r w:rsidR="009B026D" w:rsidRPr="006A78F4">
        <w:rPr>
          <w:rFonts w:ascii="Times New Roman" w:hAnsi="Times New Roman"/>
          <w:lang w:bidi="fa-IR"/>
        </w:rPr>
        <w:t>s</w:t>
      </w:r>
      <w:r w:rsidR="00FC0ECA">
        <w:rPr>
          <w:rFonts w:ascii="Times New Roman" w:hAnsi="Times New Roman"/>
          <w:lang w:bidi="fa-IR"/>
        </w:rPr>
        <w:t>.</w:t>
      </w:r>
    </w:p>
    <w:p w14:paraId="384E8978" w14:textId="77777777" w:rsidR="005E3F36" w:rsidRPr="006A78F4" w:rsidRDefault="005E3F36" w:rsidP="00AD08CF">
      <w:pPr>
        <w:autoSpaceDE w:val="0"/>
        <w:autoSpaceDN w:val="0"/>
        <w:adjustRightInd w:val="0"/>
        <w:spacing w:line="276" w:lineRule="auto"/>
        <w:ind w:left="714" w:hanging="357"/>
        <w:jc w:val="left"/>
        <w:rPr>
          <w:rFonts w:ascii="Times New Roman" w:hAnsi="Times New Roman"/>
          <w:lang w:eastAsia="en-US" w:bidi="fa-IR"/>
        </w:rPr>
      </w:pPr>
    </w:p>
    <w:p w14:paraId="384E8979" w14:textId="77777777" w:rsidR="00313568" w:rsidRPr="006A78F4" w:rsidRDefault="00313568" w:rsidP="00AD08CF">
      <w:pPr>
        <w:numPr>
          <w:ilvl w:val="0"/>
          <w:numId w:val="4"/>
        </w:numPr>
        <w:tabs>
          <w:tab w:val="clear" w:pos="900"/>
        </w:tabs>
        <w:spacing w:line="276" w:lineRule="auto"/>
        <w:ind w:left="714" w:hanging="357"/>
        <w:jc w:val="left"/>
        <w:rPr>
          <w:rFonts w:ascii="Times New Roman" w:hAnsi="Times New Roman"/>
        </w:rPr>
      </w:pPr>
      <w:r w:rsidRPr="006A78F4">
        <w:rPr>
          <w:rFonts w:ascii="Times New Roman" w:hAnsi="Times New Roman"/>
        </w:rPr>
        <w:lastRenderedPageBreak/>
        <w:t>Systems and components:</w:t>
      </w:r>
    </w:p>
    <w:p w14:paraId="384E897A" w14:textId="77777777" w:rsidR="00694D93" w:rsidRPr="006A78F4" w:rsidRDefault="00694D93"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 </w:t>
      </w:r>
      <w:r w:rsidR="00313568" w:rsidRPr="006A78F4">
        <w:rPr>
          <w:rFonts w:ascii="Times New Roman" w:hAnsi="Times New Roman"/>
        </w:rPr>
        <w:t xml:space="preserve">Nuclear steam supply </w:t>
      </w:r>
      <w:proofErr w:type="gramStart"/>
      <w:r w:rsidR="00313568" w:rsidRPr="006A78F4">
        <w:rPr>
          <w:rFonts w:ascii="Times New Roman" w:hAnsi="Times New Roman"/>
        </w:rPr>
        <w:t>system</w:t>
      </w:r>
      <w:r w:rsidR="00FC0ECA">
        <w:rPr>
          <w:rFonts w:ascii="Times New Roman" w:hAnsi="Times New Roman"/>
        </w:rPr>
        <w:t>;</w:t>
      </w:r>
      <w:proofErr w:type="gramEnd"/>
    </w:p>
    <w:p w14:paraId="384E897B" w14:textId="77777777" w:rsidR="00694D93" w:rsidRPr="006A78F4" w:rsidRDefault="00694D93"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 </w:t>
      </w:r>
      <w:r w:rsidR="00313568" w:rsidRPr="006A78F4">
        <w:rPr>
          <w:rFonts w:ascii="Times New Roman" w:hAnsi="Times New Roman"/>
        </w:rPr>
        <w:t xml:space="preserve">Fuel management </w:t>
      </w:r>
      <w:proofErr w:type="gramStart"/>
      <w:r w:rsidR="00313568" w:rsidRPr="006A78F4">
        <w:rPr>
          <w:rFonts w:ascii="Times New Roman" w:hAnsi="Times New Roman"/>
        </w:rPr>
        <w:t>system</w:t>
      </w:r>
      <w:r w:rsidR="00FC0ECA">
        <w:rPr>
          <w:rFonts w:ascii="Times New Roman" w:hAnsi="Times New Roman"/>
        </w:rPr>
        <w:t>;</w:t>
      </w:r>
      <w:proofErr w:type="gramEnd"/>
    </w:p>
    <w:p w14:paraId="384E897C" w14:textId="546D6FC8" w:rsidR="00313568" w:rsidRDefault="00456021" w:rsidP="00017A17">
      <w:pPr>
        <w:numPr>
          <w:ilvl w:val="1"/>
          <w:numId w:val="4"/>
        </w:numPr>
        <w:tabs>
          <w:tab w:val="clear" w:pos="1495"/>
        </w:tabs>
        <w:spacing w:line="276" w:lineRule="auto"/>
        <w:ind w:left="1077" w:hanging="357"/>
        <w:jc w:val="left"/>
        <w:rPr>
          <w:rFonts w:ascii="Times New Roman" w:hAnsi="Times New Roman"/>
        </w:rPr>
      </w:pPr>
      <w:r>
        <w:rPr>
          <w:rFonts w:ascii="Times New Roman" w:hAnsi="Times New Roman"/>
        </w:rPr>
        <w:t>New f</w:t>
      </w:r>
      <w:r w:rsidR="00313568" w:rsidRPr="003C0843">
        <w:rPr>
          <w:rFonts w:ascii="Times New Roman" w:hAnsi="Times New Roman"/>
        </w:rPr>
        <w:t xml:space="preserve">uel </w:t>
      </w:r>
      <w:proofErr w:type="gramStart"/>
      <w:r w:rsidR="00313568" w:rsidRPr="003C0843">
        <w:rPr>
          <w:rFonts w:ascii="Times New Roman" w:hAnsi="Times New Roman"/>
        </w:rPr>
        <w:t>rack</w:t>
      </w:r>
      <w:r w:rsidR="00263E42" w:rsidRPr="003C0843">
        <w:rPr>
          <w:rFonts w:ascii="Times New Roman" w:hAnsi="Times New Roman"/>
        </w:rPr>
        <w:t>s</w:t>
      </w:r>
      <w:r w:rsidR="00FC0ECA">
        <w:rPr>
          <w:rFonts w:ascii="Times New Roman" w:hAnsi="Times New Roman"/>
        </w:rPr>
        <w:t>;</w:t>
      </w:r>
      <w:proofErr w:type="gramEnd"/>
    </w:p>
    <w:p w14:paraId="3B36C387" w14:textId="064A5BF2" w:rsidR="00456021" w:rsidRPr="003C0843" w:rsidRDefault="00456021" w:rsidP="00017A17">
      <w:pPr>
        <w:numPr>
          <w:ilvl w:val="1"/>
          <w:numId w:val="4"/>
        </w:numPr>
        <w:tabs>
          <w:tab w:val="clear" w:pos="1495"/>
        </w:tabs>
        <w:spacing w:line="276" w:lineRule="auto"/>
        <w:ind w:left="1077" w:hanging="357"/>
        <w:jc w:val="left"/>
        <w:rPr>
          <w:rFonts w:ascii="Times New Roman" w:hAnsi="Times New Roman"/>
        </w:rPr>
      </w:pPr>
      <w:r>
        <w:rPr>
          <w:rFonts w:ascii="Times New Roman" w:hAnsi="Times New Roman"/>
        </w:rPr>
        <w:t>Spent fuel racks</w:t>
      </w:r>
    </w:p>
    <w:p w14:paraId="384E897D" w14:textId="77777777" w:rsidR="00313568" w:rsidRPr="003C0843" w:rsidRDefault="00313568" w:rsidP="00017A17">
      <w:pPr>
        <w:numPr>
          <w:ilvl w:val="0"/>
          <w:numId w:val="11"/>
        </w:numPr>
        <w:spacing w:line="276" w:lineRule="auto"/>
        <w:ind w:left="1077" w:hanging="357"/>
        <w:jc w:val="left"/>
        <w:rPr>
          <w:rFonts w:ascii="Times New Roman" w:hAnsi="Times New Roman"/>
        </w:rPr>
      </w:pPr>
      <w:r w:rsidRPr="003C0843">
        <w:rPr>
          <w:rFonts w:ascii="Times New Roman" w:hAnsi="Times New Roman"/>
        </w:rPr>
        <w:t xml:space="preserve">Fuel building </w:t>
      </w:r>
      <w:proofErr w:type="gramStart"/>
      <w:r w:rsidRPr="003C0843">
        <w:rPr>
          <w:rFonts w:ascii="Times New Roman" w:hAnsi="Times New Roman"/>
        </w:rPr>
        <w:t>cranes</w:t>
      </w:r>
      <w:r w:rsidR="00FC0ECA">
        <w:rPr>
          <w:rFonts w:ascii="Times New Roman" w:hAnsi="Times New Roman"/>
        </w:rPr>
        <w:t>;</w:t>
      </w:r>
      <w:proofErr w:type="gramEnd"/>
    </w:p>
    <w:p w14:paraId="384E897E" w14:textId="77777777" w:rsidR="00B64FD7" w:rsidRPr="006A78F4" w:rsidRDefault="00B64FD7" w:rsidP="00017A17">
      <w:pPr>
        <w:numPr>
          <w:ilvl w:val="0"/>
          <w:numId w:val="11"/>
        </w:numPr>
        <w:spacing w:line="276" w:lineRule="auto"/>
        <w:ind w:left="1077" w:hanging="357"/>
        <w:jc w:val="left"/>
        <w:rPr>
          <w:rFonts w:ascii="Times New Roman" w:hAnsi="Times New Roman"/>
        </w:rPr>
      </w:pPr>
      <w:r w:rsidRPr="006A78F4">
        <w:rPr>
          <w:rFonts w:ascii="Times New Roman" w:hAnsi="Times New Roman"/>
        </w:rPr>
        <w:t>Fuel transfer system</w:t>
      </w:r>
      <w:r w:rsidR="00FC0ECA">
        <w:rPr>
          <w:rFonts w:ascii="Times New Roman" w:hAnsi="Times New Roman"/>
        </w:rPr>
        <w:t>.</w:t>
      </w:r>
    </w:p>
    <w:p w14:paraId="384E897F" w14:textId="77777777" w:rsidR="00B64FD7"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Components handling </w:t>
      </w:r>
      <w:proofErr w:type="gramStart"/>
      <w:r w:rsidRPr="006A78F4">
        <w:rPr>
          <w:rFonts w:ascii="Times New Roman" w:hAnsi="Times New Roman"/>
        </w:rPr>
        <w:t>system</w:t>
      </w:r>
      <w:r w:rsidR="00FC0ECA">
        <w:rPr>
          <w:rFonts w:ascii="Times New Roman" w:hAnsi="Times New Roman"/>
        </w:rPr>
        <w:t>;</w:t>
      </w:r>
      <w:proofErr w:type="gramEnd"/>
    </w:p>
    <w:p w14:paraId="384E8980"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Piping systems inside </w:t>
      </w:r>
      <w:proofErr w:type="gramStart"/>
      <w:r w:rsidRPr="006A78F4">
        <w:rPr>
          <w:rFonts w:ascii="Times New Roman" w:hAnsi="Times New Roman"/>
        </w:rPr>
        <w:t>buildings</w:t>
      </w:r>
      <w:r w:rsidR="00FC0ECA">
        <w:rPr>
          <w:rFonts w:ascii="Times New Roman" w:hAnsi="Times New Roman"/>
        </w:rPr>
        <w:t>;</w:t>
      </w:r>
      <w:proofErr w:type="gramEnd"/>
    </w:p>
    <w:p w14:paraId="384E8981" w14:textId="77777777" w:rsidR="009B026D" w:rsidRPr="006A78F4" w:rsidRDefault="009B026D"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Output and input pipes connection between </w:t>
      </w:r>
      <w:proofErr w:type="gramStart"/>
      <w:r w:rsidRPr="006A78F4">
        <w:rPr>
          <w:rFonts w:ascii="Times New Roman" w:hAnsi="Times New Roman"/>
        </w:rPr>
        <w:t>buildings</w:t>
      </w:r>
      <w:r w:rsidR="00FC0ECA">
        <w:rPr>
          <w:rFonts w:ascii="Times New Roman" w:hAnsi="Times New Roman"/>
        </w:rPr>
        <w:t>;</w:t>
      </w:r>
      <w:proofErr w:type="gramEnd"/>
    </w:p>
    <w:p w14:paraId="384E8982"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Expansion joints of air conditioning ducts between </w:t>
      </w:r>
      <w:proofErr w:type="gramStart"/>
      <w:r w:rsidRPr="006A78F4">
        <w:rPr>
          <w:rFonts w:ascii="Times New Roman" w:hAnsi="Times New Roman"/>
        </w:rPr>
        <w:t>buildings</w:t>
      </w:r>
      <w:r w:rsidR="00FC0ECA">
        <w:rPr>
          <w:rFonts w:ascii="Times New Roman" w:hAnsi="Times New Roman"/>
        </w:rPr>
        <w:t>;</w:t>
      </w:r>
      <w:proofErr w:type="gramEnd"/>
    </w:p>
    <w:p w14:paraId="384E8983" w14:textId="77777777" w:rsidR="00313568" w:rsidRPr="006A78F4" w:rsidRDefault="00313568"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Electrical connections between </w:t>
      </w:r>
      <w:proofErr w:type="gramStart"/>
      <w:r w:rsidRPr="006A78F4">
        <w:rPr>
          <w:rFonts w:ascii="Times New Roman" w:hAnsi="Times New Roman"/>
        </w:rPr>
        <w:t>buildings</w:t>
      </w:r>
      <w:r w:rsidR="00FC0ECA">
        <w:rPr>
          <w:rFonts w:ascii="Times New Roman" w:hAnsi="Times New Roman"/>
        </w:rPr>
        <w:t>;</w:t>
      </w:r>
      <w:proofErr w:type="gramEnd"/>
    </w:p>
    <w:p w14:paraId="384E8984" w14:textId="77777777" w:rsidR="003A196D" w:rsidRPr="006A78F4" w:rsidRDefault="003A196D"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 xml:space="preserve">Buried pipelines, tunnels and </w:t>
      </w:r>
      <w:proofErr w:type="gramStart"/>
      <w:r w:rsidRPr="006A78F4">
        <w:rPr>
          <w:rFonts w:ascii="Times New Roman" w:hAnsi="Times New Roman"/>
        </w:rPr>
        <w:t>trenches</w:t>
      </w:r>
      <w:r w:rsidR="00FC0ECA">
        <w:rPr>
          <w:rFonts w:ascii="Times New Roman" w:hAnsi="Times New Roman"/>
        </w:rPr>
        <w:t>;</w:t>
      </w:r>
      <w:proofErr w:type="gramEnd"/>
    </w:p>
    <w:p w14:paraId="384E8985" w14:textId="77777777" w:rsidR="00494861" w:rsidRPr="006A78F4" w:rsidRDefault="00F232B2" w:rsidP="00017A17">
      <w:pPr>
        <w:numPr>
          <w:ilvl w:val="1"/>
          <w:numId w:val="4"/>
        </w:numPr>
        <w:tabs>
          <w:tab w:val="clear" w:pos="1495"/>
        </w:tabs>
        <w:spacing w:line="276" w:lineRule="auto"/>
        <w:ind w:left="1077" w:hanging="357"/>
        <w:jc w:val="left"/>
        <w:rPr>
          <w:rFonts w:ascii="Times New Roman" w:hAnsi="Times New Roman"/>
        </w:rPr>
      </w:pPr>
      <w:r w:rsidRPr="006A78F4">
        <w:rPr>
          <w:rFonts w:ascii="Times New Roman" w:hAnsi="Times New Roman"/>
        </w:rPr>
        <w:t>S</w:t>
      </w:r>
      <w:r w:rsidR="00FA6F28" w:rsidRPr="006A78F4">
        <w:rPr>
          <w:rFonts w:ascii="Times New Roman" w:hAnsi="Times New Roman"/>
        </w:rPr>
        <w:t>tructural fire barriers</w:t>
      </w:r>
      <w:r w:rsidR="00FC0ECA">
        <w:rPr>
          <w:rFonts w:ascii="Times New Roman" w:hAnsi="Times New Roman"/>
        </w:rPr>
        <w:t>.</w:t>
      </w:r>
    </w:p>
    <w:p w14:paraId="384E8986" w14:textId="77777777" w:rsidR="00FA6F28" w:rsidRPr="006A78F4" w:rsidRDefault="00FA6F28" w:rsidP="00AD08CF">
      <w:pPr>
        <w:autoSpaceDE w:val="0"/>
        <w:autoSpaceDN w:val="0"/>
        <w:adjustRightInd w:val="0"/>
        <w:spacing w:before="120" w:after="120"/>
        <w:ind w:left="900"/>
        <w:jc w:val="left"/>
        <w:rPr>
          <w:rFonts w:ascii="Times New Roman" w:hAnsi="Times New Roman"/>
        </w:rPr>
      </w:pPr>
    </w:p>
    <w:p w14:paraId="384E8987" w14:textId="77777777" w:rsidR="00313568" w:rsidRPr="006A78F4" w:rsidRDefault="00313568" w:rsidP="00AD08CF">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Preventive </w:t>
      </w:r>
      <w:r w:rsidR="00692932" w:rsidRPr="006A78F4">
        <w:rPr>
          <w:rFonts w:ascii="Times New Roman" w:hAnsi="Times New Roman"/>
          <w:b/>
          <w:i/>
          <w:sz w:val="24"/>
          <w:szCs w:val="24"/>
        </w:rPr>
        <w:t>a</w:t>
      </w:r>
      <w:r w:rsidRPr="006A78F4">
        <w:rPr>
          <w:rFonts w:ascii="Times New Roman" w:hAnsi="Times New Roman"/>
          <w:b/>
          <w:i/>
          <w:sz w:val="24"/>
          <w:szCs w:val="24"/>
        </w:rPr>
        <w:t xml:space="preserve">ctions to </w:t>
      </w:r>
      <w:r w:rsidR="00692932" w:rsidRPr="006A78F4">
        <w:rPr>
          <w:rFonts w:ascii="Times New Roman" w:hAnsi="Times New Roman"/>
          <w:b/>
          <w:i/>
          <w:sz w:val="24"/>
          <w:szCs w:val="24"/>
        </w:rPr>
        <w:t>m</w:t>
      </w:r>
      <w:r w:rsidRPr="006A78F4">
        <w:rPr>
          <w:rFonts w:ascii="Times New Roman" w:hAnsi="Times New Roman"/>
          <w:b/>
          <w:i/>
          <w:sz w:val="24"/>
          <w:szCs w:val="24"/>
        </w:rPr>
        <w:t xml:space="preserve">inimize and </w:t>
      </w:r>
      <w:r w:rsidR="00692932" w:rsidRPr="006A78F4">
        <w:rPr>
          <w:rFonts w:ascii="Times New Roman" w:hAnsi="Times New Roman"/>
          <w:b/>
          <w:i/>
          <w:sz w:val="24"/>
          <w:szCs w:val="24"/>
        </w:rPr>
        <w:t>c</w:t>
      </w:r>
      <w:r w:rsidRPr="006A78F4">
        <w:rPr>
          <w:rFonts w:ascii="Times New Roman" w:hAnsi="Times New Roman"/>
          <w:b/>
          <w:i/>
          <w:sz w:val="24"/>
          <w:szCs w:val="24"/>
        </w:rPr>
        <w:t xml:space="preserve">ontrol </w:t>
      </w:r>
      <w:r w:rsidR="00692932" w:rsidRPr="006A78F4">
        <w:rPr>
          <w:rFonts w:ascii="Times New Roman" w:hAnsi="Times New Roman"/>
          <w:b/>
          <w:i/>
          <w:sz w:val="24"/>
          <w:szCs w:val="24"/>
        </w:rPr>
        <w:t>a</w:t>
      </w:r>
      <w:r w:rsidRPr="006A78F4">
        <w:rPr>
          <w:rFonts w:ascii="Times New Roman" w:hAnsi="Times New Roman"/>
          <w:b/>
          <w:i/>
          <w:sz w:val="24"/>
          <w:szCs w:val="24"/>
        </w:rPr>
        <w:t>g</w:t>
      </w:r>
      <w:r w:rsidR="00B3124A" w:rsidRPr="006A78F4">
        <w:rPr>
          <w:rFonts w:ascii="Times New Roman" w:hAnsi="Times New Roman"/>
          <w:b/>
          <w:i/>
          <w:sz w:val="24"/>
          <w:szCs w:val="24"/>
        </w:rPr>
        <w:t>e</w:t>
      </w:r>
      <w:r w:rsidRPr="006A78F4">
        <w:rPr>
          <w:rFonts w:ascii="Times New Roman" w:hAnsi="Times New Roman"/>
          <w:b/>
          <w:i/>
          <w:sz w:val="24"/>
          <w:szCs w:val="24"/>
        </w:rPr>
        <w:t xml:space="preserve">ing </w:t>
      </w:r>
      <w:r w:rsidR="00692932" w:rsidRPr="006A78F4">
        <w:rPr>
          <w:rFonts w:ascii="Times New Roman" w:hAnsi="Times New Roman"/>
          <w:b/>
          <w:i/>
          <w:sz w:val="24"/>
          <w:szCs w:val="24"/>
        </w:rPr>
        <w:t>d</w:t>
      </w:r>
      <w:r w:rsidRPr="006A78F4">
        <w:rPr>
          <w:rFonts w:ascii="Times New Roman" w:hAnsi="Times New Roman"/>
          <w:b/>
          <w:i/>
          <w:sz w:val="24"/>
          <w:szCs w:val="24"/>
        </w:rPr>
        <w:t>egradation</w:t>
      </w:r>
      <w:r w:rsidR="00D721CA" w:rsidRPr="006A78F4">
        <w:rPr>
          <w:rFonts w:ascii="Times New Roman" w:hAnsi="Times New Roman"/>
          <w:b/>
          <w:i/>
          <w:sz w:val="24"/>
          <w:szCs w:val="24"/>
        </w:rPr>
        <w:t>:</w:t>
      </w:r>
    </w:p>
    <w:p w14:paraId="1C88B69A" w14:textId="77777777" w:rsidR="00456021" w:rsidRDefault="00456021" w:rsidP="00AD08CF">
      <w:pPr>
        <w:spacing w:before="120" w:after="120"/>
        <w:rPr>
          <w:rFonts w:ascii="Times New Roman" w:hAnsi="Times New Roman"/>
        </w:rPr>
      </w:pPr>
    </w:p>
    <w:p w14:paraId="30ABF01D" w14:textId="77777777" w:rsidR="00456021" w:rsidRPr="00F27EBE" w:rsidRDefault="00456021" w:rsidP="00456021">
      <w:pPr>
        <w:spacing w:before="120" w:after="120"/>
        <w:rPr>
          <w:rFonts w:ascii="Times New Roman" w:hAnsi="Times New Roman"/>
          <w:color w:val="FF0000"/>
        </w:rPr>
      </w:pPr>
      <w:r w:rsidRPr="00F27EBE">
        <w:rPr>
          <w:rFonts w:ascii="Times New Roman" w:hAnsi="Times New Roman"/>
          <w:color w:val="FF0000"/>
        </w:rPr>
        <w:t>This AMP addresses the mandatory monitoring programmes for the soil, groundwater level, and structures to evaluate the behavior of an expansive soil aiming at maintaining the integrity of SSCs during the lifespan of the NPP</w:t>
      </w:r>
    </w:p>
    <w:p w14:paraId="384E8988" w14:textId="0C94ADEA" w:rsidR="00313568" w:rsidRPr="006A78F4" w:rsidRDefault="00313568" w:rsidP="00AD08CF">
      <w:pPr>
        <w:spacing w:before="120" w:after="120"/>
        <w:rPr>
          <w:rFonts w:ascii="Times New Roman" w:hAnsi="Times New Roman"/>
        </w:rPr>
      </w:pPr>
      <w:r w:rsidRPr="006A78F4">
        <w:rPr>
          <w:rFonts w:ascii="Times New Roman" w:hAnsi="Times New Roman"/>
        </w:rPr>
        <w:t xml:space="preserve">As a preventive action, </w:t>
      </w:r>
      <w:r w:rsidR="00456021">
        <w:rPr>
          <w:rFonts w:ascii="Times New Roman" w:hAnsi="Times New Roman"/>
        </w:rPr>
        <w:t xml:space="preserve">the entry of </w:t>
      </w:r>
      <w:r w:rsidRPr="006A78F4">
        <w:rPr>
          <w:rFonts w:ascii="Times New Roman" w:hAnsi="Times New Roman"/>
        </w:rPr>
        <w:t xml:space="preserve">water to the </w:t>
      </w:r>
      <w:r w:rsidR="00456021">
        <w:rPr>
          <w:rFonts w:ascii="Times New Roman" w:hAnsi="Times New Roman"/>
        </w:rPr>
        <w:t>ground</w:t>
      </w:r>
      <w:r w:rsidRPr="006A78F4">
        <w:rPr>
          <w:rFonts w:ascii="Times New Roman" w:hAnsi="Times New Roman"/>
        </w:rPr>
        <w:t xml:space="preserve"> </w:t>
      </w:r>
      <w:r w:rsidR="00263E42" w:rsidRPr="006A78F4">
        <w:rPr>
          <w:rFonts w:ascii="Times New Roman" w:hAnsi="Times New Roman"/>
        </w:rPr>
        <w:t xml:space="preserve">on </w:t>
      </w:r>
      <w:r w:rsidRPr="006A78F4">
        <w:rPr>
          <w:rFonts w:ascii="Times New Roman" w:hAnsi="Times New Roman"/>
        </w:rPr>
        <w:t xml:space="preserve">the site </w:t>
      </w:r>
      <w:r w:rsidR="005C6276" w:rsidRPr="006A78F4">
        <w:rPr>
          <w:rFonts w:ascii="Times New Roman" w:hAnsi="Times New Roman"/>
        </w:rPr>
        <w:t>is</w:t>
      </w:r>
      <w:r w:rsidRPr="006A78F4">
        <w:rPr>
          <w:rFonts w:ascii="Times New Roman" w:hAnsi="Times New Roman"/>
        </w:rPr>
        <w:t xml:space="preserve"> limited to ensure that the ground </w:t>
      </w:r>
      <w:r w:rsidR="00B3124A" w:rsidRPr="006A78F4">
        <w:rPr>
          <w:rFonts w:ascii="Times New Roman" w:hAnsi="Times New Roman"/>
        </w:rPr>
        <w:t xml:space="preserve">movement </w:t>
      </w:r>
      <w:r w:rsidRPr="006A78F4">
        <w:rPr>
          <w:rFonts w:ascii="Times New Roman" w:hAnsi="Times New Roman"/>
        </w:rPr>
        <w:t xml:space="preserve">is kept within acceptable limits. </w:t>
      </w:r>
      <w:proofErr w:type="gramStart"/>
      <w:r w:rsidRPr="006A78F4">
        <w:rPr>
          <w:rFonts w:ascii="Times New Roman" w:hAnsi="Times New Roman"/>
        </w:rPr>
        <w:t>In order to</w:t>
      </w:r>
      <w:proofErr w:type="gramEnd"/>
      <w:r w:rsidRPr="006A78F4">
        <w:rPr>
          <w:rFonts w:ascii="Times New Roman" w:hAnsi="Times New Roman"/>
        </w:rPr>
        <w:t xml:space="preserve"> achieve this, </w:t>
      </w:r>
      <w:r w:rsidR="006A041E" w:rsidRPr="006A78F4">
        <w:rPr>
          <w:rFonts w:ascii="Times New Roman" w:hAnsi="Times New Roman"/>
        </w:rPr>
        <w:t xml:space="preserve">the </w:t>
      </w:r>
      <w:r w:rsidRPr="006A78F4">
        <w:rPr>
          <w:rFonts w:ascii="Times New Roman" w:hAnsi="Times New Roman"/>
        </w:rPr>
        <w:t>NPP may rely on various systems</w:t>
      </w:r>
      <w:r w:rsidR="00456021">
        <w:rPr>
          <w:rFonts w:ascii="Times New Roman" w:hAnsi="Times New Roman"/>
        </w:rPr>
        <w:t>,</w:t>
      </w:r>
      <w:r w:rsidRPr="006A78F4">
        <w:rPr>
          <w:rFonts w:ascii="Times New Roman" w:hAnsi="Times New Roman"/>
        </w:rPr>
        <w:t xml:space="preserve"> which may include:</w:t>
      </w:r>
    </w:p>
    <w:p w14:paraId="384E8989" w14:textId="7254430F" w:rsidR="00313568" w:rsidRPr="00F27EBE" w:rsidRDefault="00456021"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 xml:space="preserve">Installation of </w:t>
      </w:r>
      <w:r w:rsidR="00313568" w:rsidRPr="00F27EBE">
        <w:rPr>
          <w:rFonts w:ascii="Times New Roman" w:hAnsi="Times New Roman"/>
          <w:color w:val="FF0000"/>
        </w:rPr>
        <w:t xml:space="preserve">waterproof </w:t>
      </w:r>
      <w:r w:rsidRPr="00F27EBE">
        <w:rPr>
          <w:rFonts w:ascii="Times New Roman" w:hAnsi="Times New Roman"/>
          <w:color w:val="FF0000"/>
        </w:rPr>
        <w:t xml:space="preserve">surfaces </w:t>
      </w:r>
      <w:r w:rsidR="00313568" w:rsidRPr="00F27EBE">
        <w:rPr>
          <w:rFonts w:ascii="Times New Roman" w:hAnsi="Times New Roman"/>
          <w:color w:val="FF0000"/>
        </w:rPr>
        <w:t>and draining system (</w:t>
      </w:r>
      <w:r w:rsidRPr="00F27EBE">
        <w:rPr>
          <w:rFonts w:ascii="Times New Roman" w:hAnsi="Times New Roman"/>
          <w:color w:val="FF0000"/>
        </w:rPr>
        <w:t xml:space="preserve">to </w:t>
      </w:r>
      <w:r w:rsidR="00313568" w:rsidRPr="00F27EBE">
        <w:rPr>
          <w:rFonts w:ascii="Times New Roman" w:hAnsi="Times New Roman"/>
          <w:color w:val="FF0000"/>
        </w:rPr>
        <w:t>collect rainwater</w:t>
      </w:r>
      <w:proofErr w:type="gramStart"/>
      <w:r w:rsidR="00313568" w:rsidRPr="00F27EBE">
        <w:rPr>
          <w:rFonts w:ascii="Times New Roman" w:hAnsi="Times New Roman"/>
          <w:color w:val="FF0000"/>
        </w:rPr>
        <w:t>)</w:t>
      </w:r>
      <w:r w:rsidR="00FC0ECA" w:rsidRPr="00F27EBE">
        <w:rPr>
          <w:rFonts w:ascii="Times New Roman" w:hAnsi="Times New Roman"/>
          <w:color w:val="FF0000"/>
        </w:rPr>
        <w:t>;</w:t>
      </w:r>
      <w:proofErr w:type="gramEnd"/>
    </w:p>
    <w:p w14:paraId="384E898A" w14:textId="2775EFC4" w:rsidR="00313568" w:rsidRPr="00F27EBE" w:rsidRDefault="008E1426"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Construction of d</w:t>
      </w:r>
      <w:r w:rsidR="00313568" w:rsidRPr="00F27EBE">
        <w:rPr>
          <w:rFonts w:ascii="Times New Roman" w:hAnsi="Times New Roman"/>
          <w:color w:val="FF0000"/>
        </w:rPr>
        <w:t>raining wells (</w:t>
      </w:r>
      <w:r w:rsidRPr="00F27EBE">
        <w:rPr>
          <w:rFonts w:ascii="Times New Roman" w:hAnsi="Times New Roman"/>
          <w:color w:val="FF0000"/>
        </w:rPr>
        <w:t xml:space="preserve">to </w:t>
      </w:r>
      <w:r w:rsidR="00313568" w:rsidRPr="00F27EBE">
        <w:rPr>
          <w:rFonts w:ascii="Times New Roman" w:hAnsi="Times New Roman"/>
          <w:color w:val="FF0000"/>
        </w:rPr>
        <w:t>collect</w:t>
      </w:r>
      <w:r w:rsidRPr="00F27EBE">
        <w:rPr>
          <w:rFonts w:ascii="Times New Roman" w:hAnsi="Times New Roman"/>
          <w:color w:val="FF0000"/>
        </w:rPr>
        <w:t xml:space="preserve"> the</w:t>
      </w:r>
      <w:r w:rsidR="00313568" w:rsidRPr="00F27EBE">
        <w:rPr>
          <w:rFonts w:ascii="Times New Roman" w:hAnsi="Times New Roman"/>
          <w:color w:val="FF0000"/>
        </w:rPr>
        <w:t xml:space="preserve"> water that may leak through the waterproof surface</w:t>
      </w:r>
      <w:proofErr w:type="gramStart"/>
      <w:r w:rsidR="00313568" w:rsidRPr="00F27EBE">
        <w:rPr>
          <w:rFonts w:ascii="Times New Roman" w:hAnsi="Times New Roman"/>
          <w:color w:val="FF0000"/>
        </w:rPr>
        <w:t>)</w:t>
      </w:r>
      <w:r w:rsidR="00FC0ECA" w:rsidRPr="00F27EBE">
        <w:rPr>
          <w:rFonts w:ascii="Times New Roman" w:hAnsi="Times New Roman"/>
          <w:color w:val="FF0000"/>
        </w:rPr>
        <w:t>;</w:t>
      </w:r>
      <w:proofErr w:type="gramEnd"/>
    </w:p>
    <w:p w14:paraId="384E898B" w14:textId="4FBD8F30" w:rsidR="00313568" w:rsidRPr="00F27EBE" w:rsidRDefault="008E1426"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Installation of h</w:t>
      </w:r>
      <w:r w:rsidR="00313568" w:rsidRPr="00F27EBE">
        <w:rPr>
          <w:rFonts w:ascii="Times New Roman" w:hAnsi="Times New Roman"/>
          <w:color w:val="FF0000"/>
        </w:rPr>
        <w:t xml:space="preserve">orizontal draining </w:t>
      </w:r>
      <w:r w:rsidRPr="00F27EBE">
        <w:rPr>
          <w:rFonts w:ascii="Times New Roman" w:hAnsi="Times New Roman"/>
          <w:color w:val="FF0000"/>
        </w:rPr>
        <w:t xml:space="preserve">net around </w:t>
      </w:r>
      <w:r w:rsidR="00313568" w:rsidRPr="00F27EBE">
        <w:rPr>
          <w:rFonts w:ascii="Times New Roman" w:hAnsi="Times New Roman"/>
          <w:color w:val="FF0000"/>
        </w:rPr>
        <w:t>the affected buildings (</w:t>
      </w:r>
      <w:r w:rsidRPr="00F27EBE">
        <w:rPr>
          <w:rFonts w:ascii="Times New Roman" w:hAnsi="Times New Roman"/>
          <w:color w:val="FF0000"/>
        </w:rPr>
        <w:t xml:space="preserve">to </w:t>
      </w:r>
      <w:r w:rsidR="00313568" w:rsidRPr="00F27EBE">
        <w:rPr>
          <w:rFonts w:ascii="Times New Roman" w:hAnsi="Times New Roman"/>
          <w:color w:val="FF0000"/>
        </w:rPr>
        <w:t xml:space="preserve">collect water that may get in contact with the </w:t>
      </w:r>
      <w:r w:rsidRPr="00F27EBE">
        <w:rPr>
          <w:rFonts w:ascii="Times New Roman" w:hAnsi="Times New Roman"/>
          <w:color w:val="FF0000"/>
        </w:rPr>
        <w:t>soil</w:t>
      </w:r>
      <w:r w:rsidR="00313568" w:rsidRPr="00F27EBE">
        <w:rPr>
          <w:rFonts w:ascii="Times New Roman" w:hAnsi="Times New Roman"/>
          <w:color w:val="FF0000"/>
        </w:rPr>
        <w:t xml:space="preserve"> through the draining wells</w:t>
      </w:r>
      <w:proofErr w:type="gramStart"/>
      <w:r w:rsidR="00313568" w:rsidRPr="00F27EBE">
        <w:rPr>
          <w:rFonts w:ascii="Times New Roman" w:hAnsi="Times New Roman"/>
          <w:color w:val="FF0000"/>
        </w:rPr>
        <w:t>)</w:t>
      </w:r>
      <w:r w:rsidR="00FC0ECA" w:rsidRPr="00F27EBE">
        <w:rPr>
          <w:rFonts w:ascii="Times New Roman" w:hAnsi="Times New Roman"/>
          <w:color w:val="FF0000"/>
        </w:rPr>
        <w:t>;</w:t>
      </w:r>
      <w:proofErr w:type="gramEnd"/>
    </w:p>
    <w:p w14:paraId="384E898C" w14:textId="50E2FF5E" w:rsidR="00313568" w:rsidRPr="00F27EBE" w:rsidRDefault="008E1426"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Construction of w</w:t>
      </w:r>
      <w:r w:rsidR="00313568" w:rsidRPr="00F27EBE">
        <w:rPr>
          <w:rFonts w:ascii="Times New Roman" w:hAnsi="Times New Roman"/>
          <w:color w:val="FF0000"/>
        </w:rPr>
        <w:t>aterproof screen</w:t>
      </w:r>
      <w:r w:rsidRPr="00F27EBE">
        <w:rPr>
          <w:rFonts w:ascii="Times New Roman" w:hAnsi="Times New Roman"/>
          <w:color w:val="FF0000"/>
        </w:rPr>
        <w:t>s</w:t>
      </w:r>
      <w:r w:rsidR="00313568" w:rsidRPr="00F27EBE">
        <w:rPr>
          <w:rFonts w:ascii="Times New Roman" w:hAnsi="Times New Roman"/>
          <w:color w:val="FF0000"/>
        </w:rPr>
        <w:t xml:space="preserve"> (to limit the </w:t>
      </w:r>
      <w:r w:rsidRPr="00F27EBE">
        <w:rPr>
          <w:rFonts w:ascii="Times New Roman" w:hAnsi="Times New Roman"/>
          <w:color w:val="FF0000"/>
        </w:rPr>
        <w:t>entry</w:t>
      </w:r>
      <w:r w:rsidR="00313568" w:rsidRPr="00F27EBE">
        <w:rPr>
          <w:rFonts w:ascii="Times New Roman" w:hAnsi="Times New Roman"/>
          <w:color w:val="FF0000"/>
        </w:rPr>
        <w:t xml:space="preserve"> of water from adjacent </w:t>
      </w:r>
      <w:r w:rsidR="00DF2BF4" w:rsidRPr="00F27EBE">
        <w:rPr>
          <w:rFonts w:ascii="Times New Roman" w:hAnsi="Times New Roman"/>
          <w:color w:val="FF0000"/>
        </w:rPr>
        <w:t xml:space="preserve">sources: </w:t>
      </w:r>
      <w:r w:rsidR="00313568" w:rsidRPr="00F27EBE">
        <w:rPr>
          <w:rFonts w:ascii="Times New Roman" w:hAnsi="Times New Roman"/>
          <w:color w:val="FF0000"/>
        </w:rPr>
        <w:t>rivers</w:t>
      </w:r>
      <w:r w:rsidR="00B64FD7" w:rsidRPr="00F27EBE">
        <w:rPr>
          <w:rFonts w:ascii="Times New Roman" w:hAnsi="Times New Roman"/>
          <w:color w:val="FF0000"/>
        </w:rPr>
        <w:t xml:space="preserve"> or</w:t>
      </w:r>
      <w:r w:rsidR="00313568" w:rsidRPr="00F27EBE">
        <w:rPr>
          <w:rFonts w:ascii="Times New Roman" w:hAnsi="Times New Roman"/>
          <w:color w:val="FF0000"/>
        </w:rPr>
        <w:t xml:space="preserve"> lakes</w:t>
      </w:r>
      <w:proofErr w:type="gramStart"/>
      <w:r w:rsidR="00313568" w:rsidRPr="00F27EBE">
        <w:rPr>
          <w:rFonts w:ascii="Times New Roman" w:hAnsi="Times New Roman"/>
          <w:color w:val="FF0000"/>
        </w:rPr>
        <w:t>)</w:t>
      </w:r>
      <w:r w:rsidR="00FC0ECA" w:rsidRPr="00F27EBE">
        <w:rPr>
          <w:rFonts w:ascii="Times New Roman" w:hAnsi="Times New Roman"/>
          <w:color w:val="FF0000"/>
        </w:rPr>
        <w:t>;</w:t>
      </w:r>
      <w:proofErr w:type="gramEnd"/>
    </w:p>
    <w:p w14:paraId="384E898D" w14:textId="500F01C2" w:rsidR="00313568" w:rsidRPr="00F27EBE" w:rsidRDefault="008E1426"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Construction of superficial drainages (to c</w:t>
      </w:r>
      <w:r w:rsidR="00313568" w:rsidRPr="00F27EBE">
        <w:rPr>
          <w:rFonts w:ascii="Times New Roman" w:hAnsi="Times New Roman"/>
          <w:color w:val="FF0000"/>
        </w:rPr>
        <w:t xml:space="preserve">ollect water coming down from </w:t>
      </w:r>
      <w:r w:rsidR="006A041E" w:rsidRPr="00F27EBE">
        <w:rPr>
          <w:rFonts w:ascii="Times New Roman" w:hAnsi="Times New Roman"/>
          <w:color w:val="FF0000"/>
        </w:rPr>
        <w:t>surrounding</w:t>
      </w:r>
      <w:r w:rsidR="00313568" w:rsidRPr="00F27EBE">
        <w:rPr>
          <w:rFonts w:ascii="Times New Roman" w:hAnsi="Times New Roman"/>
          <w:color w:val="FF0000"/>
        </w:rPr>
        <w:t xml:space="preserve"> slopes</w:t>
      </w:r>
      <w:proofErr w:type="gramStart"/>
      <w:r w:rsidRPr="00F27EBE">
        <w:rPr>
          <w:rFonts w:ascii="Times New Roman" w:hAnsi="Times New Roman"/>
          <w:color w:val="FF0000"/>
        </w:rPr>
        <w:t>)</w:t>
      </w:r>
      <w:r w:rsidR="00FC0ECA" w:rsidRPr="00F27EBE">
        <w:rPr>
          <w:rFonts w:ascii="Times New Roman" w:hAnsi="Times New Roman"/>
          <w:color w:val="FF0000"/>
        </w:rPr>
        <w:t>;</w:t>
      </w:r>
      <w:proofErr w:type="gramEnd"/>
    </w:p>
    <w:p w14:paraId="384E898E" w14:textId="6AC3523B" w:rsidR="00C04834" w:rsidRPr="00F27EBE" w:rsidRDefault="008E1426" w:rsidP="00303A1C">
      <w:pPr>
        <w:numPr>
          <w:ilvl w:val="1"/>
          <w:numId w:val="5"/>
        </w:numPr>
        <w:tabs>
          <w:tab w:val="clear" w:pos="1260"/>
        </w:tabs>
        <w:spacing w:before="120" w:after="120"/>
        <w:ind w:left="714" w:hanging="357"/>
        <w:rPr>
          <w:rFonts w:ascii="Times New Roman" w:hAnsi="Times New Roman"/>
          <w:color w:val="FF0000"/>
        </w:rPr>
      </w:pPr>
      <w:r w:rsidRPr="00F27EBE">
        <w:rPr>
          <w:rFonts w:ascii="Times New Roman" w:hAnsi="Times New Roman"/>
          <w:color w:val="FF0000"/>
        </w:rPr>
        <w:t>Installation of a d</w:t>
      </w:r>
      <w:r w:rsidR="00C04834" w:rsidRPr="00F27EBE">
        <w:rPr>
          <w:rFonts w:ascii="Times New Roman" w:hAnsi="Times New Roman"/>
          <w:color w:val="FF0000"/>
        </w:rPr>
        <w:t xml:space="preserve">rainage dewatering system </w:t>
      </w:r>
      <w:r w:rsidRPr="00F27EBE">
        <w:rPr>
          <w:rFonts w:ascii="Times New Roman" w:hAnsi="Times New Roman"/>
          <w:color w:val="FF0000"/>
        </w:rPr>
        <w:t>(</w:t>
      </w:r>
      <w:r w:rsidR="00C04834" w:rsidRPr="00F27EBE">
        <w:rPr>
          <w:rFonts w:ascii="Times New Roman" w:hAnsi="Times New Roman"/>
          <w:color w:val="FF0000"/>
        </w:rPr>
        <w:t>to lower site ground water level</w:t>
      </w:r>
      <w:r w:rsidRPr="00F27EBE">
        <w:rPr>
          <w:rFonts w:ascii="Times New Roman" w:hAnsi="Times New Roman"/>
          <w:color w:val="FF0000"/>
        </w:rPr>
        <w:t>, especially in sites located near the sea, estuaries lakes or water reservoirs)</w:t>
      </w:r>
      <w:r w:rsidR="00C04834" w:rsidRPr="00F27EBE">
        <w:rPr>
          <w:rFonts w:ascii="Times New Roman" w:hAnsi="Times New Roman"/>
          <w:color w:val="FF0000"/>
        </w:rPr>
        <w:t>.</w:t>
      </w:r>
    </w:p>
    <w:p w14:paraId="0B1E02FA" w14:textId="77777777" w:rsidR="008E1426" w:rsidRDefault="008E1426" w:rsidP="006C645E">
      <w:pPr>
        <w:spacing w:before="120" w:after="120"/>
        <w:rPr>
          <w:rFonts w:ascii="Times New Roman" w:hAnsi="Times New Roman"/>
        </w:rPr>
      </w:pPr>
    </w:p>
    <w:p w14:paraId="384E898F" w14:textId="2B956ADC" w:rsidR="006A78F4" w:rsidRDefault="00313568" w:rsidP="006C645E">
      <w:pPr>
        <w:spacing w:before="120" w:after="120"/>
        <w:rPr>
          <w:rFonts w:ascii="Times New Roman" w:hAnsi="Times New Roman"/>
        </w:rPr>
      </w:pPr>
      <w:r w:rsidRPr="006A78F4">
        <w:rPr>
          <w:rFonts w:ascii="Times New Roman" w:hAnsi="Times New Roman"/>
        </w:rPr>
        <w:t>Th</w:t>
      </w:r>
      <w:r w:rsidR="008E1426">
        <w:rPr>
          <w:rFonts w:ascii="Times New Roman" w:hAnsi="Times New Roman"/>
        </w:rPr>
        <w:t>is</w:t>
      </w:r>
      <w:r w:rsidRPr="006A78F4">
        <w:rPr>
          <w:rFonts w:ascii="Times New Roman" w:hAnsi="Times New Roman"/>
        </w:rPr>
        <w:t xml:space="preserve"> AMP establishes </w:t>
      </w:r>
      <w:r w:rsidR="006A041E" w:rsidRPr="006A78F4">
        <w:rPr>
          <w:rFonts w:ascii="Times New Roman" w:hAnsi="Times New Roman"/>
        </w:rPr>
        <w:t>a</w:t>
      </w:r>
      <w:r w:rsidRPr="006A78F4">
        <w:rPr>
          <w:rFonts w:ascii="Times New Roman" w:hAnsi="Times New Roman"/>
        </w:rPr>
        <w:t xml:space="preserve"> hydrological monitoring </w:t>
      </w:r>
      <w:r w:rsidR="008E1426">
        <w:rPr>
          <w:rFonts w:ascii="Times New Roman" w:hAnsi="Times New Roman"/>
        </w:rPr>
        <w:t>programme</w:t>
      </w:r>
      <w:r w:rsidRPr="006A78F4">
        <w:rPr>
          <w:rFonts w:ascii="Times New Roman" w:hAnsi="Times New Roman"/>
        </w:rPr>
        <w:t xml:space="preserve"> to survey the effectiveness of the systems </w:t>
      </w:r>
      <w:r w:rsidR="008E1426">
        <w:rPr>
          <w:rFonts w:ascii="Times New Roman" w:hAnsi="Times New Roman"/>
        </w:rPr>
        <w:t xml:space="preserve">that </w:t>
      </w:r>
      <w:r w:rsidRPr="006A78F4">
        <w:rPr>
          <w:rFonts w:ascii="Times New Roman" w:hAnsi="Times New Roman"/>
        </w:rPr>
        <w:t xml:space="preserve">control the </w:t>
      </w:r>
      <w:r w:rsidR="008E1426">
        <w:rPr>
          <w:rFonts w:ascii="Times New Roman" w:hAnsi="Times New Roman"/>
        </w:rPr>
        <w:t>entry</w:t>
      </w:r>
      <w:r w:rsidRPr="006A78F4">
        <w:rPr>
          <w:rFonts w:ascii="Times New Roman" w:hAnsi="Times New Roman"/>
        </w:rPr>
        <w:t xml:space="preserve"> of water </w:t>
      </w:r>
      <w:r w:rsidR="008E1426">
        <w:rPr>
          <w:rFonts w:ascii="Times New Roman" w:hAnsi="Times New Roman"/>
        </w:rPr>
        <w:t>in</w:t>
      </w:r>
      <w:r w:rsidRPr="006A78F4">
        <w:rPr>
          <w:rFonts w:ascii="Times New Roman" w:hAnsi="Times New Roman"/>
        </w:rPr>
        <w:t xml:space="preserve">to the soil beneath the foundations of the affected buildings. These activities allow the surveillance of the groundwater causing the swelling of the </w:t>
      </w:r>
      <w:r w:rsidR="008E1426">
        <w:rPr>
          <w:rFonts w:ascii="Times New Roman" w:hAnsi="Times New Roman"/>
        </w:rPr>
        <w:t>soil</w:t>
      </w:r>
      <w:r w:rsidRPr="006A78F4">
        <w:rPr>
          <w:rFonts w:ascii="Times New Roman" w:hAnsi="Times New Roman"/>
        </w:rPr>
        <w:t xml:space="preserve">, thus anticipating the medium to long term evolution of ground </w:t>
      </w:r>
      <w:r w:rsidR="00B3124A" w:rsidRPr="006A78F4">
        <w:rPr>
          <w:rFonts w:ascii="Times New Roman" w:hAnsi="Times New Roman"/>
        </w:rPr>
        <w:t>movement</w:t>
      </w:r>
      <w:r w:rsidRPr="006A78F4">
        <w:rPr>
          <w:rFonts w:ascii="Times New Roman" w:hAnsi="Times New Roman"/>
        </w:rPr>
        <w:t xml:space="preserve"> compared with the in-site previously performed previsions. </w:t>
      </w:r>
    </w:p>
    <w:p w14:paraId="384E8990" w14:textId="77777777" w:rsidR="006A78F4" w:rsidRPr="006A78F4" w:rsidRDefault="006A78F4" w:rsidP="006C645E">
      <w:pPr>
        <w:spacing w:before="120" w:after="120"/>
        <w:rPr>
          <w:rFonts w:ascii="Times New Roman" w:hAnsi="Times New Roman"/>
        </w:rPr>
      </w:pPr>
    </w:p>
    <w:p w14:paraId="384E8991" w14:textId="77777777" w:rsidR="00313568" w:rsidRPr="006A78F4" w:rsidRDefault="00313568" w:rsidP="006C645E">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lastRenderedPageBreak/>
        <w:t xml:space="preserve">Detection of </w:t>
      </w:r>
      <w:r w:rsidR="00692932" w:rsidRPr="006A78F4">
        <w:rPr>
          <w:rFonts w:ascii="Times New Roman" w:hAnsi="Times New Roman"/>
          <w:b/>
          <w:i/>
          <w:sz w:val="24"/>
          <w:szCs w:val="24"/>
        </w:rPr>
        <w:t>a</w:t>
      </w:r>
      <w:r w:rsidR="00B3124A" w:rsidRPr="006A78F4">
        <w:rPr>
          <w:rFonts w:ascii="Times New Roman" w:hAnsi="Times New Roman"/>
          <w:b/>
          <w:i/>
          <w:sz w:val="24"/>
          <w:szCs w:val="24"/>
        </w:rPr>
        <w:t>g</w:t>
      </w:r>
      <w:r w:rsidRPr="006A78F4">
        <w:rPr>
          <w:rFonts w:ascii="Times New Roman" w:hAnsi="Times New Roman"/>
          <w:b/>
          <w:i/>
          <w:sz w:val="24"/>
          <w:szCs w:val="24"/>
        </w:rPr>
        <w:t xml:space="preserve">eing </w:t>
      </w:r>
      <w:r w:rsidR="00692932" w:rsidRPr="006A78F4">
        <w:rPr>
          <w:rFonts w:ascii="Times New Roman" w:hAnsi="Times New Roman"/>
          <w:b/>
          <w:i/>
          <w:sz w:val="24"/>
          <w:szCs w:val="24"/>
        </w:rPr>
        <w:t>e</w:t>
      </w:r>
      <w:r w:rsidRPr="006A78F4">
        <w:rPr>
          <w:rFonts w:ascii="Times New Roman" w:hAnsi="Times New Roman"/>
          <w:b/>
          <w:i/>
          <w:sz w:val="24"/>
          <w:szCs w:val="24"/>
        </w:rPr>
        <w:t>ffects</w:t>
      </w:r>
      <w:r w:rsidR="00D721CA" w:rsidRPr="006A78F4">
        <w:rPr>
          <w:rFonts w:ascii="Times New Roman" w:hAnsi="Times New Roman"/>
          <w:b/>
          <w:i/>
          <w:sz w:val="24"/>
          <w:szCs w:val="24"/>
        </w:rPr>
        <w:t>:</w:t>
      </w:r>
    </w:p>
    <w:p w14:paraId="53A670D9" w14:textId="77777777" w:rsidR="008E1426" w:rsidRDefault="008E1426" w:rsidP="006C645E">
      <w:pPr>
        <w:spacing w:before="120" w:after="120"/>
        <w:rPr>
          <w:rFonts w:ascii="Times New Roman" w:hAnsi="Times New Roman"/>
        </w:rPr>
      </w:pPr>
    </w:p>
    <w:p w14:paraId="32245E98" w14:textId="77777777" w:rsidR="008E1426" w:rsidRPr="00F27EBE" w:rsidRDefault="008E1426" w:rsidP="008E1426">
      <w:pPr>
        <w:spacing w:before="120" w:after="120" w:line="276" w:lineRule="auto"/>
        <w:rPr>
          <w:rFonts w:ascii="Times New Roman" w:hAnsi="Times New Roman"/>
          <w:color w:val="FF0000"/>
        </w:rPr>
      </w:pPr>
      <w:r w:rsidRPr="00F27EBE">
        <w:rPr>
          <w:rFonts w:ascii="Times New Roman" w:hAnsi="Times New Roman"/>
          <w:color w:val="FF0000"/>
        </w:rPr>
        <w:t>The approach of this AMP is the ground movement caused by the volumetric expansion of an expansive soil. The volumetric expansion of the soil generates displacements in the three main directions, one vertical and two others horizontal. Therefore, in addition to up-heave, which is the displacement due to the vertical component, there is an excess of earth pressure compared to regular soil condition caused by the horizontal components on buried structures and retaining walls throughout the area comprised by the expansive soil layer.</w:t>
      </w:r>
    </w:p>
    <w:p w14:paraId="384E8992" w14:textId="655E91E6" w:rsidR="00FA1D19" w:rsidRPr="006A78F4" w:rsidRDefault="00FA1D19" w:rsidP="006C645E">
      <w:pPr>
        <w:spacing w:before="120" w:after="120"/>
        <w:rPr>
          <w:rFonts w:ascii="Times New Roman" w:hAnsi="Times New Roman"/>
        </w:rPr>
      </w:pPr>
      <w:r w:rsidRPr="006A78F4">
        <w:rPr>
          <w:rFonts w:ascii="Times New Roman" w:hAnsi="Times New Roman"/>
        </w:rPr>
        <w:t xml:space="preserve">Aging effects due to </w:t>
      </w:r>
      <w:r w:rsidR="00276DA4">
        <w:rPr>
          <w:rFonts w:ascii="Times New Roman" w:hAnsi="Times New Roman"/>
        </w:rPr>
        <w:t>this phenomenon</w:t>
      </w:r>
      <w:r w:rsidRPr="006A78F4">
        <w:rPr>
          <w:rFonts w:ascii="Times New Roman" w:hAnsi="Times New Roman"/>
        </w:rPr>
        <w:t xml:space="preserve"> include cracking, distortion, loss of foundation strength and tilt </w:t>
      </w:r>
      <w:r w:rsidR="00276DA4">
        <w:rPr>
          <w:rFonts w:ascii="Times New Roman" w:hAnsi="Times New Roman"/>
        </w:rPr>
        <w:t>of</w:t>
      </w:r>
      <w:r w:rsidRPr="006A78F4">
        <w:rPr>
          <w:rFonts w:ascii="Times New Roman" w:hAnsi="Times New Roman"/>
        </w:rPr>
        <w:t xml:space="preserve"> structures.</w:t>
      </w:r>
    </w:p>
    <w:p w14:paraId="384E89A1" w14:textId="2DD2F437" w:rsidR="00313568" w:rsidRPr="006A78F4" w:rsidRDefault="00564B42" w:rsidP="006A78F4">
      <w:pPr>
        <w:autoSpaceDE w:val="0"/>
        <w:autoSpaceDN w:val="0"/>
        <w:adjustRightInd w:val="0"/>
        <w:ind w:left="900"/>
        <w:jc w:val="left"/>
        <w:rPr>
          <w:rFonts w:ascii="Times New Roman" w:hAnsi="Times New Roman"/>
        </w:rPr>
      </w:pPr>
      <w:commentRangeStart w:id="0"/>
      <w:commentRangeEnd w:id="0"/>
      <w:r>
        <w:rPr>
          <w:rStyle w:val="CommentReference"/>
          <w:lang w:val="x-none" w:bidi="fa-IR"/>
        </w:rPr>
        <w:commentReference w:id="0"/>
      </w:r>
    </w:p>
    <w:p w14:paraId="384E89A2" w14:textId="77777777" w:rsidR="00313568" w:rsidRPr="006A78F4" w:rsidRDefault="004D7BEE"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M</w:t>
      </w:r>
      <w:r w:rsidR="00313568" w:rsidRPr="006A78F4">
        <w:rPr>
          <w:rFonts w:ascii="Times New Roman" w:hAnsi="Times New Roman"/>
          <w:b/>
          <w:i/>
          <w:sz w:val="24"/>
          <w:szCs w:val="24"/>
        </w:rPr>
        <w:t xml:space="preserve">onitoring and </w:t>
      </w:r>
      <w:r w:rsidR="00692932" w:rsidRPr="006A78F4">
        <w:rPr>
          <w:rFonts w:ascii="Times New Roman" w:hAnsi="Times New Roman"/>
          <w:b/>
          <w:i/>
          <w:sz w:val="24"/>
          <w:szCs w:val="24"/>
        </w:rPr>
        <w:t>t</w:t>
      </w:r>
      <w:r w:rsidR="00313568" w:rsidRPr="006A78F4">
        <w:rPr>
          <w:rFonts w:ascii="Times New Roman" w:hAnsi="Times New Roman"/>
          <w:b/>
          <w:i/>
          <w:sz w:val="24"/>
          <w:szCs w:val="24"/>
        </w:rPr>
        <w:t xml:space="preserve">rending of </w:t>
      </w:r>
      <w:r w:rsidR="00692932" w:rsidRPr="006A78F4">
        <w:rPr>
          <w:rFonts w:ascii="Times New Roman" w:hAnsi="Times New Roman"/>
          <w:b/>
          <w:i/>
          <w:sz w:val="24"/>
          <w:szCs w:val="24"/>
        </w:rPr>
        <w:t>a</w:t>
      </w:r>
      <w:r w:rsidR="00313568" w:rsidRPr="006A78F4">
        <w:rPr>
          <w:rFonts w:ascii="Times New Roman" w:hAnsi="Times New Roman"/>
          <w:b/>
          <w:i/>
          <w:sz w:val="24"/>
          <w:szCs w:val="24"/>
        </w:rPr>
        <w:t>g</w:t>
      </w:r>
      <w:r w:rsidR="00B3124A" w:rsidRPr="006A78F4">
        <w:rPr>
          <w:rFonts w:ascii="Times New Roman" w:hAnsi="Times New Roman"/>
          <w:b/>
          <w:i/>
          <w:sz w:val="24"/>
          <w:szCs w:val="24"/>
        </w:rPr>
        <w:t>e</w:t>
      </w:r>
      <w:r w:rsidR="00313568" w:rsidRPr="006A78F4">
        <w:rPr>
          <w:rFonts w:ascii="Times New Roman" w:hAnsi="Times New Roman"/>
          <w:b/>
          <w:i/>
          <w:sz w:val="24"/>
          <w:szCs w:val="24"/>
        </w:rPr>
        <w:t xml:space="preserve">ing </w:t>
      </w:r>
      <w:r w:rsidR="00692932" w:rsidRPr="006A78F4">
        <w:rPr>
          <w:rFonts w:ascii="Times New Roman" w:hAnsi="Times New Roman"/>
          <w:b/>
          <w:i/>
          <w:sz w:val="24"/>
          <w:szCs w:val="24"/>
        </w:rPr>
        <w:t>e</w:t>
      </w:r>
      <w:r w:rsidR="00313568" w:rsidRPr="006A78F4">
        <w:rPr>
          <w:rFonts w:ascii="Times New Roman" w:hAnsi="Times New Roman"/>
          <w:b/>
          <w:i/>
          <w:sz w:val="24"/>
          <w:szCs w:val="24"/>
        </w:rPr>
        <w:t>ffects</w:t>
      </w:r>
      <w:r w:rsidR="00D721CA" w:rsidRPr="006A78F4">
        <w:rPr>
          <w:rFonts w:ascii="Times New Roman" w:hAnsi="Times New Roman"/>
          <w:b/>
          <w:i/>
          <w:sz w:val="24"/>
          <w:szCs w:val="24"/>
        </w:rPr>
        <w:t>:</w:t>
      </w:r>
    </w:p>
    <w:p w14:paraId="1431D8BF" w14:textId="7505CCDC" w:rsidR="00276DA4" w:rsidRDefault="00276DA4" w:rsidP="00017A17">
      <w:pPr>
        <w:spacing w:before="120" w:after="120"/>
        <w:rPr>
          <w:rFonts w:ascii="Times New Roman" w:hAnsi="Times New Roman"/>
        </w:rPr>
      </w:pPr>
    </w:p>
    <w:p w14:paraId="57D7CE1C" w14:textId="621AF346" w:rsidR="004245E2" w:rsidRDefault="004245E2" w:rsidP="00017A17">
      <w:pPr>
        <w:spacing w:before="120" w:after="120"/>
        <w:rPr>
          <w:rFonts w:ascii="Times New Roman" w:hAnsi="Times New Roman"/>
        </w:rPr>
      </w:pPr>
    </w:p>
    <w:p w14:paraId="0629F2B8" w14:textId="4258770D" w:rsidR="00930EC4" w:rsidRPr="00F27EBE" w:rsidRDefault="00930EC4" w:rsidP="00930EC4">
      <w:pPr>
        <w:spacing w:before="120" w:after="120" w:line="276" w:lineRule="auto"/>
        <w:rPr>
          <w:rFonts w:ascii="Times New Roman" w:hAnsi="Times New Roman"/>
          <w:color w:val="FF0000"/>
        </w:rPr>
      </w:pPr>
      <w:r w:rsidRPr="00F27EBE">
        <w:rPr>
          <w:rFonts w:ascii="Times New Roman" w:hAnsi="Times New Roman"/>
          <w:color w:val="FF0000"/>
        </w:rPr>
        <w:t xml:space="preserve">Volumetric expansion of expansive soils is a complex phenomenon whose occurrence depends on the soil saturation by the groundwater. For aiming and evaluating the expansive soil behavior, it is mandatory to implement monitoring programmes for the soil, </w:t>
      </w:r>
      <w:proofErr w:type="gramStart"/>
      <w:r w:rsidRPr="00F27EBE">
        <w:rPr>
          <w:rFonts w:ascii="Times New Roman" w:hAnsi="Times New Roman"/>
          <w:color w:val="FF0000"/>
        </w:rPr>
        <w:t>groundwater</w:t>
      </w:r>
      <w:proofErr w:type="gramEnd"/>
      <w:r w:rsidRPr="00F27EBE">
        <w:rPr>
          <w:rFonts w:ascii="Times New Roman" w:hAnsi="Times New Roman"/>
          <w:color w:val="FF0000"/>
        </w:rPr>
        <w:t xml:space="preserve"> and structures. All these monitoring programmes </w:t>
      </w:r>
      <w:r w:rsidR="00F27EBE" w:rsidRPr="00F27EBE">
        <w:rPr>
          <w:rFonts w:ascii="Times New Roman" w:hAnsi="Times New Roman"/>
          <w:color w:val="FF0000"/>
        </w:rPr>
        <w:t>are</w:t>
      </w:r>
      <w:r w:rsidRPr="00F27EBE">
        <w:rPr>
          <w:rFonts w:ascii="Times New Roman" w:hAnsi="Times New Roman"/>
          <w:color w:val="FF0000"/>
        </w:rPr>
        <w:t xml:space="preserve"> be carried out during the lifespan of the NPP.</w:t>
      </w:r>
    </w:p>
    <w:p w14:paraId="12511DAA" w14:textId="5468E21D" w:rsidR="00930EC4" w:rsidRPr="00F27EBE" w:rsidRDefault="00930EC4" w:rsidP="00930EC4">
      <w:pPr>
        <w:spacing w:before="120" w:after="120"/>
        <w:rPr>
          <w:rFonts w:ascii="Times New Roman" w:hAnsi="Times New Roman"/>
          <w:color w:val="FF0000"/>
        </w:rPr>
      </w:pPr>
      <w:r w:rsidRPr="00F27EBE">
        <w:rPr>
          <w:rFonts w:ascii="Times New Roman" w:hAnsi="Times New Roman"/>
          <w:color w:val="FF0000"/>
        </w:rPr>
        <w:t xml:space="preserve">The monitoring parameters </w:t>
      </w:r>
      <w:r w:rsidR="00F27EBE" w:rsidRPr="00F27EBE">
        <w:rPr>
          <w:rFonts w:ascii="Times New Roman" w:hAnsi="Times New Roman"/>
          <w:color w:val="FF0000"/>
        </w:rPr>
        <w:t>are</w:t>
      </w:r>
      <w:r w:rsidRPr="00F27EBE">
        <w:rPr>
          <w:rFonts w:ascii="Times New Roman" w:hAnsi="Times New Roman"/>
          <w:color w:val="FF0000"/>
        </w:rPr>
        <w:t xml:space="preserve"> those that let detect what may affect or influence the intended function of safety related SSCs, due to ground up-heave effects. </w:t>
      </w:r>
    </w:p>
    <w:p w14:paraId="4CEBCBAA" w14:textId="77777777" w:rsidR="00930EC4" w:rsidRPr="00F27EBE" w:rsidRDefault="00930EC4" w:rsidP="00930EC4">
      <w:pPr>
        <w:spacing w:before="120" w:after="120"/>
        <w:rPr>
          <w:rFonts w:ascii="Times New Roman" w:hAnsi="Times New Roman"/>
          <w:color w:val="FF0000"/>
        </w:rPr>
      </w:pPr>
      <w:r w:rsidRPr="00F27EBE">
        <w:rPr>
          <w:rFonts w:ascii="Times New Roman" w:hAnsi="Times New Roman"/>
          <w:color w:val="FF0000"/>
        </w:rPr>
        <w:t xml:space="preserve">These parameters include long-term and continuous measurement of movements at key points of the structures using extensometers and other instrumentation. The frequency of the measurement is established based on the overall movement settlement and rate of progression. </w:t>
      </w:r>
    </w:p>
    <w:p w14:paraId="0CF1087C" w14:textId="4EB44053" w:rsidR="00930EC4" w:rsidRPr="00F27EBE" w:rsidRDefault="00F27EBE" w:rsidP="00930EC4">
      <w:pPr>
        <w:spacing w:before="120" w:after="120"/>
        <w:jc w:val="left"/>
        <w:rPr>
          <w:rFonts w:ascii="Times New Roman" w:hAnsi="Times New Roman"/>
          <w:color w:val="FF0000"/>
        </w:rPr>
      </w:pPr>
      <w:r w:rsidRPr="00F27EBE">
        <w:rPr>
          <w:rFonts w:ascii="Times New Roman" w:hAnsi="Times New Roman"/>
          <w:color w:val="FF0000"/>
        </w:rPr>
        <w:t>According to</w:t>
      </w:r>
      <w:r w:rsidR="00930EC4" w:rsidRPr="00F27EBE">
        <w:rPr>
          <w:rFonts w:ascii="Times New Roman" w:hAnsi="Times New Roman"/>
          <w:color w:val="FF0000"/>
        </w:rPr>
        <w:t xml:space="preserve"> Spanish operating experience presented in attribute 8, the following monitoring elements may be used:</w:t>
      </w:r>
    </w:p>
    <w:p w14:paraId="15DF3AB7" w14:textId="77777777" w:rsidR="00930EC4" w:rsidRPr="00F27EBE" w:rsidRDefault="00930EC4" w:rsidP="00930EC4">
      <w:pPr>
        <w:numPr>
          <w:ilvl w:val="0"/>
          <w:numId w:val="6"/>
        </w:numPr>
        <w:tabs>
          <w:tab w:val="clear" w:pos="900"/>
        </w:tabs>
        <w:spacing w:before="120" w:after="120" w:line="276" w:lineRule="auto"/>
        <w:ind w:left="714" w:hanging="357"/>
        <w:jc w:val="left"/>
        <w:rPr>
          <w:rFonts w:ascii="Times New Roman" w:hAnsi="Times New Roman"/>
          <w:color w:val="FF0000"/>
        </w:rPr>
      </w:pPr>
      <w:r w:rsidRPr="00F27EBE">
        <w:rPr>
          <w:rFonts w:ascii="Times New Roman" w:hAnsi="Times New Roman"/>
          <w:color w:val="FF0000"/>
        </w:rPr>
        <w:t xml:space="preserve">Basic measurements system for monitoring the ground movements; including data collection of: </w:t>
      </w:r>
    </w:p>
    <w:p w14:paraId="2FDC44C4"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r w:rsidRPr="00F27EBE">
        <w:rPr>
          <w:rFonts w:ascii="Times New Roman" w:hAnsi="Times New Roman"/>
          <w:color w:val="FF0000"/>
        </w:rPr>
        <w:t xml:space="preserve">Topographic leveling </w:t>
      </w:r>
      <w:proofErr w:type="gramStart"/>
      <w:r w:rsidRPr="00F27EBE">
        <w:rPr>
          <w:rFonts w:ascii="Times New Roman" w:hAnsi="Times New Roman"/>
          <w:color w:val="FF0000"/>
        </w:rPr>
        <w:t>gauges;</w:t>
      </w:r>
      <w:proofErr w:type="gramEnd"/>
    </w:p>
    <w:p w14:paraId="3046D537"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r w:rsidRPr="00F27EBE">
        <w:rPr>
          <w:rFonts w:ascii="Times New Roman" w:hAnsi="Times New Roman"/>
          <w:color w:val="FF0000"/>
        </w:rPr>
        <w:t xml:space="preserve">Extensometers embedded deep into the ground to measure changes in the soil active </w:t>
      </w:r>
      <w:proofErr w:type="gramStart"/>
      <w:r w:rsidRPr="00F27EBE">
        <w:rPr>
          <w:rFonts w:ascii="Times New Roman" w:hAnsi="Times New Roman"/>
          <w:color w:val="FF0000"/>
        </w:rPr>
        <w:t>layers;</w:t>
      </w:r>
      <w:proofErr w:type="gramEnd"/>
    </w:p>
    <w:p w14:paraId="286E79CC"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r w:rsidRPr="00F27EBE">
        <w:rPr>
          <w:rFonts w:ascii="Times New Roman" w:hAnsi="Times New Roman"/>
          <w:color w:val="FF0000"/>
        </w:rPr>
        <w:t xml:space="preserve">Mechanical triaxial </w:t>
      </w:r>
      <w:proofErr w:type="spellStart"/>
      <w:r w:rsidRPr="00F27EBE">
        <w:rPr>
          <w:rFonts w:ascii="Times New Roman" w:hAnsi="Times New Roman"/>
          <w:color w:val="FF0000"/>
        </w:rPr>
        <w:t>jointmeters</w:t>
      </w:r>
      <w:proofErr w:type="spellEnd"/>
      <w:r w:rsidRPr="00F27EBE">
        <w:rPr>
          <w:rFonts w:ascii="Times New Roman" w:hAnsi="Times New Roman"/>
          <w:color w:val="FF0000"/>
        </w:rPr>
        <w:t xml:space="preserve">, to measure differential movements between building in three orthogonal </w:t>
      </w:r>
      <w:proofErr w:type="gramStart"/>
      <w:r w:rsidRPr="00F27EBE">
        <w:rPr>
          <w:rFonts w:ascii="Times New Roman" w:hAnsi="Times New Roman"/>
          <w:color w:val="FF0000"/>
        </w:rPr>
        <w:t>directions;</w:t>
      </w:r>
      <w:proofErr w:type="gramEnd"/>
    </w:p>
    <w:p w14:paraId="31434048"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r w:rsidRPr="00F27EBE">
        <w:rPr>
          <w:rFonts w:ascii="Times New Roman" w:hAnsi="Times New Roman"/>
          <w:color w:val="FF0000"/>
        </w:rPr>
        <w:t xml:space="preserve">Clinometers to measure tilt in structures and </w:t>
      </w:r>
      <w:proofErr w:type="gramStart"/>
      <w:r w:rsidRPr="00F27EBE">
        <w:rPr>
          <w:rFonts w:ascii="Times New Roman" w:hAnsi="Times New Roman"/>
          <w:color w:val="FF0000"/>
        </w:rPr>
        <w:t>buildings;</w:t>
      </w:r>
      <w:proofErr w:type="gramEnd"/>
    </w:p>
    <w:p w14:paraId="7C05D455"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proofErr w:type="spellStart"/>
      <w:r w:rsidRPr="00F27EBE">
        <w:rPr>
          <w:rFonts w:ascii="Times New Roman" w:hAnsi="Times New Roman"/>
          <w:color w:val="FF0000"/>
        </w:rPr>
        <w:t>Elongameters</w:t>
      </w:r>
      <w:proofErr w:type="spellEnd"/>
      <w:r w:rsidRPr="00F27EBE">
        <w:rPr>
          <w:rFonts w:ascii="Times New Roman" w:hAnsi="Times New Roman"/>
          <w:color w:val="FF0000"/>
        </w:rPr>
        <w:t xml:space="preserve"> to Horizontal displacements measurements of load-retaining walls.</w:t>
      </w:r>
    </w:p>
    <w:p w14:paraId="06AFBA57" w14:textId="77777777" w:rsidR="00930EC4" w:rsidRPr="00F27EBE" w:rsidRDefault="00930EC4" w:rsidP="00930EC4">
      <w:pPr>
        <w:numPr>
          <w:ilvl w:val="0"/>
          <w:numId w:val="6"/>
        </w:numPr>
        <w:tabs>
          <w:tab w:val="clear" w:pos="900"/>
        </w:tabs>
        <w:spacing w:before="120" w:after="120" w:line="276" w:lineRule="auto"/>
        <w:ind w:left="714" w:hanging="357"/>
        <w:rPr>
          <w:rFonts w:ascii="Times New Roman" w:hAnsi="Times New Roman"/>
          <w:color w:val="FF0000"/>
        </w:rPr>
      </w:pPr>
      <w:r w:rsidRPr="00F27EBE">
        <w:rPr>
          <w:rFonts w:ascii="Times New Roman" w:hAnsi="Times New Roman"/>
          <w:color w:val="FF0000"/>
        </w:rPr>
        <w:t>Complementary measurement system for monitoring the condition of the structures (besides of providing supplementary data, this system constitutes a mean of comparing the data interpretation provided by the basic measurement system). Elements included in this system are:</w:t>
      </w:r>
    </w:p>
    <w:p w14:paraId="1E8C6004" w14:textId="77777777" w:rsidR="00930EC4" w:rsidRPr="00F27EBE" w:rsidRDefault="00930EC4" w:rsidP="00930EC4">
      <w:pPr>
        <w:numPr>
          <w:ilvl w:val="1"/>
          <w:numId w:val="6"/>
        </w:numPr>
        <w:tabs>
          <w:tab w:val="clear" w:pos="1620"/>
        </w:tabs>
        <w:spacing w:before="120" w:after="120" w:line="276" w:lineRule="auto"/>
        <w:ind w:left="1077" w:hanging="357"/>
        <w:jc w:val="left"/>
        <w:rPr>
          <w:rFonts w:ascii="Times New Roman" w:hAnsi="Times New Roman"/>
          <w:color w:val="FF0000"/>
        </w:rPr>
      </w:pPr>
      <w:r w:rsidRPr="00F27EBE">
        <w:rPr>
          <w:rFonts w:ascii="Times New Roman" w:hAnsi="Times New Roman"/>
          <w:color w:val="FF0000"/>
        </w:rPr>
        <w:lastRenderedPageBreak/>
        <w:t xml:space="preserve">Ultrasonic test in the most solicited beams and columns, according to the structural evaluations, to anticipate possible degradation in other structural </w:t>
      </w:r>
      <w:proofErr w:type="gramStart"/>
      <w:r w:rsidRPr="00F27EBE">
        <w:rPr>
          <w:rFonts w:ascii="Times New Roman" w:hAnsi="Times New Roman"/>
          <w:color w:val="FF0000"/>
        </w:rPr>
        <w:t>elements;</w:t>
      </w:r>
      <w:proofErr w:type="gramEnd"/>
    </w:p>
    <w:p w14:paraId="0A4C4D14" w14:textId="51C4B4DD" w:rsidR="00930EC4" w:rsidRPr="00F27EBE" w:rsidRDefault="00930EC4" w:rsidP="00930EC4">
      <w:pPr>
        <w:numPr>
          <w:ilvl w:val="1"/>
          <w:numId w:val="6"/>
        </w:numPr>
        <w:tabs>
          <w:tab w:val="clear" w:pos="1620"/>
        </w:tabs>
        <w:spacing w:before="120" w:after="120" w:line="276" w:lineRule="auto"/>
        <w:ind w:left="1134" w:hanging="425"/>
        <w:jc w:val="left"/>
        <w:rPr>
          <w:rFonts w:ascii="Times New Roman" w:hAnsi="Times New Roman"/>
          <w:color w:val="FF0000"/>
        </w:rPr>
      </w:pPr>
      <w:r w:rsidRPr="00F27EBE">
        <w:rPr>
          <w:rFonts w:ascii="Times New Roman" w:hAnsi="Times New Roman"/>
          <w:color w:val="FF0000"/>
        </w:rPr>
        <w:t xml:space="preserve">Inspection and documentation of cracks in concrete structures. The progress of some active cracks, which may comprise cracks classified as consequence of settlement and earth pressure, </w:t>
      </w:r>
      <w:r w:rsidR="00F27EBE" w:rsidRPr="00F27EBE">
        <w:rPr>
          <w:rFonts w:ascii="Times New Roman" w:hAnsi="Times New Roman"/>
          <w:color w:val="FF0000"/>
        </w:rPr>
        <w:t>is</w:t>
      </w:r>
      <w:r w:rsidRPr="00F27EBE">
        <w:rPr>
          <w:rFonts w:ascii="Times New Roman" w:hAnsi="Times New Roman"/>
          <w:color w:val="FF0000"/>
        </w:rPr>
        <w:t xml:space="preserve"> be verified through the measurement of their lengths and openings. To obtain the depth of cracks, complementary ultrasonic non-destructive tests could be performed. AMP 318 provides additional information about the management of cracks.</w:t>
      </w:r>
    </w:p>
    <w:p w14:paraId="2C35A0A7" w14:textId="77777777" w:rsidR="00930EC4" w:rsidRPr="00F27EBE" w:rsidRDefault="00930EC4" w:rsidP="00930EC4">
      <w:pPr>
        <w:numPr>
          <w:ilvl w:val="0"/>
          <w:numId w:val="6"/>
        </w:numPr>
        <w:tabs>
          <w:tab w:val="clear" w:pos="900"/>
        </w:tabs>
        <w:spacing w:before="120" w:after="120" w:line="276" w:lineRule="auto"/>
        <w:ind w:left="426" w:hanging="426"/>
        <w:rPr>
          <w:rFonts w:ascii="Times New Roman" w:hAnsi="Times New Roman"/>
          <w:color w:val="FF0000"/>
        </w:rPr>
      </w:pPr>
      <w:r w:rsidRPr="00F27EBE">
        <w:rPr>
          <w:rFonts w:ascii="Times New Roman" w:hAnsi="Times New Roman"/>
          <w:color w:val="FF0000"/>
        </w:rPr>
        <w:t>Instrumentation for monitoring the groundwater level:</w:t>
      </w:r>
    </w:p>
    <w:p w14:paraId="2060FCD6" w14:textId="77777777" w:rsidR="00930EC4" w:rsidRPr="00F27EBE" w:rsidRDefault="00930EC4" w:rsidP="00930EC4">
      <w:pPr>
        <w:numPr>
          <w:ilvl w:val="1"/>
          <w:numId w:val="6"/>
        </w:numPr>
        <w:tabs>
          <w:tab w:val="clear" w:pos="1620"/>
        </w:tabs>
        <w:spacing w:before="120" w:after="120" w:line="276" w:lineRule="auto"/>
        <w:ind w:left="1134" w:hanging="425"/>
        <w:jc w:val="left"/>
        <w:rPr>
          <w:rFonts w:ascii="Times New Roman" w:hAnsi="Times New Roman"/>
          <w:color w:val="FF0000"/>
        </w:rPr>
      </w:pPr>
      <w:r w:rsidRPr="00F27EBE">
        <w:rPr>
          <w:rFonts w:ascii="Times New Roman" w:hAnsi="Times New Roman"/>
          <w:color w:val="FF0000"/>
        </w:rPr>
        <w:t xml:space="preserve">A net of piezometers, to measure the excess of pore pressure in the expansive soil layer, through which the groundwater level can be determined when the water pressure is </w:t>
      </w:r>
      <w:proofErr w:type="gramStart"/>
      <w:r w:rsidRPr="00F27EBE">
        <w:rPr>
          <w:rFonts w:ascii="Times New Roman" w:hAnsi="Times New Roman"/>
          <w:color w:val="FF0000"/>
        </w:rPr>
        <w:t>hydrostatic;</w:t>
      </w:r>
      <w:proofErr w:type="gramEnd"/>
    </w:p>
    <w:p w14:paraId="43D0733C" w14:textId="77777777" w:rsidR="00930EC4" w:rsidRPr="00F27EBE" w:rsidRDefault="00930EC4" w:rsidP="00930EC4">
      <w:pPr>
        <w:numPr>
          <w:ilvl w:val="1"/>
          <w:numId w:val="6"/>
        </w:numPr>
        <w:tabs>
          <w:tab w:val="clear" w:pos="1620"/>
        </w:tabs>
        <w:spacing w:before="120" w:after="120" w:line="276" w:lineRule="auto"/>
        <w:ind w:left="1134" w:hanging="425"/>
        <w:jc w:val="left"/>
        <w:rPr>
          <w:rFonts w:ascii="Times New Roman" w:hAnsi="Times New Roman"/>
          <w:color w:val="FF0000"/>
        </w:rPr>
      </w:pPr>
      <w:r w:rsidRPr="00F27EBE">
        <w:rPr>
          <w:rFonts w:ascii="Times New Roman" w:hAnsi="Times New Roman"/>
          <w:color w:val="FF0000"/>
        </w:rPr>
        <w:t>Groundwater level gauges to directly measure the groundwater level.</w:t>
      </w:r>
    </w:p>
    <w:p w14:paraId="2EE1A84E" w14:textId="77777777" w:rsidR="00930EC4" w:rsidRPr="00F27EBE" w:rsidRDefault="00930EC4" w:rsidP="00930EC4">
      <w:pPr>
        <w:numPr>
          <w:ilvl w:val="1"/>
          <w:numId w:val="6"/>
        </w:numPr>
        <w:tabs>
          <w:tab w:val="clear" w:pos="1620"/>
        </w:tabs>
        <w:spacing w:before="120" w:after="120" w:line="276" w:lineRule="auto"/>
        <w:ind w:left="1134" w:hanging="425"/>
        <w:jc w:val="left"/>
        <w:rPr>
          <w:rFonts w:ascii="Times New Roman" w:hAnsi="Times New Roman"/>
          <w:color w:val="FF0000"/>
        </w:rPr>
      </w:pPr>
      <w:r w:rsidRPr="00F27EBE">
        <w:rPr>
          <w:rFonts w:ascii="Times New Roman" w:hAnsi="Times New Roman"/>
          <w:color w:val="FF0000"/>
        </w:rPr>
        <w:t>If a dewatering system is used to lower the site groundwater level and if the design basis credits it, its continued functionality is verified.</w:t>
      </w:r>
    </w:p>
    <w:p w14:paraId="22027435" w14:textId="77777777" w:rsidR="00930EC4" w:rsidRPr="00F27EBE" w:rsidRDefault="00930EC4" w:rsidP="00930EC4">
      <w:pPr>
        <w:tabs>
          <w:tab w:val="num" w:pos="1620"/>
        </w:tabs>
        <w:spacing w:before="240" w:after="120" w:line="276" w:lineRule="auto"/>
        <w:rPr>
          <w:rFonts w:ascii="Times New Roman" w:hAnsi="Times New Roman"/>
          <w:color w:val="FF0000"/>
        </w:rPr>
      </w:pPr>
      <w:r w:rsidRPr="00F27EBE">
        <w:rPr>
          <w:rFonts w:ascii="Times New Roman" w:hAnsi="Times New Roman"/>
          <w:color w:val="FF0000"/>
        </w:rPr>
        <w:t xml:space="preserve">Therefore, all instrumentation installed in the plant allows the determination of the benchmark groundwater level, ground surface vertical displacements, foundation differential settlement of structures, displacement between structures, displacement between expansion joints, penetrations, </w:t>
      </w:r>
      <w:proofErr w:type="gramStart"/>
      <w:r w:rsidRPr="00F27EBE">
        <w:rPr>
          <w:rFonts w:ascii="Times New Roman" w:hAnsi="Times New Roman"/>
          <w:color w:val="FF0000"/>
        </w:rPr>
        <w:t>pipes</w:t>
      </w:r>
      <w:proofErr w:type="gramEnd"/>
      <w:r w:rsidRPr="00F27EBE">
        <w:rPr>
          <w:rFonts w:ascii="Times New Roman" w:hAnsi="Times New Roman"/>
          <w:color w:val="FF0000"/>
        </w:rPr>
        <w:t xml:space="preserve"> and ducts connections in the three main directions, structural distortion, tilt of structures, horizontal displacements on structure underground walls, buried structure walls, and retaining walls.</w:t>
      </w:r>
    </w:p>
    <w:p w14:paraId="5330CDC0" w14:textId="04282E32" w:rsidR="00930EC4" w:rsidRPr="00F27EBE" w:rsidRDefault="00930EC4" w:rsidP="00930EC4">
      <w:pPr>
        <w:tabs>
          <w:tab w:val="left" w:pos="851"/>
        </w:tabs>
        <w:spacing w:before="120" w:after="120" w:line="276" w:lineRule="auto"/>
        <w:rPr>
          <w:rFonts w:ascii="Times New Roman" w:hAnsi="Times New Roman"/>
          <w:color w:val="FF0000"/>
        </w:rPr>
      </w:pPr>
      <w:r w:rsidRPr="00F27EBE">
        <w:rPr>
          <w:rFonts w:ascii="Times New Roman" w:hAnsi="Times New Roman"/>
          <w:color w:val="FF0000"/>
        </w:rPr>
        <w:t xml:space="preserve">The field data </w:t>
      </w:r>
      <w:proofErr w:type="spellStart"/>
      <w:r w:rsidR="00F27EBE" w:rsidRPr="00F27EBE">
        <w:rPr>
          <w:rFonts w:ascii="Times New Roman" w:hAnsi="Times New Roman"/>
          <w:color w:val="FF0000"/>
        </w:rPr>
        <w:t>is</w:t>
      </w:r>
      <w:r w:rsidRPr="00F27EBE">
        <w:rPr>
          <w:rFonts w:ascii="Times New Roman" w:hAnsi="Times New Roman"/>
          <w:color w:val="FF0000"/>
        </w:rPr>
        <w:t>be</w:t>
      </w:r>
      <w:proofErr w:type="spellEnd"/>
      <w:r w:rsidRPr="00F27EBE">
        <w:rPr>
          <w:rFonts w:ascii="Times New Roman" w:hAnsi="Times New Roman"/>
          <w:color w:val="FF0000"/>
        </w:rPr>
        <w:t xml:space="preserve"> compared with the values determined by the prediction models and with those established in the plant design basis aiming at analyzing the SSCs actual conditions and at determining the actions to be taken during the intended period of </w:t>
      </w:r>
      <w:proofErr w:type="gramStart"/>
      <w:r w:rsidRPr="00F27EBE">
        <w:rPr>
          <w:rFonts w:ascii="Times New Roman" w:hAnsi="Times New Roman"/>
          <w:color w:val="FF0000"/>
        </w:rPr>
        <w:t>long term</w:t>
      </w:r>
      <w:proofErr w:type="gramEnd"/>
      <w:r w:rsidRPr="00F27EBE">
        <w:rPr>
          <w:rFonts w:ascii="Times New Roman" w:hAnsi="Times New Roman"/>
          <w:color w:val="FF0000"/>
        </w:rPr>
        <w:t xml:space="preserve"> operation of the plant. All information and data obtained </w:t>
      </w:r>
      <w:r w:rsidR="00F27EBE" w:rsidRPr="00F27EBE">
        <w:rPr>
          <w:rFonts w:ascii="Times New Roman" w:hAnsi="Times New Roman"/>
          <w:color w:val="FF0000"/>
        </w:rPr>
        <w:t>is</w:t>
      </w:r>
      <w:r w:rsidRPr="00F27EBE">
        <w:rPr>
          <w:rFonts w:ascii="Times New Roman" w:hAnsi="Times New Roman"/>
          <w:color w:val="FF0000"/>
        </w:rPr>
        <w:t xml:space="preserve"> provided in the owner's instruction manual, as suggested in the Spanish experience.</w:t>
      </w:r>
    </w:p>
    <w:p w14:paraId="125216F2" w14:textId="77777777" w:rsidR="00930EC4" w:rsidRPr="00F27EBE" w:rsidRDefault="00930EC4" w:rsidP="00930EC4">
      <w:pPr>
        <w:spacing w:before="120" w:after="120"/>
        <w:rPr>
          <w:rFonts w:ascii="Times New Roman" w:hAnsi="Times New Roman"/>
          <w:color w:val="FF0000"/>
        </w:rPr>
      </w:pPr>
      <w:r w:rsidRPr="00F27EBE">
        <w:rPr>
          <w:rFonts w:ascii="Times New Roman" w:hAnsi="Times New Roman"/>
          <w:color w:val="FF0000"/>
        </w:rPr>
        <w:t>Frequency of the measurement is defined in accordance with the severity of the case and the preventive actions implemented, and can be adjusted after a trend is established, based on some consecutive inspections.</w:t>
      </w:r>
    </w:p>
    <w:p w14:paraId="7246ED5F" w14:textId="77777777" w:rsidR="00930EC4" w:rsidRPr="00F27EBE" w:rsidRDefault="00930EC4" w:rsidP="00930EC4">
      <w:pPr>
        <w:spacing w:before="120" w:after="120"/>
        <w:rPr>
          <w:rFonts w:ascii="Times New Roman" w:hAnsi="Times New Roman"/>
          <w:color w:val="FF0000"/>
        </w:rPr>
      </w:pPr>
    </w:p>
    <w:p w14:paraId="260D3CD7" w14:textId="1480F51F" w:rsidR="00930EC4" w:rsidRPr="006A78F4" w:rsidRDefault="00930EC4" w:rsidP="00930EC4">
      <w:pPr>
        <w:spacing w:before="120" w:after="120"/>
        <w:rPr>
          <w:rFonts w:ascii="Times New Roman" w:hAnsi="Times New Roman"/>
        </w:rPr>
      </w:pPr>
      <w:r w:rsidRPr="00F27EBE">
        <w:rPr>
          <w:rFonts w:ascii="Times New Roman" w:hAnsi="Times New Roman"/>
          <w:color w:val="FF0000"/>
        </w:rPr>
        <w:t xml:space="preserve">In Spanish experience, for instance, if ground movements differ from the predicted ones, the frequency of the basic and complimentary measurements </w:t>
      </w:r>
      <w:r w:rsidR="00F27EBE" w:rsidRPr="00F27EBE">
        <w:rPr>
          <w:rFonts w:ascii="Times New Roman" w:hAnsi="Times New Roman"/>
          <w:color w:val="FF0000"/>
        </w:rPr>
        <w:t xml:space="preserve">are to </w:t>
      </w:r>
      <w:r w:rsidRPr="00F27EBE">
        <w:rPr>
          <w:rFonts w:ascii="Times New Roman" w:hAnsi="Times New Roman"/>
          <w:color w:val="FF0000"/>
        </w:rPr>
        <w:t>be evaluated by qualified structural engineer</w:t>
      </w:r>
      <w:r w:rsidRPr="00F27EBE">
        <w:rPr>
          <w:rFonts w:ascii="Times New Roman" w:hAnsi="Times New Roman"/>
          <w:color w:val="FF0000"/>
          <w:lang w:eastAsia="zh-CN"/>
        </w:rPr>
        <w:t xml:space="preserve">s </w:t>
      </w:r>
      <w:r w:rsidRPr="00F27EBE">
        <w:rPr>
          <w:rFonts w:ascii="Times New Roman" w:hAnsi="Times New Roman"/>
          <w:color w:val="FF0000"/>
        </w:rPr>
        <w:t xml:space="preserve">knowledgeable and experienced in the design of nuclear power plant structures. Furthermore, frequency of measurement does not exceed one year if the actual settlements are over 75 percent of the predicted ones at the end intended period of </w:t>
      </w:r>
      <w:proofErr w:type="gramStart"/>
      <w:r w:rsidRPr="00F27EBE">
        <w:rPr>
          <w:rFonts w:ascii="Times New Roman" w:hAnsi="Times New Roman"/>
          <w:color w:val="FF0000"/>
        </w:rPr>
        <w:t>long term</w:t>
      </w:r>
      <w:proofErr w:type="gramEnd"/>
      <w:r w:rsidRPr="00F27EBE">
        <w:rPr>
          <w:rFonts w:ascii="Times New Roman" w:hAnsi="Times New Roman"/>
          <w:color w:val="FF0000"/>
        </w:rPr>
        <w:t xml:space="preserve"> operation. The frequency of measurement can be adjusted after a trend is established based on some consecutive inspections. </w:t>
      </w:r>
    </w:p>
    <w:p w14:paraId="64E3CA29" w14:textId="77777777" w:rsidR="00930EC4" w:rsidRDefault="00930EC4" w:rsidP="00930EC4"/>
    <w:p w14:paraId="384E89A5" w14:textId="77777777" w:rsidR="00313568" w:rsidRPr="006A78F4" w:rsidRDefault="00313568"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Mitigating </w:t>
      </w:r>
      <w:r w:rsidR="00692932" w:rsidRPr="006A78F4">
        <w:rPr>
          <w:rFonts w:ascii="Times New Roman" w:hAnsi="Times New Roman"/>
          <w:b/>
          <w:i/>
          <w:sz w:val="24"/>
          <w:szCs w:val="24"/>
        </w:rPr>
        <w:t>a</w:t>
      </w:r>
      <w:r w:rsidRPr="006A78F4">
        <w:rPr>
          <w:rFonts w:ascii="Times New Roman" w:hAnsi="Times New Roman"/>
          <w:b/>
          <w:i/>
          <w:sz w:val="24"/>
          <w:szCs w:val="24"/>
        </w:rPr>
        <w:t xml:space="preserve">geing </w:t>
      </w:r>
      <w:r w:rsidR="00692932" w:rsidRPr="006A78F4">
        <w:rPr>
          <w:rFonts w:ascii="Times New Roman" w:hAnsi="Times New Roman"/>
          <w:b/>
          <w:i/>
          <w:sz w:val="24"/>
          <w:szCs w:val="24"/>
        </w:rPr>
        <w:t>e</w:t>
      </w:r>
      <w:r w:rsidRPr="006A78F4">
        <w:rPr>
          <w:rFonts w:ascii="Times New Roman" w:hAnsi="Times New Roman"/>
          <w:b/>
          <w:i/>
          <w:sz w:val="24"/>
          <w:szCs w:val="24"/>
        </w:rPr>
        <w:t>ffects</w:t>
      </w:r>
      <w:r w:rsidR="00D721CA" w:rsidRPr="006A78F4">
        <w:rPr>
          <w:rFonts w:ascii="Times New Roman" w:hAnsi="Times New Roman"/>
          <w:b/>
          <w:i/>
          <w:sz w:val="24"/>
          <w:szCs w:val="24"/>
        </w:rPr>
        <w:t>:</w:t>
      </w:r>
    </w:p>
    <w:p w14:paraId="384E89A6" w14:textId="7734C95E" w:rsidR="008E4DCA" w:rsidRPr="006A78F4" w:rsidRDefault="008E4DCA" w:rsidP="00017A17">
      <w:pPr>
        <w:spacing w:before="120" w:after="120"/>
        <w:rPr>
          <w:rFonts w:ascii="Times New Roman" w:hAnsi="Times New Roman"/>
        </w:rPr>
      </w:pPr>
      <w:r w:rsidRPr="006A78F4">
        <w:rPr>
          <w:rFonts w:ascii="Times New Roman" w:hAnsi="Times New Roman"/>
        </w:rPr>
        <w:lastRenderedPageBreak/>
        <w:t xml:space="preserve">This AMP is a condition monitoring </w:t>
      </w:r>
      <w:r w:rsidR="00F27EBE" w:rsidRPr="006A78F4">
        <w:rPr>
          <w:rFonts w:ascii="Times New Roman" w:hAnsi="Times New Roman"/>
        </w:rPr>
        <w:t>programme,</w:t>
      </w:r>
      <w:r w:rsidRPr="006A78F4">
        <w:rPr>
          <w:rFonts w:ascii="Times New Roman" w:hAnsi="Times New Roman"/>
        </w:rPr>
        <w:t xml:space="preserve"> and no generic recommendations are included to mitigate </w:t>
      </w:r>
      <w:r w:rsidR="004E7239" w:rsidRPr="006A78F4">
        <w:rPr>
          <w:rFonts w:ascii="Times New Roman" w:hAnsi="Times New Roman"/>
        </w:rPr>
        <w:t>ageing</w:t>
      </w:r>
      <w:r w:rsidRPr="006A78F4">
        <w:rPr>
          <w:rFonts w:ascii="Times New Roman" w:hAnsi="Times New Roman"/>
        </w:rPr>
        <w:t xml:space="preserve"> effects. However, if degradation of structures</w:t>
      </w:r>
      <w:r w:rsidR="00D06A15">
        <w:rPr>
          <w:rFonts w:ascii="Times New Roman" w:hAnsi="Times New Roman"/>
        </w:rPr>
        <w:t>, systems</w:t>
      </w:r>
      <w:r w:rsidRPr="006A78F4">
        <w:rPr>
          <w:rFonts w:ascii="Times New Roman" w:hAnsi="Times New Roman"/>
        </w:rPr>
        <w:t xml:space="preserve"> and components is detected that exceeds the acceptance criteria,</w:t>
      </w:r>
      <w:r w:rsidR="00D06A15">
        <w:rPr>
          <w:rFonts w:ascii="Times New Roman" w:hAnsi="Times New Roman"/>
        </w:rPr>
        <w:t xml:space="preserve"> which </w:t>
      </w:r>
      <w:r w:rsidR="00F27EBE">
        <w:rPr>
          <w:rFonts w:ascii="Times New Roman" w:hAnsi="Times New Roman"/>
        </w:rPr>
        <w:t>usually have</w:t>
      </w:r>
      <w:r w:rsidR="00D06A15">
        <w:rPr>
          <w:rFonts w:ascii="Times New Roman" w:hAnsi="Times New Roman"/>
        </w:rPr>
        <w:t xml:space="preserve"> some safety margin with the design ones,</w:t>
      </w:r>
      <w:r w:rsidRPr="006A78F4">
        <w:rPr>
          <w:rFonts w:ascii="Times New Roman" w:hAnsi="Times New Roman"/>
        </w:rPr>
        <w:t xml:space="preserve"> plant specific </w:t>
      </w:r>
      <w:r w:rsidR="00D06A15">
        <w:rPr>
          <w:rFonts w:ascii="Times New Roman" w:hAnsi="Times New Roman"/>
        </w:rPr>
        <w:t xml:space="preserve">mitigation </w:t>
      </w:r>
      <w:r w:rsidRPr="006A78F4">
        <w:rPr>
          <w:rFonts w:ascii="Times New Roman" w:hAnsi="Times New Roman"/>
        </w:rPr>
        <w:t xml:space="preserve">actions can be identified based on detailed monitoring and trending, and structural evaluation to mitigate the root </w:t>
      </w:r>
      <w:proofErr w:type="gramStart"/>
      <w:r w:rsidRPr="006A78F4">
        <w:rPr>
          <w:rFonts w:ascii="Times New Roman" w:hAnsi="Times New Roman"/>
        </w:rPr>
        <w:t>cause  of</w:t>
      </w:r>
      <w:proofErr w:type="gramEnd"/>
      <w:r w:rsidRPr="006A78F4">
        <w:rPr>
          <w:rFonts w:ascii="Times New Roman" w:hAnsi="Times New Roman"/>
        </w:rPr>
        <w:t xml:space="preserve"> </w:t>
      </w:r>
      <w:r w:rsidR="00D06A15">
        <w:rPr>
          <w:rFonts w:ascii="Times New Roman" w:hAnsi="Times New Roman"/>
        </w:rPr>
        <w:t xml:space="preserve">the </w:t>
      </w:r>
      <w:r w:rsidRPr="006A78F4">
        <w:rPr>
          <w:rFonts w:ascii="Times New Roman" w:hAnsi="Times New Roman"/>
        </w:rPr>
        <w:t>degradation. This may include installation of flexible supports (snubbers, limit stops, bellows) in piping</w:t>
      </w:r>
      <w:r w:rsidR="00660288">
        <w:rPr>
          <w:rFonts w:ascii="Times New Roman" w:hAnsi="Times New Roman"/>
        </w:rPr>
        <w:t xml:space="preserve">, </w:t>
      </w:r>
      <w:proofErr w:type="gramStart"/>
      <w:r w:rsidR="00660288">
        <w:rPr>
          <w:rFonts w:ascii="Times New Roman" w:hAnsi="Times New Roman"/>
        </w:rPr>
        <w:t>penetrations</w:t>
      </w:r>
      <w:proofErr w:type="gramEnd"/>
      <w:r w:rsidRPr="006A78F4">
        <w:rPr>
          <w:rFonts w:ascii="Times New Roman" w:hAnsi="Times New Roman"/>
        </w:rPr>
        <w:t xml:space="preserve"> and ducts in areas where these commodities pass from one building to another.</w:t>
      </w:r>
    </w:p>
    <w:p w14:paraId="384E89A7" w14:textId="77777777" w:rsidR="0098563D" w:rsidRPr="006A78F4" w:rsidRDefault="0098563D" w:rsidP="00017A17">
      <w:pPr>
        <w:spacing w:before="120" w:after="120"/>
        <w:rPr>
          <w:rFonts w:ascii="Times New Roman" w:hAnsi="Times New Roman"/>
        </w:rPr>
      </w:pPr>
    </w:p>
    <w:p w14:paraId="384E89A8" w14:textId="77777777" w:rsidR="00313568" w:rsidRPr="006A78F4" w:rsidRDefault="00313568"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Acceptance </w:t>
      </w:r>
      <w:r w:rsidR="00692932" w:rsidRPr="006A78F4">
        <w:rPr>
          <w:rFonts w:ascii="Times New Roman" w:hAnsi="Times New Roman"/>
          <w:b/>
          <w:i/>
          <w:sz w:val="24"/>
          <w:szCs w:val="24"/>
        </w:rPr>
        <w:t>c</w:t>
      </w:r>
      <w:r w:rsidRPr="006A78F4">
        <w:rPr>
          <w:rFonts w:ascii="Times New Roman" w:hAnsi="Times New Roman"/>
          <w:b/>
          <w:i/>
          <w:sz w:val="24"/>
          <w:szCs w:val="24"/>
        </w:rPr>
        <w:t>riteria</w:t>
      </w:r>
      <w:r w:rsidR="00D721CA" w:rsidRPr="006A78F4">
        <w:rPr>
          <w:rFonts w:ascii="Times New Roman" w:hAnsi="Times New Roman"/>
          <w:b/>
          <w:i/>
          <w:sz w:val="24"/>
          <w:szCs w:val="24"/>
        </w:rPr>
        <w:t>:</w:t>
      </w:r>
    </w:p>
    <w:p w14:paraId="384E89A9" w14:textId="17B1E284" w:rsidR="001F3407" w:rsidRPr="00F27EBE" w:rsidRDefault="00313568" w:rsidP="00017A17">
      <w:pPr>
        <w:spacing w:before="120" w:after="120"/>
        <w:rPr>
          <w:rFonts w:ascii="Times New Roman" w:hAnsi="Times New Roman"/>
          <w:color w:val="FF0000"/>
        </w:rPr>
      </w:pPr>
      <w:r w:rsidRPr="00F27EBE">
        <w:rPr>
          <w:rFonts w:ascii="Times New Roman" w:hAnsi="Times New Roman"/>
          <w:color w:val="FF0000"/>
        </w:rPr>
        <w:t xml:space="preserve">The </w:t>
      </w:r>
      <w:r w:rsidR="0024314A" w:rsidRPr="00F27EBE">
        <w:rPr>
          <w:rFonts w:ascii="Times New Roman" w:hAnsi="Times New Roman"/>
          <w:color w:val="FF0000"/>
        </w:rPr>
        <w:t xml:space="preserve">acceptance criteria for </w:t>
      </w:r>
      <w:r w:rsidRPr="00F27EBE">
        <w:rPr>
          <w:rFonts w:ascii="Times New Roman" w:hAnsi="Times New Roman"/>
          <w:color w:val="FF0000"/>
        </w:rPr>
        <w:t xml:space="preserve">ground </w:t>
      </w:r>
      <w:r w:rsidR="00660288" w:rsidRPr="00F27EBE">
        <w:rPr>
          <w:rFonts w:ascii="Times New Roman" w:hAnsi="Times New Roman"/>
          <w:color w:val="FF0000"/>
        </w:rPr>
        <w:t xml:space="preserve">up-heave </w:t>
      </w:r>
      <w:r w:rsidR="00BD3353" w:rsidRPr="00F27EBE">
        <w:rPr>
          <w:rFonts w:ascii="Times New Roman" w:hAnsi="Times New Roman"/>
          <w:color w:val="FF0000"/>
        </w:rPr>
        <w:t>movement</w:t>
      </w:r>
      <w:r w:rsidRPr="00F27EBE">
        <w:rPr>
          <w:rFonts w:ascii="Times New Roman" w:hAnsi="Times New Roman"/>
          <w:color w:val="FF0000"/>
        </w:rPr>
        <w:t xml:space="preserve"> </w:t>
      </w:r>
      <w:r w:rsidR="005C6276" w:rsidRPr="00F27EBE">
        <w:rPr>
          <w:rFonts w:ascii="Times New Roman" w:hAnsi="Times New Roman"/>
          <w:color w:val="FF0000"/>
        </w:rPr>
        <w:t>are</w:t>
      </w:r>
      <w:r w:rsidR="0024314A" w:rsidRPr="00F27EBE">
        <w:rPr>
          <w:rFonts w:ascii="Times New Roman" w:hAnsi="Times New Roman"/>
          <w:color w:val="FF0000"/>
        </w:rPr>
        <w:t xml:space="preserve"> based on predicted values </w:t>
      </w:r>
      <w:r w:rsidR="00AC2301" w:rsidRPr="00F27EBE">
        <w:rPr>
          <w:rFonts w:ascii="Times New Roman" w:hAnsi="Times New Roman"/>
          <w:color w:val="FF0000"/>
        </w:rPr>
        <w:t xml:space="preserve">obtained in the </w:t>
      </w:r>
      <w:r w:rsidR="0024314A" w:rsidRPr="00F27EBE">
        <w:rPr>
          <w:rFonts w:ascii="Times New Roman" w:hAnsi="Times New Roman"/>
          <w:color w:val="FF0000"/>
        </w:rPr>
        <w:t>original</w:t>
      </w:r>
      <w:r w:rsidR="00AC2301" w:rsidRPr="00F27EBE">
        <w:rPr>
          <w:rFonts w:ascii="Times New Roman" w:hAnsi="Times New Roman"/>
          <w:color w:val="FF0000"/>
        </w:rPr>
        <w:t xml:space="preserve"> </w:t>
      </w:r>
      <w:r w:rsidR="00660288" w:rsidRPr="00F27EBE">
        <w:rPr>
          <w:rFonts w:ascii="Times New Roman" w:hAnsi="Times New Roman"/>
          <w:color w:val="FF0000"/>
        </w:rPr>
        <w:t>evaluation</w:t>
      </w:r>
      <w:r w:rsidR="00AC2301" w:rsidRPr="00F27EBE">
        <w:rPr>
          <w:rFonts w:ascii="Times New Roman" w:hAnsi="Times New Roman"/>
          <w:color w:val="FF0000"/>
        </w:rPr>
        <w:t xml:space="preserve"> of the phenomena</w:t>
      </w:r>
      <w:r w:rsidR="00660288" w:rsidRPr="00F27EBE">
        <w:rPr>
          <w:rFonts w:ascii="Times New Roman" w:hAnsi="Times New Roman"/>
          <w:color w:val="FF0000"/>
        </w:rPr>
        <w:t xml:space="preserve"> that define the design values of it</w:t>
      </w:r>
      <w:r w:rsidR="0024314A" w:rsidRPr="00F27EBE">
        <w:rPr>
          <w:rFonts w:ascii="Times New Roman" w:hAnsi="Times New Roman"/>
          <w:color w:val="FF0000"/>
        </w:rPr>
        <w:t xml:space="preserve">. </w:t>
      </w:r>
      <w:r w:rsidR="00660288" w:rsidRPr="00F27EBE">
        <w:rPr>
          <w:rFonts w:ascii="Times New Roman" w:hAnsi="Times New Roman"/>
          <w:color w:val="FF0000"/>
        </w:rPr>
        <w:t xml:space="preserve">Acceptance </w:t>
      </w:r>
      <w:r w:rsidR="00F27EBE" w:rsidRPr="00F27EBE">
        <w:rPr>
          <w:rFonts w:ascii="Times New Roman" w:hAnsi="Times New Roman"/>
          <w:color w:val="FF0000"/>
        </w:rPr>
        <w:t>values have</w:t>
      </w:r>
      <w:r w:rsidR="00660288" w:rsidRPr="00F27EBE">
        <w:rPr>
          <w:rFonts w:ascii="Times New Roman" w:hAnsi="Times New Roman"/>
          <w:color w:val="FF0000"/>
        </w:rPr>
        <w:t xml:space="preserve"> some safety margin (</w:t>
      </w:r>
      <w:proofErr w:type="gramStart"/>
      <w:r w:rsidR="00660288" w:rsidRPr="00F27EBE">
        <w:rPr>
          <w:rFonts w:ascii="Times New Roman" w:hAnsi="Times New Roman"/>
          <w:color w:val="FF0000"/>
        </w:rPr>
        <w:t>e.g.</w:t>
      </w:r>
      <w:proofErr w:type="gramEnd"/>
      <w:r w:rsidR="00660288" w:rsidRPr="00F27EBE">
        <w:rPr>
          <w:rFonts w:ascii="Times New Roman" w:hAnsi="Times New Roman"/>
          <w:color w:val="FF0000"/>
        </w:rPr>
        <w:t xml:space="preserve"> 20%) from the design ones. I</w:t>
      </w:r>
      <w:r w:rsidR="0024314A" w:rsidRPr="00F27EBE">
        <w:rPr>
          <w:rFonts w:ascii="Times New Roman" w:hAnsi="Times New Roman"/>
          <w:color w:val="FF0000"/>
        </w:rPr>
        <w:t xml:space="preserve">f actual measured values exceed the predicted values, a specific study and evaluation </w:t>
      </w:r>
      <w:r w:rsidR="005C6276" w:rsidRPr="00F27EBE">
        <w:rPr>
          <w:rFonts w:ascii="Times New Roman" w:hAnsi="Times New Roman"/>
          <w:color w:val="FF0000"/>
        </w:rPr>
        <w:t xml:space="preserve">is </w:t>
      </w:r>
      <w:r w:rsidR="0024314A" w:rsidRPr="00F27EBE">
        <w:rPr>
          <w:rFonts w:ascii="Times New Roman" w:hAnsi="Times New Roman"/>
          <w:color w:val="FF0000"/>
        </w:rPr>
        <w:t xml:space="preserve">performed to determine the root cause and ability of the structures to meet the current licensing basis during the </w:t>
      </w:r>
      <w:r w:rsidR="00C551F0" w:rsidRPr="00F27EBE">
        <w:rPr>
          <w:rFonts w:ascii="Times New Roman" w:hAnsi="Times New Roman"/>
          <w:color w:val="FF0000"/>
        </w:rPr>
        <w:t xml:space="preserve">intended period of </w:t>
      </w:r>
      <w:proofErr w:type="gramStart"/>
      <w:r w:rsidR="00660288" w:rsidRPr="00F27EBE">
        <w:rPr>
          <w:rFonts w:ascii="Times New Roman" w:hAnsi="Times New Roman"/>
          <w:color w:val="FF0000"/>
        </w:rPr>
        <w:t>long term</w:t>
      </w:r>
      <w:proofErr w:type="gramEnd"/>
      <w:r w:rsidR="00660288" w:rsidRPr="00F27EBE">
        <w:rPr>
          <w:rFonts w:ascii="Times New Roman" w:hAnsi="Times New Roman"/>
          <w:color w:val="FF0000"/>
        </w:rPr>
        <w:t xml:space="preserve"> </w:t>
      </w:r>
      <w:r w:rsidR="00C551F0" w:rsidRPr="00F27EBE">
        <w:rPr>
          <w:rFonts w:ascii="Times New Roman" w:hAnsi="Times New Roman"/>
          <w:color w:val="FF0000"/>
        </w:rPr>
        <w:t>operation</w:t>
      </w:r>
      <w:r w:rsidR="0024314A" w:rsidRPr="00F27EBE">
        <w:rPr>
          <w:rFonts w:ascii="Times New Roman" w:hAnsi="Times New Roman"/>
          <w:color w:val="FF0000"/>
        </w:rPr>
        <w:t xml:space="preserve">. </w:t>
      </w:r>
    </w:p>
    <w:p w14:paraId="384E89AA" w14:textId="77777777" w:rsidR="00494861" w:rsidRPr="006A78F4" w:rsidRDefault="00494861" w:rsidP="00017A17">
      <w:pPr>
        <w:spacing w:before="120" w:after="120"/>
        <w:rPr>
          <w:rFonts w:ascii="Times New Roman" w:hAnsi="Times New Roman"/>
        </w:rPr>
      </w:pPr>
    </w:p>
    <w:p w14:paraId="384E89AB" w14:textId="77777777" w:rsidR="00313568" w:rsidRPr="006A78F4" w:rsidRDefault="00313568"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Corrective </w:t>
      </w:r>
      <w:r w:rsidR="00692932" w:rsidRPr="006A78F4">
        <w:rPr>
          <w:rFonts w:ascii="Times New Roman" w:hAnsi="Times New Roman"/>
          <w:b/>
          <w:i/>
          <w:sz w:val="24"/>
          <w:szCs w:val="24"/>
        </w:rPr>
        <w:t>a</w:t>
      </w:r>
      <w:r w:rsidRPr="006A78F4">
        <w:rPr>
          <w:rFonts w:ascii="Times New Roman" w:hAnsi="Times New Roman"/>
          <w:b/>
          <w:i/>
          <w:sz w:val="24"/>
          <w:szCs w:val="24"/>
        </w:rPr>
        <w:t>ctions</w:t>
      </w:r>
      <w:r w:rsidR="00D721CA" w:rsidRPr="006A78F4">
        <w:rPr>
          <w:rFonts w:ascii="Times New Roman" w:hAnsi="Times New Roman"/>
          <w:b/>
          <w:i/>
          <w:sz w:val="24"/>
          <w:szCs w:val="24"/>
        </w:rPr>
        <w:t>:</w:t>
      </w:r>
    </w:p>
    <w:p w14:paraId="384E89AC" w14:textId="54011685" w:rsidR="00035F78" w:rsidRPr="006A78F4" w:rsidRDefault="00035F78" w:rsidP="00017A17">
      <w:pPr>
        <w:spacing w:before="120" w:after="120"/>
        <w:rPr>
          <w:rFonts w:ascii="Times New Roman" w:hAnsi="Times New Roman"/>
        </w:rPr>
      </w:pPr>
      <w:r w:rsidRPr="006A78F4">
        <w:rPr>
          <w:rFonts w:ascii="Times New Roman" w:hAnsi="Times New Roman"/>
        </w:rPr>
        <w:t xml:space="preserve">Evaluations are performed for any ground </w:t>
      </w:r>
      <w:r w:rsidR="00660288">
        <w:rPr>
          <w:rFonts w:ascii="Times New Roman" w:hAnsi="Times New Roman"/>
        </w:rPr>
        <w:t xml:space="preserve">up-heave </w:t>
      </w:r>
      <w:r w:rsidRPr="006A78F4">
        <w:rPr>
          <w:rFonts w:ascii="Times New Roman" w:hAnsi="Times New Roman"/>
        </w:rPr>
        <w:t xml:space="preserve">movement measurements that do not satisfy </w:t>
      </w:r>
      <w:r w:rsidR="00660288">
        <w:rPr>
          <w:rFonts w:ascii="Times New Roman" w:hAnsi="Times New Roman"/>
        </w:rPr>
        <w:t>its acceptance</w:t>
      </w:r>
      <w:r w:rsidRPr="006A78F4">
        <w:rPr>
          <w:rFonts w:ascii="Times New Roman" w:hAnsi="Times New Roman"/>
        </w:rPr>
        <w:t xml:space="preserve"> criteria. Corrective actions are initiated in accordance with the corrective action </w:t>
      </w:r>
      <w:r w:rsidR="00660288">
        <w:rPr>
          <w:rFonts w:ascii="Times New Roman" w:hAnsi="Times New Roman"/>
        </w:rPr>
        <w:t>programme</w:t>
      </w:r>
      <w:r w:rsidRPr="006A78F4">
        <w:rPr>
          <w:rFonts w:ascii="Times New Roman" w:hAnsi="Times New Roman"/>
        </w:rPr>
        <w:t xml:space="preserve"> if the evaluation results indicate there is a need for</w:t>
      </w:r>
      <w:r w:rsidR="00E809BB" w:rsidRPr="006A78F4">
        <w:rPr>
          <w:rFonts w:ascii="Times New Roman" w:hAnsi="Times New Roman"/>
        </w:rPr>
        <w:t xml:space="preserve"> a repair or replacement. </w:t>
      </w:r>
      <w:r w:rsidRPr="006A78F4">
        <w:rPr>
          <w:rFonts w:ascii="Times New Roman" w:hAnsi="Times New Roman"/>
        </w:rPr>
        <w:t>In addition, the corrective actions</w:t>
      </w:r>
      <w:r w:rsidR="00660288">
        <w:rPr>
          <w:rFonts w:ascii="Times New Roman" w:hAnsi="Times New Roman"/>
        </w:rPr>
        <w:t xml:space="preserve"> </w:t>
      </w:r>
      <w:r w:rsidR="00F27EBE" w:rsidRPr="006A78F4">
        <w:rPr>
          <w:rFonts w:ascii="Times New Roman" w:hAnsi="Times New Roman"/>
        </w:rPr>
        <w:t>include</w:t>
      </w:r>
      <w:r w:rsidRPr="006A78F4">
        <w:rPr>
          <w:rFonts w:ascii="Times New Roman" w:hAnsi="Times New Roman"/>
        </w:rPr>
        <w:t xml:space="preserve"> assessment for mitigating the root cause of the degradation. In absence of any plant specific requirements for corrective actions, the requirements in the US Code of Federal Regulations, 10</w:t>
      </w:r>
      <w:r w:rsidR="00710BE7" w:rsidRPr="006A78F4">
        <w:rPr>
          <w:rFonts w:ascii="Times New Roman" w:hAnsi="Times New Roman"/>
        </w:rPr>
        <w:t xml:space="preserve"> </w:t>
      </w:r>
      <w:r w:rsidRPr="006A78F4">
        <w:rPr>
          <w:rFonts w:ascii="Times New Roman" w:hAnsi="Times New Roman"/>
        </w:rPr>
        <w:t>CFR Part</w:t>
      </w:r>
      <w:r w:rsidR="00710BE7" w:rsidRPr="006A78F4">
        <w:rPr>
          <w:rFonts w:ascii="Times New Roman" w:hAnsi="Times New Roman"/>
        </w:rPr>
        <w:t xml:space="preserve"> </w:t>
      </w:r>
      <w:r w:rsidRPr="006A78F4">
        <w:rPr>
          <w:rFonts w:ascii="Times New Roman" w:hAnsi="Times New Roman"/>
        </w:rPr>
        <w:t>50, Appendix B [</w:t>
      </w:r>
      <w:r w:rsidR="00660288">
        <w:rPr>
          <w:rFonts w:ascii="Times New Roman" w:hAnsi="Times New Roman"/>
        </w:rPr>
        <w:t>3</w:t>
      </w:r>
      <w:r w:rsidRPr="006A78F4">
        <w:rPr>
          <w:rFonts w:ascii="Times New Roman" w:hAnsi="Times New Roman"/>
        </w:rPr>
        <w:t xml:space="preserve">], can be used to address the corrective actions. </w:t>
      </w:r>
    </w:p>
    <w:p w14:paraId="384E89AD" w14:textId="77777777" w:rsidR="00035F78" w:rsidRPr="006A78F4" w:rsidRDefault="00035F78" w:rsidP="00017A17">
      <w:pPr>
        <w:pStyle w:val="Paragraphedeliste1"/>
        <w:tabs>
          <w:tab w:val="left" w:pos="0"/>
        </w:tabs>
        <w:spacing w:before="120" w:after="120" w:line="240" w:lineRule="auto"/>
        <w:ind w:left="0"/>
        <w:rPr>
          <w:rFonts w:ascii="Times New Roman" w:hAnsi="Times New Roman"/>
          <w:sz w:val="24"/>
          <w:szCs w:val="24"/>
          <w:lang w:val="en-US"/>
        </w:rPr>
      </w:pPr>
    </w:p>
    <w:p w14:paraId="384E89AE" w14:textId="77777777" w:rsidR="00313568" w:rsidRPr="006A78F4" w:rsidRDefault="00313568"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Operating </w:t>
      </w:r>
      <w:r w:rsidR="00692932" w:rsidRPr="006A78F4">
        <w:rPr>
          <w:rFonts w:ascii="Times New Roman" w:hAnsi="Times New Roman"/>
          <w:b/>
          <w:i/>
          <w:sz w:val="24"/>
          <w:szCs w:val="24"/>
        </w:rPr>
        <w:t>e</w:t>
      </w:r>
      <w:r w:rsidRPr="006A78F4">
        <w:rPr>
          <w:rFonts w:ascii="Times New Roman" w:hAnsi="Times New Roman"/>
          <w:b/>
          <w:i/>
          <w:sz w:val="24"/>
          <w:szCs w:val="24"/>
        </w:rPr>
        <w:t xml:space="preserve">xperience </w:t>
      </w:r>
      <w:r w:rsidR="00692932" w:rsidRPr="006A78F4">
        <w:rPr>
          <w:rFonts w:ascii="Times New Roman" w:hAnsi="Times New Roman"/>
          <w:b/>
          <w:i/>
          <w:sz w:val="24"/>
          <w:szCs w:val="24"/>
        </w:rPr>
        <w:t>f</w:t>
      </w:r>
      <w:r w:rsidRPr="006A78F4">
        <w:rPr>
          <w:rFonts w:ascii="Times New Roman" w:hAnsi="Times New Roman"/>
          <w:b/>
          <w:i/>
          <w:sz w:val="24"/>
          <w:szCs w:val="24"/>
        </w:rPr>
        <w:t>eedback</w:t>
      </w:r>
      <w:r w:rsidR="00FD0064" w:rsidRPr="006A78F4">
        <w:rPr>
          <w:rFonts w:ascii="Times New Roman" w:hAnsi="Times New Roman"/>
          <w:b/>
          <w:i/>
          <w:sz w:val="24"/>
          <w:szCs w:val="24"/>
        </w:rPr>
        <w:t xml:space="preserve"> and feedback of research and development results</w:t>
      </w:r>
      <w:r w:rsidR="00D721CA" w:rsidRPr="006A78F4">
        <w:rPr>
          <w:rFonts w:ascii="Times New Roman" w:hAnsi="Times New Roman"/>
          <w:b/>
          <w:i/>
          <w:sz w:val="24"/>
          <w:szCs w:val="24"/>
        </w:rPr>
        <w:t>:</w:t>
      </w:r>
    </w:p>
    <w:p w14:paraId="384E89AF" w14:textId="77777777" w:rsidR="00680BB3" w:rsidRPr="006A78F4" w:rsidRDefault="00680BB3" w:rsidP="00017A17">
      <w:pPr>
        <w:pStyle w:val="Body"/>
        <w:numPr>
          <w:ilvl w:val="0"/>
          <w:numId w:val="0"/>
        </w:numPr>
        <w:jc w:val="both"/>
        <w:rPr>
          <w:rFonts w:ascii="Times New Roman" w:hAnsi="Times New Roman"/>
          <w:sz w:val="24"/>
          <w:szCs w:val="24"/>
        </w:rPr>
      </w:pPr>
      <w:r w:rsidRPr="006A78F4">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 g. develop a new plant-specific AMP) to ensure the continued effectiveness of ageing management.</w:t>
      </w:r>
    </w:p>
    <w:p w14:paraId="384E89B0" w14:textId="26E86143" w:rsidR="003F35D0" w:rsidRPr="006A78F4" w:rsidRDefault="003F35D0" w:rsidP="00017A17">
      <w:pPr>
        <w:spacing w:before="120" w:after="120"/>
        <w:rPr>
          <w:rFonts w:ascii="Times New Roman" w:hAnsi="Times New Roman"/>
        </w:rPr>
      </w:pPr>
      <w:r w:rsidRPr="006A78F4">
        <w:rPr>
          <w:rFonts w:ascii="Times New Roman" w:hAnsi="Times New Roman"/>
        </w:rPr>
        <w:t xml:space="preserve">Appropriate source of external operating experience </w:t>
      </w:r>
      <w:r w:rsidR="00496281" w:rsidRPr="006A78F4">
        <w:rPr>
          <w:rFonts w:ascii="Times New Roman" w:hAnsi="Times New Roman"/>
        </w:rPr>
        <w:t>is</w:t>
      </w:r>
      <w:r w:rsidRPr="006A78F4">
        <w:rPr>
          <w:rFonts w:ascii="Times New Roman" w:hAnsi="Times New Roman"/>
        </w:rPr>
        <w:t xml:space="preserve"> Ageing Management of Concrete Structures in Nuclear Power Plants</w:t>
      </w:r>
      <w:r w:rsidR="00710BE7" w:rsidRPr="006A78F4">
        <w:rPr>
          <w:rFonts w:ascii="Times New Roman" w:hAnsi="Times New Roman"/>
        </w:rPr>
        <w:t xml:space="preserve">, </w:t>
      </w:r>
      <w:r w:rsidRPr="006A78F4">
        <w:rPr>
          <w:rFonts w:ascii="Times New Roman" w:hAnsi="Times New Roman"/>
        </w:rPr>
        <w:t>IAEA Nuclear Energy Series No. NP-T-3.5</w:t>
      </w:r>
      <w:r w:rsidR="00710BE7" w:rsidRPr="006A78F4">
        <w:rPr>
          <w:rFonts w:ascii="Times New Roman" w:hAnsi="Times New Roman"/>
        </w:rPr>
        <w:t xml:space="preserve">, </w:t>
      </w:r>
      <w:r w:rsidRPr="006A78F4">
        <w:rPr>
          <w:rFonts w:ascii="Times New Roman" w:hAnsi="Times New Roman"/>
        </w:rPr>
        <w:t>2016</w:t>
      </w:r>
      <w:r w:rsidR="00DC0A75" w:rsidRPr="006A78F4">
        <w:rPr>
          <w:rFonts w:ascii="Times New Roman" w:hAnsi="Times New Roman"/>
        </w:rPr>
        <w:t xml:space="preserve"> [</w:t>
      </w:r>
      <w:r w:rsidR="00177695">
        <w:rPr>
          <w:rFonts w:ascii="Times New Roman" w:hAnsi="Times New Roman"/>
        </w:rPr>
        <w:t>4</w:t>
      </w:r>
      <w:r w:rsidR="00DC0A75" w:rsidRPr="006A78F4">
        <w:rPr>
          <w:rFonts w:ascii="Times New Roman" w:hAnsi="Times New Roman"/>
        </w:rPr>
        <w:t>]</w:t>
      </w:r>
      <w:r w:rsidR="00496281" w:rsidRPr="006A78F4">
        <w:rPr>
          <w:rFonts w:ascii="Times New Roman" w:hAnsi="Times New Roman"/>
        </w:rPr>
        <w:t>.</w:t>
      </w:r>
    </w:p>
    <w:p w14:paraId="3CB37B05" w14:textId="1D4F5CE6" w:rsidR="00177695" w:rsidRPr="00F27EBE" w:rsidRDefault="00660288" w:rsidP="00017A17">
      <w:pPr>
        <w:spacing w:before="120" w:after="120"/>
        <w:rPr>
          <w:rFonts w:ascii="Times New Roman" w:hAnsi="Times New Roman"/>
          <w:color w:val="FF0000"/>
        </w:rPr>
      </w:pPr>
      <w:r w:rsidRPr="00F27EBE">
        <w:rPr>
          <w:rFonts w:ascii="Times New Roman" w:hAnsi="Times New Roman"/>
          <w:color w:val="FF0000"/>
        </w:rPr>
        <w:t>G</w:t>
      </w:r>
      <w:r w:rsidR="00BD3353" w:rsidRPr="00F27EBE">
        <w:rPr>
          <w:rFonts w:ascii="Times New Roman" w:hAnsi="Times New Roman"/>
          <w:color w:val="FF0000"/>
        </w:rPr>
        <w:t>round movement (</w:t>
      </w:r>
      <w:r w:rsidR="005F11EF" w:rsidRPr="00F27EBE">
        <w:rPr>
          <w:rFonts w:ascii="Times New Roman" w:hAnsi="Times New Roman"/>
          <w:color w:val="FF0000"/>
        </w:rPr>
        <w:t>up-heave</w:t>
      </w:r>
      <w:r w:rsidR="00BD3353" w:rsidRPr="00F27EBE">
        <w:rPr>
          <w:rFonts w:ascii="Times New Roman" w:hAnsi="Times New Roman"/>
          <w:color w:val="FF0000"/>
        </w:rPr>
        <w:t>)</w:t>
      </w:r>
      <w:r w:rsidR="00313568" w:rsidRPr="00F27EBE">
        <w:rPr>
          <w:rFonts w:ascii="Times New Roman" w:hAnsi="Times New Roman"/>
          <w:color w:val="FF0000"/>
        </w:rPr>
        <w:t xml:space="preserve"> phenomenon was first detected, </w:t>
      </w:r>
      <w:proofErr w:type="gramStart"/>
      <w:r w:rsidR="00313568" w:rsidRPr="00F27EBE">
        <w:rPr>
          <w:rFonts w:ascii="Times New Roman" w:hAnsi="Times New Roman"/>
          <w:color w:val="FF0000"/>
        </w:rPr>
        <w:t>studied</w:t>
      </w:r>
      <w:proofErr w:type="gramEnd"/>
      <w:r w:rsidR="00313568" w:rsidRPr="00F27EBE">
        <w:rPr>
          <w:rFonts w:ascii="Times New Roman" w:hAnsi="Times New Roman"/>
          <w:color w:val="FF0000"/>
        </w:rPr>
        <w:t xml:space="preserve"> and modeled in the early 1980s in </w:t>
      </w:r>
      <w:r w:rsidR="00692932" w:rsidRPr="00F27EBE">
        <w:rPr>
          <w:rFonts w:ascii="Times New Roman" w:hAnsi="Times New Roman"/>
          <w:color w:val="FF0000"/>
        </w:rPr>
        <w:t xml:space="preserve">one </w:t>
      </w:r>
      <w:r w:rsidR="007410D8" w:rsidRPr="00F27EBE">
        <w:rPr>
          <w:rFonts w:ascii="Times New Roman" w:hAnsi="Times New Roman"/>
          <w:color w:val="FF0000"/>
        </w:rPr>
        <w:t>u</w:t>
      </w:r>
      <w:r w:rsidR="00313568" w:rsidRPr="00F27EBE">
        <w:rPr>
          <w:rFonts w:ascii="Times New Roman" w:hAnsi="Times New Roman"/>
          <w:color w:val="FF0000"/>
        </w:rPr>
        <w:t xml:space="preserve">nit of </w:t>
      </w:r>
      <w:r w:rsidR="007410D8" w:rsidRPr="00F27EBE">
        <w:rPr>
          <w:rFonts w:ascii="Times New Roman" w:hAnsi="Times New Roman"/>
          <w:color w:val="FF0000"/>
        </w:rPr>
        <w:t>a Spanish</w:t>
      </w:r>
      <w:r w:rsidR="00692932" w:rsidRPr="00F27EBE">
        <w:rPr>
          <w:rFonts w:ascii="Times New Roman" w:hAnsi="Times New Roman"/>
          <w:color w:val="FF0000"/>
        </w:rPr>
        <w:t xml:space="preserve"> </w:t>
      </w:r>
      <w:r w:rsidR="00313568" w:rsidRPr="00F27EBE">
        <w:rPr>
          <w:rFonts w:ascii="Times New Roman" w:hAnsi="Times New Roman"/>
          <w:color w:val="FF0000"/>
        </w:rPr>
        <w:t>NPP</w:t>
      </w:r>
      <w:r w:rsidR="00177695" w:rsidRPr="00F27EBE">
        <w:rPr>
          <w:rFonts w:ascii="Times New Roman" w:hAnsi="Times New Roman"/>
          <w:color w:val="FF0000"/>
        </w:rPr>
        <w:t xml:space="preserve">. It </w:t>
      </w:r>
      <w:r w:rsidR="00F27EBE" w:rsidRPr="00F27EBE">
        <w:rPr>
          <w:rFonts w:ascii="Times New Roman" w:hAnsi="Times New Roman"/>
          <w:color w:val="FF0000"/>
        </w:rPr>
        <w:t>happens</w:t>
      </w:r>
      <w:r w:rsidR="00177695" w:rsidRPr="00F27EBE">
        <w:rPr>
          <w:rFonts w:ascii="Times New Roman" w:hAnsi="Times New Roman"/>
          <w:color w:val="FF0000"/>
        </w:rPr>
        <w:t xml:space="preserve"> due to</w:t>
      </w:r>
      <w:r w:rsidR="00177695" w:rsidRPr="00F27EBE">
        <w:rPr>
          <w:rFonts w:ascii="Times New Roman" w:hAnsi="Times New Roman"/>
          <w:color w:val="FF0000"/>
          <w:lang w:val="en"/>
        </w:rPr>
        <w:t xml:space="preserve"> expansive soil layers consists of a calcium carbonate or lime rich mud or mudstone that contains clay and silt fraction between 35% to 65%</w:t>
      </w:r>
      <w:r w:rsidR="00313568" w:rsidRPr="00F27EBE">
        <w:rPr>
          <w:rFonts w:ascii="Times New Roman" w:hAnsi="Times New Roman"/>
          <w:color w:val="FF0000"/>
        </w:rPr>
        <w:t xml:space="preserve">. </w:t>
      </w:r>
    </w:p>
    <w:p w14:paraId="384E89B1" w14:textId="7AB767DF" w:rsidR="00BD3353" w:rsidRPr="006A78F4" w:rsidRDefault="00313568" w:rsidP="00017A17">
      <w:pPr>
        <w:spacing w:before="120" w:after="120"/>
        <w:rPr>
          <w:rFonts w:ascii="Times New Roman" w:hAnsi="Times New Roman"/>
        </w:rPr>
      </w:pPr>
      <w:r w:rsidRPr="006A78F4">
        <w:rPr>
          <w:rFonts w:ascii="Times New Roman" w:hAnsi="Times New Roman"/>
        </w:rPr>
        <w:t xml:space="preserve">As a result of these studies, </w:t>
      </w:r>
      <w:r w:rsidR="0036593D" w:rsidRPr="006A78F4">
        <w:rPr>
          <w:rFonts w:ascii="Times New Roman" w:hAnsi="Times New Roman"/>
        </w:rPr>
        <w:t>a</w:t>
      </w:r>
      <w:r w:rsidR="005F11EF" w:rsidRPr="006A78F4">
        <w:rPr>
          <w:rFonts w:ascii="Times New Roman" w:hAnsi="Times New Roman"/>
        </w:rPr>
        <w:t xml:space="preserve"> </w:t>
      </w:r>
      <w:r w:rsidR="007410D8" w:rsidRPr="006A78F4">
        <w:rPr>
          <w:rFonts w:ascii="Times New Roman" w:hAnsi="Times New Roman"/>
        </w:rPr>
        <w:t>“Ground Movements Surveillance</w:t>
      </w:r>
      <w:r w:rsidRPr="006A78F4">
        <w:rPr>
          <w:rFonts w:ascii="Times New Roman" w:hAnsi="Times New Roman"/>
        </w:rPr>
        <w:t xml:space="preserve"> Manual</w:t>
      </w:r>
      <w:r w:rsidR="00144899" w:rsidRPr="006A78F4">
        <w:rPr>
          <w:rFonts w:ascii="Times New Roman" w:hAnsi="Times New Roman"/>
        </w:rPr>
        <w:t xml:space="preserve">, </w:t>
      </w:r>
      <w:proofErr w:type="spellStart"/>
      <w:r w:rsidR="007410D8" w:rsidRPr="006A78F4">
        <w:rPr>
          <w:rFonts w:ascii="Times New Roman" w:hAnsi="Times New Roman"/>
        </w:rPr>
        <w:t>Ascó</w:t>
      </w:r>
      <w:proofErr w:type="spellEnd"/>
      <w:r w:rsidR="007410D8" w:rsidRPr="006A78F4">
        <w:rPr>
          <w:rFonts w:ascii="Times New Roman" w:hAnsi="Times New Roman"/>
        </w:rPr>
        <w:t xml:space="preserve"> </w:t>
      </w:r>
      <w:r w:rsidR="006B0DF8" w:rsidRPr="006A78F4">
        <w:rPr>
          <w:rFonts w:ascii="Times New Roman" w:hAnsi="Times New Roman"/>
        </w:rPr>
        <w:t>2</w:t>
      </w:r>
      <w:r w:rsidR="007410D8" w:rsidRPr="006A78F4">
        <w:rPr>
          <w:rFonts w:ascii="Times New Roman" w:hAnsi="Times New Roman"/>
        </w:rPr>
        <w:t xml:space="preserve"> NPP</w:t>
      </w:r>
      <w:r w:rsidR="001C45DF" w:rsidRPr="006A78F4">
        <w:rPr>
          <w:rFonts w:ascii="Times New Roman" w:hAnsi="Times New Roman"/>
        </w:rPr>
        <w:t xml:space="preserve">” </w:t>
      </w:r>
      <w:r w:rsidR="00035F78" w:rsidRPr="006A78F4">
        <w:rPr>
          <w:rFonts w:ascii="Times New Roman" w:hAnsi="Times New Roman"/>
        </w:rPr>
        <w:t>[</w:t>
      </w:r>
      <w:r w:rsidR="00177695">
        <w:rPr>
          <w:rFonts w:ascii="Times New Roman" w:hAnsi="Times New Roman"/>
        </w:rPr>
        <w:t>2</w:t>
      </w:r>
      <w:r w:rsidR="00035F78" w:rsidRPr="006A78F4">
        <w:rPr>
          <w:rFonts w:ascii="Times New Roman" w:hAnsi="Times New Roman"/>
        </w:rPr>
        <w:t>]</w:t>
      </w:r>
      <w:r w:rsidR="006B0DF8" w:rsidRPr="006A78F4">
        <w:rPr>
          <w:rFonts w:ascii="Times New Roman" w:hAnsi="Times New Roman"/>
        </w:rPr>
        <w:t>,</w:t>
      </w:r>
      <w:r w:rsidRPr="006A78F4">
        <w:rPr>
          <w:rFonts w:ascii="Times New Roman" w:hAnsi="Times New Roman"/>
        </w:rPr>
        <w:t xml:space="preserve"> against the effects of </w:t>
      </w:r>
      <w:r w:rsidR="0036593D" w:rsidRPr="006A78F4">
        <w:rPr>
          <w:rFonts w:ascii="Times New Roman" w:hAnsi="Times New Roman"/>
        </w:rPr>
        <w:t xml:space="preserve">ground </w:t>
      </w:r>
      <w:r w:rsidR="00BD3353" w:rsidRPr="006A78F4">
        <w:rPr>
          <w:rFonts w:ascii="Times New Roman" w:hAnsi="Times New Roman"/>
        </w:rPr>
        <w:t>up-</w:t>
      </w:r>
      <w:r w:rsidRPr="006A78F4">
        <w:rPr>
          <w:rFonts w:ascii="Times New Roman" w:hAnsi="Times New Roman"/>
        </w:rPr>
        <w:t>lifting</w:t>
      </w:r>
      <w:r w:rsidR="0036593D" w:rsidRPr="006A78F4">
        <w:rPr>
          <w:rFonts w:ascii="Times New Roman" w:hAnsi="Times New Roman"/>
        </w:rPr>
        <w:t xml:space="preserve"> for </w:t>
      </w:r>
      <w:r w:rsidR="00692932" w:rsidRPr="006A78F4">
        <w:rPr>
          <w:rFonts w:ascii="Times New Roman" w:hAnsi="Times New Roman"/>
        </w:rPr>
        <w:t>the SSC of that</w:t>
      </w:r>
      <w:r w:rsidR="0036593D" w:rsidRPr="006A78F4">
        <w:rPr>
          <w:rFonts w:ascii="Times New Roman" w:hAnsi="Times New Roman"/>
        </w:rPr>
        <w:t xml:space="preserve"> NPP</w:t>
      </w:r>
      <w:r w:rsidR="006B0DF8" w:rsidRPr="006A78F4">
        <w:rPr>
          <w:rFonts w:ascii="Times New Roman" w:hAnsi="Times New Roman"/>
        </w:rPr>
        <w:t>,</w:t>
      </w:r>
      <w:r w:rsidRPr="006A78F4">
        <w:rPr>
          <w:rFonts w:ascii="Times New Roman" w:hAnsi="Times New Roman"/>
        </w:rPr>
        <w:t xml:space="preserve"> was approved in 1984, which has been of strict compliance since that date. </w:t>
      </w:r>
    </w:p>
    <w:p w14:paraId="384E89B3" w14:textId="0A29BE3E" w:rsidR="00710BE7" w:rsidRPr="006A78F4" w:rsidRDefault="003F35D0" w:rsidP="00017A17">
      <w:pPr>
        <w:spacing w:before="120" w:after="120"/>
        <w:rPr>
          <w:rFonts w:ascii="Times New Roman" w:eastAsia="Times New Roman" w:hAnsi="Times New Roman"/>
          <w:lang w:eastAsia="en-US"/>
        </w:rPr>
      </w:pPr>
      <w:r w:rsidRPr="006A78F4">
        <w:rPr>
          <w:rFonts w:ascii="Times New Roman" w:eastAsia="Times New Roman" w:hAnsi="Times New Roman"/>
          <w:lang w:eastAsia="en-US"/>
        </w:rPr>
        <w:t xml:space="preserve">At the time when this AMP was produced, no relevant </w:t>
      </w:r>
      <w:r w:rsidR="00177695">
        <w:rPr>
          <w:rFonts w:ascii="Times New Roman" w:eastAsia="Times New Roman" w:hAnsi="Times New Roman"/>
          <w:lang w:eastAsia="en-US"/>
        </w:rPr>
        <w:t xml:space="preserve">nuclear industry </w:t>
      </w:r>
      <w:r w:rsidRPr="006A78F4">
        <w:rPr>
          <w:rFonts w:ascii="Times New Roman" w:eastAsia="Times New Roman" w:hAnsi="Times New Roman"/>
          <w:lang w:eastAsia="en-US"/>
        </w:rPr>
        <w:t>R&amp;D was identified.</w:t>
      </w:r>
    </w:p>
    <w:p w14:paraId="384E89B4" w14:textId="77777777" w:rsidR="005C6276" w:rsidRPr="006A78F4" w:rsidRDefault="005C6276" w:rsidP="00017A17">
      <w:pPr>
        <w:spacing w:before="120" w:after="120"/>
        <w:rPr>
          <w:rFonts w:ascii="Times New Roman" w:hAnsi="Times New Roman"/>
          <w:lang w:eastAsia="zh-CN"/>
        </w:rPr>
      </w:pPr>
    </w:p>
    <w:p w14:paraId="384E89B5" w14:textId="77777777" w:rsidR="00313568" w:rsidRPr="006A78F4" w:rsidRDefault="00313568" w:rsidP="00017A17">
      <w:pPr>
        <w:pStyle w:val="Prrafodelista1"/>
        <w:numPr>
          <w:ilvl w:val="0"/>
          <w:numId w:val="2"/>
        </w:numPr>
        <w:spacing w:before="120" w:after="120" w:line="240" w:lineRule="auto"/>
        <w:ind w:left="426" w:hanging="426"/>
        <w:rPr>
          <w:rFonts w:ascii="Times New Roman" w:hAnsi="Times New Roman"/>
          <w:b/>
          <w:i/>
          <w:sz w:val="24"/>
          <w:szCs w:val="24"/>
        </w:rPr>
      </w:pPr>
      <w:r w:rsidRPr="006A78F4">
        <w:rPr>
          <w:rFonts w:ascii="Times New Roman" w:hAnsi="Times New Roman"/>
          <w:b/>
          <w:i/>
          <w:sz w:val="24"/>
          <w:szCs w:val="24"/>
        </w:rPr>
        <w:t xml:space="preserve">Quality </w:t>
      </w:r>
      <w:r w:rsidR="00FD0064" w:rsidRPr="006A78F4">
        <w:rPr>
          <w:rFonts w:ascii="Times New Roman" w:hAnsi="Times New Roman"/>
          <w:b/>
          <w:i/>
          <w:sz w:val="24"/>
          <w:szCs w:val="24"/>
        </w:rPr>
        <w:t>m</w:t>
      </w:r>
      <w:r w:rsidRPr="006A78F4">
        <w:rPr>
          <w:rFonts w:ascii="Times New Roman" w:hAnsi="Times New Roman"/>
          <w:b/>
          <w:i/>
          <w:sz w:val="24"/>
          <w:szCs w:val="24"/>
        </w:rPr>
        <w:t>anagement</w:t>
      </w:r>
    </w:p>
    <w:p w14:paraId="384E89B6" w14:textId="77777777" w:rsidR="00313568" w:rsidRPr="006A78F4" w:rsidRDefault="006326E4" w:rsidP="00017A17">
      <w:pPr>
        <w:spacing w:before="120" w:after="120"/>
        <w:rPr>
          <w:rFonts w:ascii="Times New Roman" w:hAnsi="Times New Roman"/>
        </w:rPr>
      </w:pPr>
      <w:r w:rsidRPr="006A78F4">
        <w:rPr>
          <w:rFonts w:ascii="Times New Roman" w:hAnsi="Times New Roman"/>
        </w:rPr>
        <w:lastRenderedPageBreak/>
        <w:t xml:space="preserve">Site quality assurance procedures, review and approval processes, and administrative controls are implemented in accordance with the different national regulatory requirements (e.g., </w:t>
      </w:r>
      <w:r w:rsidR="003D42A6" w:rsidRPr="006A78F4">
        <w:rPr>
          <w:rFonts w:ascii="Times New Roman" w:hAnsi="Times New Roman"/>
        </w:rPr>
        <w:t>10 CFR Part 50, Appendix B [</w:t>
      </w:r>
      <w:r w:rsidR="00C77C82" w:rsidRPr="006A78F4">
        <w:rPr>
          <w:rFonts w:ascii="Times New Roman" w:hAnsi="Times New Roman"/>
        </w:rPr>
        <w:t>3</w:t>
      </w:r>
      <w:r w:rsidR="003D42A6" w:rsidRPr="006A78F4">
        <w:rPr>
          <w:rFonts w:ascii="Times New Roman" w:hAnsi="Times New Roman"/>
        </w:rPr>
        <w:t>])</w:t>
      </w:r>
      <w:r w:rsidR="00313568" w:rsidRPr="006A78F4">
        <w:rPr>
          <w:rFonts w:ascii="Times New Roman" w:hAnsi="Times New Roman"/>
        </w:rPr>
        <w:t>.</w:t>
      </w:r>
    </w:p>
    <w:p w14:paraId="384E89B7" w14:textId="77777777" w:rsidR="00BF5040" w:rsidRPr="006A78F4" w:rsidRDefault="00BF5040" w:rsidP="001F3407">
      <w:pPr>
        <w:spacing w:after="120" w:line="276" w:lineRule="auto"/>
        <w:rPr>
          <w:rFonts w:ascii="Times New Roman" w:hAnsi="Times New Roman"/>
        </w:rPr>
      </w:pPr>
    </w:p>
    <w:p w14:paraId="384E89B8" w14:textId="77777777" w:rsidR="00313568" w:rsidRPr="00772617" w:rsidRDefault="00313568" w:rsidP="001F3407">
      <w:pPr>
        <w:pStyle w:val="Heading3"/>
        <w:spacing w:line="276" w:lineRule="auto"/>
        <w:jc w:val="left"/>
        <w:rPr>
          <w:rFonts w:ascii="Times New Roman" w:hAnsi="Times New Roman"/>
          <w:bCs w:val="0"/>
          <w:sz w:val="24"/>
          <w:szCs w:val="24"/>
        </w:rPr>
      </w:pPr>
      <w:r w:rsidRPr="00772617">
        <w:rPr>
          <w:rFonts w:ascii="Times New Roman" w:hAnsi="Times New Roman"/>
          <w:bCs w:val="0"/>
          <w:sz w:val="24"/>
          <w:szCs w:val="24"/>
        </w:rPr>
        <w:t>References</w:t>
      </w:r>
    </w:p>
    <w:p w14:paraId="184735EF" w14:textId="77777777" w:rsidR="00177695" w:rsidRPr="000C222F" w:rsidRDefault="00177695" w:rsidP="00177695">
      <w:pPr>
        <w:pStyle w:val="References"/>
        <w:spacing w:line="276" w:lineRule="auto"/>
        <w:ind w:left="567" w:hanging="567"/>
        <w:jc w:val="both"/>
        <w:rPr>
          <w:rFonts w:ascii="Times New Roman" w:hAnsi="Times New Roman" w:cs="Times New Roman"/>
          <w:sz w:val="24"/>
          <w:szCs w:val="24"/>
          <w:lang w:val="en-GB"/>
        </w:rPr>
      </w:pPr>
      <w:r w:rsidRPr="00083892">
        <w:rPr>
          <w:rFonts w:ascii="Times New Roman" w:hAnsi="Times New Roman" w:cs="Times New Roman"/>
          <w:sz w:val="24"/>
          <w:szCs w:val="24"/>
          <w:lang w:val="es-ES"/>
        </w:rPr>
        <w:t>[1]</w:t>
      </w:r>
      <w:r w:rsidRPr="00083892">
        <w:rPr>
          <w:rFonts w:ascii="Times New Roman" w:hAnsi="Times New Roman" w:cs="Times New Roman"/>
          <w:sz w:val="24"/>
          <w:szCs w:val="24"/>
          <w:lang w:val="es-ES"/>
        </w:rPr>
        <w:tab/>
      </w:r>
      <w:r w:rsidRPr="00F27EBE">
        <w:rPr>
          <w:rFonts w:ascii="Times New Roman" w:hAnsi="Times New Roman"/>
          <w:color w:val="FF0000"/>
          <w:sz w:val="24"/>
          <w:szCs w:val="24"/>
          <w:lang w:val="es-ES" w:eastAsia="ja-JP"/>
        </w:rPr>
        <w:t xml:space="preserve">SALAS, J.A.J. y ALPAÑES, J.L.J., Geotecnia Y Cimientos – Propiedades de los suelos y de las rocas. </w:t>
      </w:r>
      <w:r w:rsidRPr="00F27EBE">
        <w:rPr>
          <w:rFonts w:ascii="Times New Roman" w:hAnsi="Times New Roman"/>
          <w:color w:val="FF0000"/>
          <w:sz w:val="24"/>
          <w:szCs w:val="24"/>
          <w:lang w:eastAsia="ja-JP"/>
        </w:rPr>
        <w:t>Editorial Rueda, 2ª Edition, 1975.</w:t>
      </w:r>
    </w:p>
    <w:p w14:paraId="384E89B9" w14:textId="67D65DEF" w:rsidR="00C77C82" w:rsidRPr="006A78F4" w:rsidRDefault="00035F78" w:rsidP="00FF48B3">
      <w:pPr>
        <w:pStyle w:val="References"/>
        <w:tabs>
          <w:tab w:val="left" w:pos="900"/>
        </w:tabs>
        <w:ind w:left="567" w:hanging="567"/>
        <w:jc w:val="both"/>
        <w:rPr>
          <w:rFonts w:ascii="Times New Roman" w:hAnsi="Times New Roman" w:cs="Times New Roman"/>
          <w:sz w:val="24"/>
          <w:szCs w:val="24"/>
          <w:lang w:val="en"/>
        </w:rPr>
      </w:pPr>
      <w:r w:rsidRPr="006A78F4">
        <w:rPr>
          <w:rFonts w:ascii="Times New Roman" w:hAnsi="Times New Roman" w:cs="Times New Roman"/>
          <w:sz w:val="24"/>
          <w:szCs w:val="24"/>
        </w:rPr>
        <w:t>[</w:t>
      </w:r>
      <w:r w:rsidR="00177695">
        <w:rPr>
          <w:rFonts w:ascii="Times New Roman" w:hAnsi="Times New Roman" w:cs="Times New Roman"/>
          <w:sz w:val="24"/>
          <w:szCs w:val="24"/>
        </w:rPr>
        <w:t>2</w:t>
      </w:r>
      <w:r w:rsidRPr="006A78F4">
        <w:rPr>
          <w:rFonts w:ascii="Times New Roman" w:hAnsi="Times New Roman" w:cs="Times New Roman"/>
          <w:sz w:val="24"/>
          <w:szCs w:val="24"/>
        </w:rPr>
        <w:t>]</w:t>
      </w:r>
      <w:r w:rsidRPr="006A78F4">
        <w:rPr>
          <w:rFonts w:ascii="Times New Roman" w:hAnsi="Times New Roman" w:cs="Times New Roman"/>
          <w:sz w:val="24"/>
          <w:szCs w:val="24"/>
        </w:rPr>
        <w:tab/>
      </w:r>
      <w:r w:rsidR="00DC0A75" w:rsidRPr="00715C1D">
        <w:rPr>
          <w:rFonts w:ascii="Times New Roman" w:hAnsi="Times New Roman" w:cs="Times New Roman"/>
          <w:caps/>
          <w:sz w:val="24"/>
          <w:szCs w:val="24"/>
          <w:lang w:eastAsia="ja-JP"/>
        </w:rPr>
        <w:t xml:space="preserve">Spanish </w:t>
      </w:r>
      <w:r w:rsidR="00DC0A75" w:rsidRPr="00715C1D">
        <w:rPr>
          <w:rFonts w:ascii="Times New Roman" w:hAnsi="Times New Roman" w:cs="Times New Roman"/>
          <w:caps/>
          <w:sz w:val="24"/>
          <w:szCs w:val="24"/>
          <w:lang w:val="en"/>
        </w:rPr>
        <w:t>Nuclear Safety Council</w:t>
      </w:r>
      <w:r w:rsidR="00DC0A75" w:rsidRPr="006A78F4">
        <w:rPr>
          <w:rFonts w:ascii="Times New Roman" w:hAnsi="Times New Roman" w:cs="Times New Roman"/>
          <w:sz w:val="24"/>
          <w:szCs w:val="24"/>
          <w:lang w:val="en"/>
        </w:rPr>
        <w:t xml:space="preserve"> (CSN), Ground Movements Surveillance Manual, ASCO 2 NPP, 1984</w:t>
      </w:r>
      <w:r w:rsidR="000B67BA">
        <w:rPr>
          <w:rFonts w:ascii="Times New Roman" w:hAnsi="Times New Roman" w:cs="Times New Roman"/>
          <w:sz w:val="24"/>
          <w:szCs w:val="24"/>
          <w:lang w:val="en"/>
        </w:rPr>
        <w:t>.</w:t>
      </w:r>
    </w:p>
    <w:p w14:paraId="384E89BB" w14:textId="281C48DC" w:rsidR="00DC0A75" w:rsidRPr="006A78F4" w:rsidRDefault="00177695" w:rsidP="00FF48B3">
      <w:pPr>
        <w:pStyle w:val="References"/>
        <w:spacing w:line="276" w:lineRule="auto"/>
        <w:ind w:left="567" w:hanging="567"/>
        <w:jc w:val="both"/>
        <w:rPr>
          <w:rFonts w:ascii="Times New Roman" w:hAnsi="Times New Roman" w:cs="Times New Roman"/>
          <w:sz w:val="24"/>
          <w:szCs w:val="24"/>
          <w:lang w:eastAsia="ja-JP"/>
        </w:rPr>
      </w:pPr>
      <w:r w:rsidRPr="006A78F4" w:rsidDel="00177695">
        <w:rPr>
          <w:rFonts w:ascii="Times New Roman" w:hAnsi="Times New Roman" w:cs="Times New Roman"/>
          <w:sz w:val="24"/>
          <w:szCs w:val="24"/>
          <w:lang w:val="en"/>
        </w:rPr>
        <w:t xml:space="preserve"> </w:t>
      </w:r>
      <w:r w:rsidR="00C77C82" w:rsidRPr="006A78F4">
        <w:rPr>
          <w:rFonts w:ascii="Times New Roman" w:hAnsi="Times New Roman" w:cs="Times New Roman"/>
          <w:sz w:val="24"/>
          <w:szCs w:val="24"/>
          <w:lang w:eastAsia="ja-JP"/>
        </w:rPr>
        <w:t>[3]</w:t>
      </w:r>
      <w:r w:rsidR="00C77C82" w:rsidRPr="006A78F4">
        <w:rPr>
          <w:rFonts w:ascii="Times New Roman" w:hAnsi="Times New Roman" w:cs="Times New Roman"/>
          <w:sz w:val="24"/>
          <w:szCs w:val="24"/>
          <w:lang w:eastAsia="ja-JP"/>
        </w:rPr>
        <w:tab/>
      </w:r>
      <w:r w:rsidR="00DC0A75" w:rsidRPr="006A78F4">
        <w:rPr>
          <w:rFonts w:ascii="Times New Roman" w:hAnsi="Times New Roman" w:cs="Times New Roman"/>
          <w:sz w:val="24"/>
          <w:szCs w:val="24"/>
          <w:lang w:eastAsia="ja-JP"/>
        </w:rPr>
        <w:t>UNITED STATES NUCLEAR REGULATORY COMMISSION, 10CFR Part</w:t>
      </w:r>
      <w:r w:rsidR="00710BE7" w:rsidRPr="006A78F4">
        <w:rPr>
          <w:rFonts w:ascii="Times New Roman" w:hAnsi="Times New Roman" w:cs="Times New Roman"/>
          <w:sz w:val="24"/>
          <w:szCs w:val="24"/>
          <w:lang w:eastAsia="ja-JP"/>
        </w:rPr>
        <w:t xml:space="preserve"> </w:t>
      </w:r>
      <w:r w:rsidR="00DC0A75" w:rsidRPr="006A78F4">
        <w:rPr>
          <w:rFonts w:ascii="Times New Roman" w:hAnsi="Times New Roman" w:cs="Times New Roman"/>
          <w:sz w:val="24"/>
          <w:szCs w:val="24"/>
          <w:lang w:eastAsia="ja-JP"/>
        </w:rPr>
        <w:t xml:space="preserve">50, Appendix B, Quality Assurance Criteria for Nuclear Power Plants and Fuel Reprocessing Plants, National Archives and Records Administration, USNRC, </w:t>
      </w:r>
      <w:r w:rsidR="006A78F4">
        <w:rPr>
          <w:rFonts w:ascii="Times New Roman" w:hAnsi="Times New Roman" w:cs="Times New Roman"/>
          <w:sz w:val="24"/>
          <w:szCs w:val="24"/>
          <w:lang w:eastAsia="ja-JP"/>
        </w:rPr>
        <w:t>Latest Edition</w:t>
      </w:r>
      <w:r w:rsidR="000B67BA">
        <w:rPr>
          <w:rFonts w:ascii="Times New Roman" w:hAnsi="Times New Roman" w:cs="Times New Roman"/>
          <w:sz w:val="24"/>
          <w:szCs w:val="24"/>
          <w:lang w:eastAsia="ja-JP"/>
        </w:rPr>
        <w:t>.</w:t>
      </w:r>
    </w:p>
    <w:p w14:paraId="49F218AB" w14:textId="61A472E1" w:rsidR="00177695" w:rsidRPr="006A78F4" w:rsidRDefault="00177695" w:rsidP="00177695">
      <w:pPr>
        <w:pStyle w:val="References"/>
        <w:spacing w:line="276" w:lineRule="auto"/>
        <w:ind w:left="567" w:hanging="567"/>
        <w:jc w:val="both"/>
        <w:rPr>
          <w:rFonts w:ascii="Times New Roman" w:hAnsi="Times New Roman" w:cs="Times New Roman"/>
          <w:sz w:val="24"/>
          <w:szCs w:val="24"/>
          <w:lang w:eastAsia="ja-JP"/>
        </w:rPr>
      </w:pPr>
      <w:r w:rsidRPr="006A78F4">
        <w:rPr>
          <w:rFonts w:ascii="Times New Roman" w:hAnsi="Times New Roman" w:cs="Times New Roman"/>
          <w:sz w:val="24"/>
          <w:szCs w:val="24"/>
          <w:lang w:val="en"/>
        </w:rPr>
        <w:t>[</w:t>
      </w:r>
      <w:r>
        <w:rPr>
          <w:rFonts w:ascii="Times New Roman" w:hAnsi="Times New Roman" w:cs="Times New Roman"/>
          <w:sz w:val="24"/>
          <w:szCs w:val="24"/>
          <w:lang w:val="en"/>
        </w:rPr>
        <w:t>4</w:t>
      </w:r>
      <w:r w:rsidRPr="006A78F4">
        <w:rPr>
          <w:rFonts w:ascii="Times New Roman" w:hAnsi="Times New Roman" w:cs="Times New Roman"/>
          <w:sz w:val="24"/>
          <w:szCs w:val="24"/>
          <w:lang w:val="en"/>
        </w:rPr>
        <w:t xml:space="preserve">] </w:t>
      </w:r>
      <w:r w:rsidRPr="006A78F4">
        <w:rPr>
          <w:rFonts w:ascii="Times New Roman" w:hAnsi="Times New Roman" w:cs="Times New Roman"/>
          <w:sz w:val="24"/>
          <w:szCs w:val="24"/>
          <w:lang w:val="en"/>
        </w:rPr>
        <w:tab/>
      </w:r>
      <w:r w:rsidRPr="00F27EBE">
        <w:rPr>
          <w:rFonts w:ascii="Times New Roman" w:hAnsi="Times New Roman" w:cs="Times New Roman"/>
          <w:color w:val="FF0000"/>
          <w:sz w:val="24"/>
          <w:szCs w:val="24"/>
          <w:lang w:eastAsia="ja-JP"/>
        </w:rPr>
        <w:t>INTERNATIONAL ATOMIC ENERGY AGENCY, Ageing Management of Concrete Structures in Nuclear Power Plants (IAEA Nuclear Energy Series No. NP-T-3.5, 2016.</w:t>
      </w:r>
    </w:p>
    <w:p w14:paraId="384E89BC" w14:textId="77777777" w:rsidR="00035F78" w:rsidRPr="000C5C0B" w:rsidRDefault="00035F78" w:rsidP="001F3407">
      <w:pPr>
        <w:spacing w:line="276" w:lineRule="auto"/>
        <w:jc w:val="left"/>
        <w:rPr>
          <w:rFonts w:ascii="Times New Roman" w:hAnsi="Times New Roman"/>
          <w:sz w:val="36"/>
          <w:szCs w:val="36"/>
        </w:rPr>
      </w:pPr>
    </w:p>
    <w:p w14:paraId="384E89BD" w14:textId="77777777" w:rsidR="00C551F0" w:rsidRPr="000C5C0B" w:rsidRDefault="00C551F0" w:rsidP="001F3407">
      <w:pPr>
        <w:rPr>
          <w:rFonts w:ascii="Times New Roman" w:hAnsi="Times New Roman"/>
          <w:sz w:val="36"/>
          <w:szCs w:val="36"/>
        </w:rPr>
      </w:pPr>
    </w:p>
    <w:sectPr w:rsidR="00C551F0" w:rsidRPr="000C5C0B" w:rsidSect="001F3407">
      <w:footerReference w:type="default" r:id="rId14"/>
      <w:pgSz w:w="11906" w:h="16838" w:code="9"/>
      <w:pgMar w:top="1417" w:right="1274" w:bottom="1417" w:left="1418" w:header="708" w:footer="97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ater Alloza, Juan" w:date="2021-08-25T15:52:00Z" w:initials="SAJ">
    <w:p w14:paraId="78074DD0" w14:textId="7BCE6DDC" w:rsidR="00564B42" w:rsidRDefault="00564B42">
      <w:pPr>
        <w:pStyle w:val="CommentText"/>
      </w:pPr>
      <w:r>
        <w:rPr>
          <w:rStyle w:val="CommentReference"/>
        </w:rPr>
        <w:annotationRef/>
      </w:r>
      <w:r w:rsidRPr="00772617">
        <w:rPr>
          <w:lang w:val="en-GB"/>
        </w:rPr>
        <w:t>The rest of this point it’s been moved to Point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074D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074DD0" w16cid:durableId="24EF32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FCA0" w14:textId="77777777" w:rsidR="001B1DA6" w:rsidRDefault="001B1DA6" w:rsidP="00C66D62">
      <w:r>
        <w:separator/>
      </w:r>
    </w:p>
  </w:endnote>
  <w:endnote w:type="continuationSeparator" w:id="0">
    <w:p w14:paraId="75E40347" w14:textId="77777777" w:rsidR="001B1DA6" w:rsidRDefault="001B1DA6" w:rsidP="00C6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89C2" w14:textId="644329A6" w:rsidR="00660288" w:rsidRPr="008F2DD9" w:rsidRDefault="00660288" w:rsidP="001F3407">
    <w:pPr>
      <w:pStyle w:val="Footer"/>
      <w:spacing w:before="240"/>
      <w:jc w:val="center"/>
      <w:rPr>
        <w:rFonts w:ascii="Times New Roman" w:hAnsi="Times New Roman"/>
      </w:rPr>
    </w:pPr>
    <w:r w:rsidRPr="008F2DD9">
      <w:rPr>
        <w:rFonts w:ascii="Times New Roman" w:hAnsi="Times New Roman"/>
      </w:rPr>
      <w:fldChar w:fldCharType="begin"/>
    </w:r>
    <w:r w:rsidRPr="008F2DD9">
      <w:rPr>
        <w:rFonts w:ascii="Times New Roman" w:hAnsi="Times New Roman"/>
      </w:rPr>
      <w:instrText xml:space="preserve"> PAGE   \* MERGEFORMAT </w:instrText>
    </w:r>
    <w:r w:rsidRPr="008F2DD9">
      <w:rPr>
        <w:rFonts w:ascii="Times New Roman" w:hAnsi="Times New Roman"/>
      </w:rPr>
      <w:fldChar w:fldCharType="separate"/>
    </w:r>
    <w:r w:rsidR="00C5692C">
      <w:rPr>
        <w:rFonts w:ascii="Times New Roman" w:hAnsi="Times New Roman"/>
        <w:noProof/>
      </w:rPr>
      <w:t>8</w:t>
    </w:r>
    <w:r w:rsidRPr="008F2DD9">
      <w:rPr>
        <w:rFonts w:ascii="Times New Roman" w:hAnsi="Times New Roman"/>
        <w:noProof/>
      </w:rPr>
      <w:fldChar w:fldCharType="end"/>
    </w:r>
  </w:p>
  <w:p w14:paraId="384E89C3" w14:textId="77777777" w:rsidR="00660288" w:rsidRPr="00C66D62" w:rsidRDefault="00660288" w:rsidP="009E1999">
    <w:pPr>
      <w:pStyle w:val="Footer"/>
      <w:jc w:val="lef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B9E2" w14:textId="77777777" w:rsidR="001B1DA6" w:rsidRDefault="001B1DA6" w:rsidP="00C66D62">
      <w:r>
        <w:separator/>
      </w:r>
    </w:p>
  </w:footnote>
  <w:footnote w:type="continuationSeparator" w:id="0">
    <w:p w14:paraId="37F185EC" w14:textId="77777777" w:rsidR="001B1DA6" w:rsidRDefault="001B1DA6" w:rsidP="00C66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3587"/>
    <w:multiLevelType w:val="hybridMultilevel"/>
    <w:tmpl w:val="BF06EA8A"/>
    <w:lvl w:ilvl="0" w:tplc="1C2C4E90">
      <w:start w:val="1"/>
      <w:numFmt w:val="upperLetter"/>
      <w:lvlText w:val="%1."/>
      <w:lvlJc w:val="left"/>
      <w:pPr>
        <w:tabs>
          <w:tab w:val="num" w:pos="540"/>
        </w:tabs>
        <w:ind w:left="540" w:hanging="360"/>
      </w:pPr>
      <w:rPr>
        <w:rFonts w:cs="Times New Roman" w:hint="default"/>
      </w:rPr>
    </w:lvl>
    <w:lvl w:ilvl="1" w:tplc="0C0A0001">
      <w:start w:val="1"/>
      <w:numFmt w:val="bullet"/>
      <w:lvlText w:val=""/>
      <w:lvlJc w:val="left"/>
      <w:pPr>
        <w:tabs>
          <w:tab w:val="num" w:pos="1260"/>
        </w:tabs>
        <w:ind w:left="1260" w:hanging="360"/>
      </w:pPr>
      <w:rPr>
        <w:rFonts w:ascii="Symbol" w:hAnsi="Symbol" w:hint="default"/>
      </w:rPr>
    </w:lvl>
    <w:lvl w:ilvl="2" w:tplc="0409001B">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1" w15:restartNumberingAfterBreak="0">
    <w:nsid w:val="0E493335"/>
    <w:multiLevelType w:val="hybridMultilevel"/>
    <w:tmpl w:val="62641E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2C07341"/>
    <w:multiLevelType w:val="hybridMultilevel"/>
    <w:tmpl w:val="48F2B8CC"/>
    <w:lvl w:ilvl="0" w:tplc="8EACC78E">
      <w:start w:val="1"/>
      <w:numFmt w:val="lowerLetter"/>
      <w:lvlText w:val="%1."/>
      <w:lvlJc w:val="left"/>
      <w:pPr>
        <w:tabs>
          <w:tab w:val="num" w:pos="900"/>
        </w:tabs>
        <w:ind w:left="900" w:hanging="360"/>
      </w:pPr>
      <w:rPr>
        <w:rFonts w:cs="Times New Roman" w:hint="default"/>
      </w:rPr>
    </w:lvl>
    <w:lvl w:ilvl="1" w:tplc="DA9667C4">
      <w:start w:val="1"/>
      <w:numFmt w:val="bullet"/>
      <w:lvlText w:val="o"/>
      <w:lvlJc w:val="left"/>
      <w:pPr>
        <w:tabs>
          <w:tab w:val="num" w:pos="1544"/>
        </w:tabs>
        <w:ind w:left="1544" w:hanging="284"/>
      </w:pPr>
      <w:rPr>
        <w:rFonts w:ascii="Courier New" w:hAnsi="Courier New" w:hint="default"/>
      </w:rPr>
    </w:lvl>
    <w:lvl w:ilvl="2" w:tplc="0C0A001B">
      <w:start w:val="1"/>
      <w:numFmt w:val="lowerRoman"/>
      <w:lvlText w:val="%3."/>
      <w:lvlJc w:val="right"/>
      <w:pPr>
        <w:tabs>
          <w:tab w:val="num" w:pos="2340"/>
        </w:tabs>
        <w:ind w:left="2340" w:hanging="180"/>
      </w:pPr>
      <w:rPr>
        <w:rFonts w:cs="Times New Roman"/>
      </w:rPr>
    </w:lvl>
    <w:lvl w:ilvl="3" w:tplc="0C0A000F" w:tentative="1">
      <w:start w:val="1"/>
      <w:numFmt w:val="decimal"/>
      <w:lvlText w:val="%4."/>
      <w:lvlJc w:val="left"/>
      <w:pPr>
        <w:tabs>
          <w:tab w:val="num" w:pos="3060"/>
        </w:tabs>
        <w:ind w:left="3060" w:hanging="360"/>
      </w:pPr>
      <w:rPr>
        <w:rFonts w:cs="Times New Roman"/>
      </w:rPr>
    </w:lvl>
    <w:lvl w:ilvl="4" w:tplc="0C0A0019" w:tentative="1">
      <w:start w:val="1"/>
      <w:numFmt w:val="lowerLetter"/>
      <w:lvlText w:val="%5."/>
      <w:lvlJc w:val="left"/>
      <w:pPr>
        <w:tabs>
          <w:tab w:val="num" w:pos="3780"/>
        </w:tabs>
        <w:ind w:left="3780" w:hanging="360"/>
      </w:pPr>
      <w:rPr>
        <w:rFonts w:cs="Times New Roman"/>
      </w:rPr>
    </w:lvl>
    <w:lvl w:ilvl="5" w:tplc="0C0A001B" w:tentative="1">
      <w:start w:val="1"/>
      <w:numFmt w:val="lowerRoman"/>
      <w:lvlText w:val="%6."/>
      <w:lvlJc w:val="right"/>
      <w:pPr>
        <w:tabs>
          <w:tab w:val="num" w:pos="4500"/>
        </w:tabs>
        <w:ind w:left="4500" w:hanging="180"/>
      </w:pPr>
      <w:rPr>
        <w:rFonts w:cs="Times New Roman"/>
      </w:rPr>
    </w:lvl>
    <w:lvl w:ilvl="6" w:tplc="0C0A000F" w:tentative="1">
      <w:start w:val="1"/>
      <w:numFmt w:val="decimal"/>
      <w:lvlText w:val="%7."/>
      <w:lvlJc w:val="left"/>
      <w:pPr>
        <w:tabs>
          <w:tab w:val="num" w:pos="5220"/>
        </w:tabs>
        <w:ind w:left="5220" w:hanging="360"/>
      </w:pPr>
      <w:rPr>
        <w:rFonts w:cs="Times New Roman"/>
      </w:rPr>
    </w:lvl>
    <w:lvl w:ilvl="7" w:tplc="0C0A0019" w:tentative="1">
      <w:start w:val="1"/>
      <w:numFmt w:val="lowerLetter"/>
      <w:lvlText w:val="%8."/>
      <w:lvlJc w:val="left"/>
      <w:pPr>
        <w:tabs>
          <w:tab w:val="num" w:pos="5940"/>
        </w:tabs>
        <w:ind w:left="5940" w:hanging="360"/>
      </w:pPr>
      <w:rPr>
        <w:rFonts w:cs="Times New Roman"/>
      </w:rPr>
    </w:lvl>
    <w:lvl w:ilvl="8" w:tplc="0C0A001B" w:tentative="1">
      <w:start w:val="1"/>
      <w:numFmt w:val="lowerRoman"/>
      <w:lvlText w:val="%9."/>
      <w:lvlJc w:val="right"/>
      <w:pPr>
        <w:tabs>
          <w:tab w:val="num" w:pos="6660"/>
        </w:tabs>
        <w:ind w:left="6660" w:hanging="180"/>
      </w:pPr>
      <w:rPr>
        <w:rFonts w:cs="Times New Roman"/>
      </w:rPr>
    </w:lvl>
  </w:abstractNum>
  <w:abstractNum w:abstractNumId="3" w15:restartNumberingAfterBreak="0">
    <w:nsid w:val="18C60C19"/>
    <w:multiLevelType w:val="hybridMultilevel"/>
    <w:tmpl w:val="825EC96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D53A58"/>
    <w:multiLevelType w:val="hybridMultilevel"/>
    <w:tmpl w:val="F8766358"/>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223C1841"/>
    <w:multiLevelType w:val="hybridMultilevel"/>
    <w:tmpl w:val="561CFFF8"/>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6"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7" w15:restartNumberingAfterBreak="0">
    <w:nsid w:val="2F5626F1"/>
    <w:multiLevelType w:val="hybridMultilevel"/>
    <w:tmpl w:val="7236D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C62F2F"/>
    <w:multiLevelType w:val="hybridMultilevel"/>
    <w:tmpl w:val="E82ED7D8"/>
    <w:lvl w:ilvl="0" w:tplc="2DFA26A0">
      <w:start w:val="1"/>
      <w:numFmt w:val="upperLetter"/>
      <w:lvlText w:val="%1."/>
      <w:lvlJc w:val="left"/>
      <w:pPr>
        <w:tabs>
          <w:tab w:val="num" w:pos="540"/>
        </w:tabs>
        <w:ind w:left="540" w:hanging="360"/>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49112EA"/>
    <w:multiLevelType w:val="hybridMultilevel"/>
    <w:tmpl w:val="D30E7342"/>
    <w:lvl w:ilvl="0" w:tplc="0C0A0001">
      <w:start w:val="1"/>
      <w:numFmt w:val="bullet"/>
      <w:lvlText w:val=""/>
      <w:lvlJc w:val="left"/>
      <w:pPr>
        <w:tabs>
          <w:tab w:val="num" w:pos="900"/>
        </w:tabs>
        <w:ind w:left="900" w:hanging="360"/>
      </w:pPr>
      <w:rPr>
        <w:rFonts w:ascii="Symbol" w:hAnsi="Symbol" w:hint="default"/>
      </w:rPr>
    </w:lvl>
    <w:lvl w:ilvl="1" w:tplc="0C0A0003">
      <w:start w:val="1"/>
      <w:numFmt w:val="bullet"/>
      <w:lvlText w:val="o"/>
      <w:lvlJc w:val="left"/>
      <w:pPr>
        <w:tabs>
          <w:tab w:val="num" w:pos="1620"/>
        </w:tabs>
        <w:ind w:left="1620" w:hanging="360"/>
      </w:pPr>
      <w:rPr>
        <w:rFonts w:ascii="Courier New" w:hAnsi="Courier New" w:cs="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66C906BA"/>
    <w:multiLevelType w:val="hybridMultilevel"/>
    <w:tmpl w:val="5E10F0AC"/>
    <w:lvl w:ilvl="0" w:tplc="616829E4">
      <w:start w:val="1"/>
      <w:numFmt w:val="decimal"/>
      <w:lvlText w:val="[%1]"/>
      <w:lvlJc w:val="left"/>
      <w:pPr>
        <w:tabs>
          <w:tab w:val="num" w:pos="696"/>
        </w:tabs>
        <w:ind w:left="900" w:hanging="420"/>
      </w:pPr>
      <w:rPr>
        <w:rFonts w:cs="Times New Roman" w:hint="eastAsia"/>
      </w:rPr>
    </w:lvl>
    <w:lvl w:ilvl="1" w:tplc="04090017">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1" w15:restartNumberingAfterBreak="0">
    <w:nsid w:val="703565ED"/>
    <w:multiLevelType w:val="hybridMultilevel"/>
    <w:tmpl w:val="26E6AA12"/>
    <w:lvl w:ilvl="0" w:tplc="0C0A0003">
      <w:start w:val="1"/>
      <w:numFmt w:val="bullet"/>
      <w:lvlText w:val="o"/>
      <w:lvlJc w:val="left"/>
      <w:pPr>
        <w:ind w:left="1383" w:hanging="360"/>
      </w:pPr>
      <w:rPr>
        <w:rFonts w:ascii="Courier New" w:hAnsi="Courier New" w:cs="Courier New"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12" w15:restartNumberingAfterBreak="0">
    <w:nsid w:val="70C32B2C"/>
    <w:multiLevelType w:val="hybridMultilevel"/>
    <w:tmpl w:val="F3C0A96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1">
      <w:start w:val="1"/>
      <w:numFmt w:val="bullet"/>
      <w:lvlText w:val=""/>
      <w:lvlJc w:val="left"/>
      <w:pPr>
        <w:tabs>
          <w:tab w:val="num" w:pos="1800"/>
        </w:tabs>
        <w:ind w:left="1800" w:hanging="360"/>
      </w:pPr>
      <w:rPr>
        <w:rFonts w:ascii="Symbol" w:hAnsi="Symbol"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32B1296"/>
    <w:multiLevelType w:val="hybridMultilevel"/>
    <w:tmpl w:val="62641E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70E2BDB"/>
    <w:multiLevelType w:val="hybridMultilevel"/>
    <w:tmpl w:val="55089E80"/>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C0A0001">
      <w:start w:val="1"/>
      <w:numFmt w:val="bullet"/>
      <w:lvlText w:val=""/>
      <w:lvlJc w:val="left"/>
      <w:pPr>
        <w:tabs>
          <w:tab w:val="num" w:pos="1800"/>
        </w:tabs>
        <w:ind w:left="1800" w:hanging="360"/>
      </w:pPr>
      <w:rPr>
        <w:rFonts w:ascii="Symbol" w:hAnsi="Symbol"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8366FBE"/>
    <w:multiLevelType w:val="hybridMultilevel"/>
    <w:tmpl w:val="6406D976"/>
    <w:lvl w:ilvl="0" w:tplc="0C0A0001">
      <w:start w:val="1"/>
      <w:numFmt w:val="bullet"/>
      <w:lvlText w:val=""/>
      <w:lvlJc w:val="left"/>
      <w:pPr>
        <w:tabs>
          <w:tab w:val="num" w:pos="900"/>
        </w:tabs>
        <w:ind w:left="900" w:hanging="360"/>
      </w:pPr>
      <w:rPr>
        <w:rFonts w:ascii="Symbol" w:hAnsi="Symbol" w:hint="default"/>
      </w:rPr>
    </w:lvl>
    <w:lvl w:ilvl="1" w:tplc="0C0A0003">
      <w:start w:val="1"/>
      <w:numFmt w:val="bullet"/>
      <w:lvlText w:val="o"/>
      <w:lvlJc w:val="left"/>
      <w:pPr>
        <w:tabs>
          <w:tab w:val="num" w:pos="1495"/>
        </w:tabs>
        <w:ind w:left="1495" w:hanging="360"/>
      </w:pPr>
      <w:rPr>
        <w:rFonts w:ascii="Courier New" w:hAnsi="Courier New" w:hint="default"/>
      </w:rPr>
    </w:lvl>
    <w:lvl w:ilvl="2" w:tplc="0C0A0001">
      <w:start w:val="1"/>
      <w:numFmt w:val="bullet"/>
      <w:lvlText w:val=""/>
      <w:lvlJc w:val="left"/>
      <w:pPr>
        <w:tabs>
          <w:tab w:val="num" w:pos="2340"/>
        </w:tabs>
        <w:ind w:left="2340" w:hanging="360"/>
      </w:pPr>
      <w:rPr>
        <w:rFonts w:ascii="Symbol" w:hAnsi="Symbol" w:hint="default"/>
      </w:rPr>
    </w:lvl>
    <w:lvl w:ilvl="3" w:tplc="0C0A000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7D4D4ED4"/>
    <w:multiLevelType w:val="hybridMultilevel"/>
    <w:tmpl w:val="BA468FC4"/>
    <w:lvl w:ilvl="0" w:tplc="8EACC78E">
      <w:start w:val="1"/>
      <w:numFmt w:val="lowerLetter"/>
      <w:lvlText w:val="%1."/>
      <w:lvlJc w:val="left"/>
      <w:pPr>
        <w:tabs>
          <w:tab w:val="num" w:pos="900"/>
        </w:tabs>
        <w:ind w:left="900" w:hanging="360"/>
      </w:pPr>
      <w:rPr>
        <w:rFonts w:cs="Times New Roman" w:hint="default"/>
      </w:rPr>
    </w:lvl>
    <w:lvl w:ilvl="1" w:tplc="04070001">
      <w:start w:val="1"/>
      <w:numFmt w:val="bullet"/>
      <w:lvlText w:val=""/>
      <w:lvlJc w:val="left"/>
      <w:pPr>
        <w:tabs>
          <w:tab w:val="num" w:pos="1544"/>
        </w:tabs>
        <w:ind w:left="1544" w:hanging="284"/>
      </w:pPr>
      <w:rPr>
        <w:rFonts w:ascii="Symbol" w:hAnsi="Symbol" w:hint="default"/>
      </w:rPr>
    </w:lvl>
    <w:lvl w:ilvl="2" w:tplc="0C0A001B">
      <w:start w:val="1"/>
      <w:numFmt w:val="lowerRoman"/>
      <w:lvlText w:val="%3."/>
      <w:lvlJc w:val="right"/>
      <w:pPr>
        <w:tabs>
          <w:tab w:val="num" w:pos="2340"/>
        </w:tabs>
        <w:ind w:left="2340" w:hanging="180"/>
      </w:pPr>
      <w:rPr>
        <w:rFonts w:cs="Times New Roman"/>
      </w:rPr>
    </w:lvl>
    <w:lvl w:ilvl="3" w:tplc="0C0A000F" w:tentative="1">
      <w:start w:val="1"/>
      <w:numFmt w:val="decimal"/>
      <w:lvlText w:val="%4."/>
      <w:lvlJc w:val="left"/>
      <w:pPr>
        <w:tabs>
          <w:tab w:val="num" w:pos="3060"/>
        </w:tabs>
        <w:ind w:left="3060" w:hanging="360"/>
      </w:pPr>
      <w:rPr>
        <w:rFonts w:cs="Times New Roman"/>
      </w:rPr>
    </w:lvl>
    <w:lvl w:ilvl="4" w:tplc="0C0A0019" w:tentative="1">
      <w:start w:val="1"/>
      <w:numFmt w:val="lowerLetter"/>
      <w:lvlText w:val="%5."/>
      <w:lvlJc w:val="left"/>
      <w:pPr>
        <w:tabs>
          <w:tab w:val="num" w:pos="3780"/>
        </w:tabs>
        <w:ind w:left="3780" w:hanging="360"/>
      </w:pPr>
      <w:rPr>
        <w:rFonts w:cs="Times New Roman"/>
      </w:rPr>
    </w:lvl>
    <w:lvl w:ilvl="5" w:tplc="0C0A001B" w:tentative="1">
      <w:start w:val="1"/>
      <w:numFmt w:val="lowerRoman"/>
      <w:lvlText w:val="%6."/>
      <w:lvlJc w:val="right"/>
      <w:pPr>
        <w:tabs>
          <w:tab w:val="num" w:pos="4500"/>
        </w:tabs>
        <w:ind w:left="4500" w:hanging="180"/>
      </w:pPr>
      <w:rPr>
        <w:rFonts w:cs="Times New Roman"/>
      </w:rPr>
    </w:lvl>
    <w:lvl w:ilvl="6" w:tplc="0C0A000F" w:tentative="1">
      <w:start w:val="1"/>
      <w:numFmt w:val="decimal"/>
      <w:lvlText w:val="%7."/>
      <w:lvlJc w:val="left"/>
      <w:pPr>
        <w:tabs>
          <w:tab w:val="num" w:pos="5220"/>
        </w:tabs>
        <w:ind w:left="5220" w:hanging="360"/>
      </w:pPr>
      <w:rPr>
        <w:rFonts w:cs="Times New Roman"/>
      </w:rPr>
    </w:lvl>
    <w:lvl w:ilvl="7" w:tplc="0C0A0019" w:tentative="1">
      <w:start w:val="1"/>
      <w:numFmt w:val="lowerLetter"/>
      <w:lvlText w:val="%8."/>
      <w:lvlJc w:val="left"/>
      <w:pPr>
        <w:tabs>
          <w:tab w:val="num" w:pos="5940"/>
        </w:tabs>
        <w:ind w:left="5940" w:hanging="360"/>
      </w:pPr>
      <w:rPr>
        <w:rFonts w:cs="Times New Roman"/>
      </w:rPr>
    </w:lvl>
    <w:lvl w:ilvl="8" w:tplc="0C0A001B" w:tentative="1">
      <w:start w:val="1"/>
      <w:numFmt w:val="lowerRoman"/>
      <w:lvlText w:val="%9."/>
      <w:lvlJc w:val="right"/>
      <w:pPr>
        <w:tabs>
          <w:tab w:val="num" w:pos="6660"/>
        </w:tabs>
        <w:ind w:left="6660" w:hanging="180"/>
      </w:pPr>
      <w:rPr>
        <w:rFonts w:cs="Times New Roman"/>
      </w:rPr>
    </w:lvl>
  </w:abstractNum>
  <w:num w:numId="1">
    <w:abstractNumId w:val="13"/>
  </w:num>
  <w:num w:numId="2">
    <w:abstractNumId w:val="1"/>
  </w:num>
  <w:num w:numId="3">
    <w:abstractNumId w:val="2"/>
  </w:num>
  <w:num w:numId="4">
    <w:abstractNumId w:val="15"/>
  </w:num>
  <w:num w:numId="5">
    <w:abstractNumId w:val="0"/>
  </w:num>
  <w:num w:numId="6">
    <w:abstractNumId w:val="9"/>
  </w:num>
  <w:num w:numId="7">
    <w:abstractNumId w:val="8"/>
  </w:num>
  <w:num w:numId="8">
    <w:abstractNumId w:val="4"/>
  </w:num>
  <w:num w:numId="9">
    <w:abstractNumId w:val="5"/>
  </w:num>
  <w:num w:numId="10">
    <w:abstractNumId w:val="7"/>
  </w:num>
  <w:num w:numId="11">
    <w:abstractNumId w:val="11"/>
  </w:num>
  <w:num w:numId="12">
    <w:abstractNumId w:val="14"/>
  </w:num>
  <w:num w:numId="13">
    <w:abstractNumId w:val="12"/>
  </w:num>
  <w:num w:numId="14">
    <w:abstractNumId w:val="6"/>
  </w:num>
  <w:num w:numId="15">
    <w:abstractNumId w:val="3"/>
  </w:num>
  <w:num w:numId="16">
    <w:abstractNumId w:val="1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ater Alloza, Juan">
    <w15:presenceInfo w15:providerId="AD" w15:userId="S-1-5-21-135602540-685769933-1190612905-2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E7"/>
    <w:rsid w:val="00000563"/>
    <w:rsid w:val="000064DD"/>
    <w:rsid w:val="000112A3"/>
    <w:rsid w:val="00017A17"/>
    <w:rsid w:val="00033AE7"/>
    <w:rsid w:val="00034241"/>
    <w:rsid w:val="00034644"/>
    <w:rsid w:val="00035F78"/>
    <w:rsid w:val="00036DBC"/>
    <w:rsid w:val="0004788A"/>
    <w:rsid w:val="00050184"/>
    <w:rsid w:val="00061A88"/>
    <w:rsid w:val="000778F9"/>
    <w:rsid w:val="00093018"/>
    <w:rsid w:val="00096B1E"/>
    <w:rsid w:val="00097C0A"/>
    <w:rsid w:val="000A11BB"/>
    <w:rsid w:val="000A6E12"/>
    <w:rsid w:val="000B0E2D"/>
    <w:rsid w:val="000B15D5"/>
    <w:rsid w:val="000B67BA"/>
    <w:rsid w:val="000C0AD1"/>
    <w:rsid w:val="000C0BF9"/>
    <w:rsid w:val="000C2957"/>
    <w:rsid w:val="000C2B95"/>
    <w:rsid w:val="000C5C0B"/>
    <w:rsid w:val="000D64CF"/>
    <w:rsid w:val="000E0BFF"/>
    <w:rsid w:val="000F5BB8"/>
    <w:rsid w:val="000F7A4E"/>
    <w:rsid w:val="000F7CF7"/>
    <w:rsid w:val="00101999"/>
    <w:rsid w:val="00102C4A"/>
    <w:rsid w:val="00106546"/>
    <w:rsid w:val="00124062"/>
    <w:rsid w:val="0012594A"/>
    <w:rsid w:val="00126A8F"/>
    <w:rsid w:val="00126CBB"/>
    <w:rsid w:val="00127277"/>
    <w:rsid w:val="00132B98"/>
    <w:rsid w:val="00137C03"/>
    <w:rsid w:val="001402F8"/>
    <w:rsid w:val="00144899"/>
    <w:rsid w:val="001455BB"/>
    <w:rsid w:val="00147338"/>
    <w:rsid w:val="00161A20"/>
    <w:rsid w:val="00171381"/>
    <w:rsid w:val="001736B5"/>
    <w:rsid w:val="00177695"/>
    <w:rsid w:val="00180BEF"/>
    <w:rsid w:val="00182A61"/>
    <w:rsid w:val="00185210"/>
    <w:rsid w:val="00193352"/>
    <w:rsid w:val="001A5160"/>
    <w:rsid w:val="001A753E"/>
    <w:rsid w:val="001B1DA6"/>
    <w:rsid w:val="001B2CCF"/>
    <w:rsid w:val="001B674E"/>
    <w:rsid w:val="001B7748"/>
    <w:rsid w:val="001C45DF"/>
    <w:rsid w:val="001D2DEB"/>
    <w:rsid w:val="001E37A0"/>
    <w:rsid w:val="001E5E3B"/>
    <w:rsid w:val="001F3407"/>
    <w:rsid w:val="00201A19"/>
    <w:rsid w:val="00203F8A"/>
    <w:rsid w:val="00212D89"/>
    <w:rsid w:val="00217717"/>
    <w:rsid w:val="00222B8C"/>
    <w:rsid w:val="002255E8"/>
    <w:rsid w:val="002278F0"/>
    <w:rsid w:val="00231C5C"/>
    <w:rsid w:val="002328C6"/>
    <w:rsid w:val="00233C10"/>
    <w:rsid w:val="00235201"/>
    <w:rsid w:val="0024314A"/>
    <w:rsid w:val="0024324C"/>
    <w:rsid w:val="00243730"/>
    <w:rsid w:val="002519E6"/>
    <w:rsid w:val="002545D1"/>
    <w:rsid w:val="00254E43"/>
    <w:rsid w:val="002569E2"/>
    <w:rsid w:val="00257732"/>
    <w:rsid w:val="00263E42"/>
    <w:rsid w:val="00266AAE"/>
    <w:rsid w:val="00275C1D"/>
    <w:rsid w:val="00276DA4"/>
    <w:rsid w:val="00277F02"/>
    <w:rsid w:val="00282F48"/>
    <w:rsid w:val="00296979"/>
    <w:rsid w:val="00296BCF"/>
    <w:rsid w:val="00296E36"/>
    <w:rsid w:val="002A0A85"/>
    <w:rsid w:val="002B00BD"/>
    <w:rsid w:val="002C4146"/>
    <w:rsid w:val="002C453E"/>
    <w:rsid w:val="002C5AB8"/>
    <w:rsid w:val="002E4702"/>
    <w:rsid w:val="002F1381"/>
    <w:rsid w:val="00301E62"/>
    <w:rsid w:val="00303A1C"/>
    <w:rsid w:val="00313568"/>
    <w:rsid w:val="00326AAE"/>
    <w:rsid w:val="00345427"/>
    <w:rsid w:val="00347DE2"/>
    <w:rsid w:val="00354584"/>
    <w:rsid w:val="00355E50"/>
    <w:rsid w:val="00361828"/>
    <w:rsid w:val="00362ABB"/>
    <w:rsid w:val="0036593D"/>
    <w:rsid w:val="00366A3F"/>
    <w:rsid w:val="00367410"/>
    <w:rsid w:val="0036764C"/>
    <w:rsid w:val="00373FF3"/>
    <w:rsid w:val="0039453E"/>
    <w:rsid w:val="003A050E"/>
    <w:rsid w:val="003A196D"/>
    <w:rsid w:val="003B2CD4"/>
    <w:rsid w:val="003B496A"/>
    <w:rsid w:val="003B712D"/>
    <w:rsid w:val="003C0843"/>
    <w:rsid w:val="003C566A"/>
    <w:rsid w:val="003D091B"/>
    <w:rsid w:val="003D25F5"/>
    <w:rsid w:val="003D42A6"/>
    <w:rsid w:val="003E1AFF"/>
    <w:rsid w:val="003F35D0"/>
    <w:rsid w:val="003F41B8"/>
    <w:rsid w:val="003F7E24"/>
    <w:rsid w:val="00406B92"/>
    <w:rsid w:val="00412B6A"/>
    <w:rsid w:val="00413BA9"/>
    <w:rsid w:val="00415FE7"/>
    <w:rsid w:val="004245E2"/>
    <w:rsid w:val="00425721"/>
    <w:rsid w:val="00426398"/>
    <w:rsid w:val="0043113E"/>
    <w:rsid w:val="00437510"/>
    <w:rsid w:val="0044294F"/>
    <w:rsid w:val="0044340C"/>
    <w:rsid w:val="00456021"/>
    <w:rsid w:val="00471BE1"/>
    <w:rsid w:val="0047692A"/>
    <w:rsid w:val="004858EF"/>
    <w:rsid w:val="00486E85"/>
    <w:rsid w:val="00494861"/>
    <w:rsid w:val="00496281"/>
    <w:rsid w:val="004B192F"/>
    <w:rsid w:val="004D7BEE"/>
    <w:rsid w:val="004E2B88"/>
    <w:rsid w:val="004E4248"/>
    <w:rsid w:val="004E6EF3"/>
    <w:rsid w:val="004E7239"/>
    <w:rsid w:val="004F14E4"/>
    <w:rsid w:val="004F2902"/>
    <w:rsid w:val="004F32A9"/>
    <w:rsid w:val="004F44ED"/>
    <w:rsid w:val="004F5354"/>
    <w:rsid w:val="005019D8"/>
    <w:rsid w:val="00501E97"/>
    <w:rsid w:val="00513C58"/>
    <w:rsid w:val="00515D42"/>
    <w:rsid w:val="005462C4"/>
    <w:rsid w:val="005519DB"/>
    <w:rsid w:val="005542C4"/>
    <w:rsid w:val="00554567"/>
    <w:rsid w:val="00554A5A"/>
    <w:rsid w:val="00564B42"/>
    <w:rsid w:val="005777F9"/>
    <w:rsid w:val="00580186"/>
    <w:rsid w:val="005839E8"/>
    <w:rsid w:val="00595649"/>
    <w:rsid w:val="005B10DA"/>
    <w:rsid w:val="005C0124"/>
    <w:rsid w:val="005C1F23"/>
    <w:rsid w:val="005C6276"/>
    <w:rsid w:val="005C7BCB"/>
    <w:rsid w:val="005C7D51"/>
    <w:rsid w:val="005D204F"/>
    <w:rsid w:val="005D4697"/>
    <w:rsid w:val="005D7E99"/>
    <w:rsid w:val="005E2B91"/>
    <w:rsid w:val="005E3F36"/>
    <w:rsid w:val="005E516B"/>
    <w:rsid w:val="005F11EF"/>
    <w:rsid w:val="005F6C96"/>
    <w:rsid w:val="005F7D44"/>
    <w:rsid w:val="00603A67"/>
    <w:rsid w:val="00604897"/>
    <w:rsid w:val="006057F9"/>
    <w:rsid w:val="00605A12"/>
    <w:rsid w:val="00607D49"/>
    <w:rsid w:val="00610078"/>
    <w:rsid w:val="00611680"/>
    <w:rsid w:val="00613CD8"/>
    <w:rsid w:val="00617EE5"/>
    <w:rsid w:val="00623BED"/>
    <w:rsid w:val="006270FB"/>
    <w:rsid w:val="006326E4"/>
    <w:rsid w:val="0065470B"/>
    <w:rsid w:val="006572AD"/>
    <w:rsid w:val="00657B02"/>
    <w:rsid w:val="00660288"/>
    <w:rsid w:val="006610C8"/>
    <w:rsid w:val="0066524B"/>
    <w:rsid w:val="0066720E"/>
    <w:rsid w:val="00674EE8"/>
    <w:rsid w:val="00677BD1"/>
    <w:rsid w:val="00680BB3"/>
    <w:rsid w:val="00684138"/>
    <w:rsid w:val="006873EA"/>
    <w:rsid w:val="0068761C"/>
    <w:rsid w:val="00692932"/>
    <w:rsid w:val="00694D93"/>
    <w:rsid w:val="006A0169"/>
    <w:rsid w:val="006A041E"/>
    <w:rsid w:val="006A063E"/>
    <w:rsid w:val="006A56BB"/>
    <w:rsid w:val="006A78F4"/>
    <w:rsid w:val="006B0DF8"/>
    <w:rsid w:val="006B32DA"/>
    <w:rsid w:val="006B793E"/>
    <w:rsid w:val="006C16C0"/>
    <w:rsid w:val="006C228B"/>
    <w:rsid w:val="006C2C92"/>
    <w:rsid w:val="006C5B56"/>
    <w:rsid w:val="006C645E"/>
    <w:rsid w:val="006D1F78"/>
    <w:rsid w:val="006F18EF"/>
    <w:rsid w:val="006F2C9A"/>
    <w:rsid w:val="006F3374"/>
    <w:rsid w:val="006F3813"/>
    <w:rsid w:val="00710BE7"/>
    <w:rsid w:val="00715C1D"/>
    <w:rsid w:val="00716E63"/>
    <w:rsid w:val="00717D18"/>
    <w:rsid w:val="00720A1F"/>
    <w:rsid w:val="00721EF9"/>
    <w:rsid w:val="0073755B"/>
    <w:rsid w:val="007410D8"/>
    <w:rsid w:val="00741D8B"/>
    <w:rsid w:val="00746521"/>
    <w:rsid w:val="00750493"/>
    <w:rsid w:val="0075059B"/>
    <w:rsid w:val="00753C4A"/>
    <w:rsid w:val="0076269C"/>
    <w:rsid w:val="00772617"/>
    <w:rsid w:val="00774DC8"/>
    <w:rsid w:val="0078095E"/>
    <w:rsid w:val="007853D8"/>
    <w:rsid w:val="007A3A64"/>
    <w:rsid w:val="007B259A"/>
    <w:rsid w:val="007B2ABA"/>
    <w:rsid w:val="007B4DFD"/>
    <w:rsid w:val="007B6FBD"/>
    <w:rsid w:val="007D1A94"/>
    <w:rsid w:val="007D210A"/>
    <w:rsid w:val="007D2288"/>
    <w:rsid w:val="007D47C5"/>
    <w:rsid w:val="007E0025"/>
    <w:rsid w:val="007F1489"/>
    <w:rsid w:val="007F5A79"/>
    <w:rsid w:val="0080601C"/>
    <w:rsid w:val="00806EB2"/>
    <w:rsid w:val="0081311B"/>
    <w:rsid w:val="00815233"/>
    <w:rsid w:val="00817643"/>
    <w:rsid w:val="00822609"/>
    <w:rsid w:val="008425F9"/>
    <w:rsid w:val="008526CD"/>
    <w:rsid w:val="008533AF"/>
    <w:rsid w:val="0085712C"/>
    <w:rsid w:val="00867AB0"/>
    <w:rsid w:val="00874320"/>
    <w:rsid w:val="0087472F"/>
    <w:rsid w:val="008766F6"/>
    <w:rsid w:val="0087755F"/>
    <w:rsid w:val="00880E76"/>
    <w:rsid w:val="00882DA9"/>
    <w:rsid w:val="0088333D"/>
    <w:rsid w:val="008872CA"/>
    <w:rsid w:val="008939A5"/>
    <w:rsid w:val="00895117"/>
    <w:rsid w:val="008A2FF0"/>
    <w:rsid w:val="008A608C"/>
    <w:rsid w:val="008D2551"/>
    <w:rsid w:val="008E12BA"/>
    <w:rsid w:val="008E1407"/>
    <w:rsid w:val="008E1426"/>
    <w:rsid w:val="008E2B28"/>
    <w:rsid w:val="008E4DCA"/>
    <w:rsid w:val="008F16A6"/>
    <w:rsid w:val="008F2326"/>
    <w:rsid w:val="008F2DD9"/>
    <w:rsid w:val="00903DB9"/>
    <w:rsid w:val="00907AC5"/>
    <w:rsid w:val="0091101B"/>
    <w:rsid w:val="00923B8F"/>
    <w:rsid w:val="00924090"/>
    <w:rsid w:val="00925185"/>
    <w:rsid w:val="00930EC4"/>
    <w:rsid w:val="00932090"/>
    <w:rsid w:val="00943327"/>
    <w:rsid w:val="00946182"/>
    <w:rsid w:val="00947E14"/>
    <w:rsid w:val="0095017E"/>
    <w:rsid w:val="009600F4"/>
    <w:rsid w:val="00961BFF"/>
    <w:rsid w:val="009663AA"/>
    <w:rsid w:val="00975651"/>
    <w:rsid w:val="00976ABD"/>
    <w:rsid w:val="00980816"/>
    <w:rsid w:val="00982BAA"/>
    <w:rsid w:val="00983978"/>
    <w:rsid w:val="0098563D"/>
    <w:rsid w:val="009917A2"/>
    <w:rsid w:val="009952FD"/>
    <w:rsid w:val="009A5E47"/>
    <w:rsid w:val="009B026D"/>
    <w:rsid w:val="009B061D"/>
    <w:rsid w:val="009C7A33"/>
    <w:rsid w:val="009D0915"/>
    <w:rsid w:val="009D2D0B"/>
    <w:rsid w:val="009E00BE"/>
    <w:rsid w:val="009E1999"/>
    <w:rsid w:val="009F13B2"/>
    <w:rsid w:val="009F1C0B"/>
    <w:rsid w:val="009F5D2C"/>
    <w:rsid w:val="00A07F78"/>
    <w:rsid w:val="00A468BA"/>
    <w:rsid w:val="00A56598"/>
    <w:rsid w:val="00A57B9D"/>
    <w:rsid w:val="00A67781"/>
    <w:rsid w:val="00A72DF7"/>
    <w:rsid w:val="00A82C0D"/>
    <w:rsid w:val="00A86A16"/>
    <w:rsid w:val="00A95DDF"/>
    <w:rsid w:val="00AA5A95"/>
    <w:rsid w:val="00AB6319"/>
    <w:rsid w:val="00AC2301"/>
    <w:rsid w:val="00AD0437"/>
    <w:rsid w:val="00AD0579"/>
    <w:rsid w:val="00AD08CF"/>
    <w:rsid w:val="00AD2A3D"/>
    <w:rsid w:val="00AE4A41"/>
    <w:rsid w:val="00AE6783"/>
    <w:rsid w:val="00AF0791"/>
    <w:rsid w:val="00AF7975"/>
    <w:rsid w:val="00B3124A"/>
    <w:rsid w:val="00B33569"/>
    <w:rsid w:val="00B3462F"/>
    <w:rsid w:val="00B35290"/>
    <w:rsid w:val="00B376DC"/>
    <w:rsid w:val="00B43366"/>
    <w:rsid w:val="00B45E93"/>
    <w:rsid w:val="00B47525"/>
    <w:rsid w:val="00B51AF7"/>
    <w:rsid w:val="00B51D00"/>
    <w:rsid w:val="00B54C6B"/>
    <w:rsid w:val="00B57ACD"/>
    <w:rsid w:val="00B6001D"/>
    <w:rsid w:val="00B63046"/>
    <w:rsid w:val="00B63C23"/>
    <w:rsid w:val="00B64FD7"/>
    <w:rsid w:val="00B667B0"/>
    <w:rsid w:val="00B678D0"/>
    <w:rsid w:val="00B678FB"/>
    <w:rsid w:val="00B72100"/>
    <w:rsid w:val="00B73F0A"/>
    <w:rsid w:val="00B82029"/>
    <w:rsid w:val="00B83D9B"/>
    <w:rsid w:val="00B90C59"/>
    <w:rsid w:val="00BA30C0"/>
    <w:rsid w:val="00BA5C16"/>
    <w:rsid w:val="00BA7FC2"/>
    <w:rsid w:val="00BB0055"/>
    <w:rsid w:val="00BB0A4F"/>
    <w:rsid w:val="00BB4317"/>
    <w:rsid w:val="00BC4BA7"/>
    <w:rsid w:val="00BD1E11"/>
    <w:rsid w:val="00BD3353"/>
    <w:rsid w:val="00BE4ECF"/>
    <w:rsid w:val="00BF2F2D"/>
    <w:rsid w:val="00BF4EE6"/>
    <w:rsid w:val="00BF5040"/>
    <w:rsid w:val="00C011B5"/>
    <w:rsid w:val="00C04834"/>
    <w:rsid w:val="00C04EE7"/>
    <w:rsid w:val="00C07418"/>
    <w:rsid w:val="00C11D55"/>
    <w:rsid w:val="00C30101"/>
    <w:rsid w:val="00C35EB6"/>
    <w:rsid w:val="00C36A1B"/>
    <w:rsid w:val="00C46380"/>
    <w:rsid w:val="00C503E2"/>
    <w:rsid w:val="00C50AAD"/>
    <w:rsid w:val="00C53EEB"/>
    <w:rsid w:val="00C551F0"/>
    <w:rsid w:val="00C5692C"/>
    <w:rsid w:val="00C61C13"/>
    <w:rsid w:val="00C6586A"/>
    <w:rsid w:val="00C65CC6"/>
    <w:rsid w:val="00C66D62"/>
    <w:rsid w:val="00C66DE1"/>
    <w:rsid w:val="00C711B5"/>
    <w:rsid w:val="00C72C4E"/>
    <w:rsid w:val="00C77C82"/>
    <w:rsid w:val="00C8134C"/>
    <w:rsid w:val="00C91559"/>
    <w:rsid w:val="00C950AE"/>
    <w:rsid w:val="00C97FE0"/>
    <w:rsid w:val="00CA5E0E"/>
    <w:rsid w:val="00CB02EF"/>
    <w:rsid w:val="00CB443D"/>
    <w:rsid w:val="00CB7B68"/>
    <w:rsid w:val="00CD755D"/>
    <w:rsid w:val="00CE234F"/>
    <w:rsid w:val="00CE300A"/>
    <w:rsid w:val="00CE3CB1"/>
    <w:rsid w:val="00CE75AA"/>
    <w:rsid w:val="00CF6E00"/>
    <w:rsid w:val="00D0223A"/>
    <w:rsid w:val="00D04735"/>
    <w:rsid w:val="00D06A15"/>
    <w:rsid w:val="00D15842"/>
    <w:rsid w:val="00D32C50"/>
    <w:rsid w:val="00D432B4"/>
    <w:rsid w:val="00D50497"/>
    <w:rsid w:val="00D54498"/>
    <w:rsid w:val="00D627A7"/>
    <w:rsid w:val="00D64544"/>
    <w:rsid w:val="00D64898"/>
    <w:rsid w:val="00D67BE1"/>
    <w:rsid w:val="00D71D31"/>
    <w:rsid w:val="00D721CA"/>
    <w:rsid w:val="00D72BF0"/>
    <w:rsid w:val="00D7571C"/>
    <w:rsid w:val="00D758C7"/>
    <w:rsid w:val="00D80364"/>
    <w:rsid w:val="00D87392"/>
    <w:rsid w:val="00DB0413"/>
    <w:rsid w:val="00DB392D"/>
    <w:rsid w:val="00DB6BEB"/>
    <w:rsid w:val="00DC07B0"/>
    <w:rsid w:val="00DC0A75"/>
    <w:rsid w:val="00DC3480"/>
    <w:rsid w:val="00DC4649"/>
    <w:rsid w:val="00DE3C09"/>
    <w:rsid w:val="00DE3FD5"/>
    <w:rsid w:val="00DE7C18"/>
    <w:rsid w:val="00DF2BF4"/>
    <w:rsid w:val="00DF558F"/>
    <w:rsid w:val="00E0025C"/>
    <w:rsid w:val="00E02723"/>
    <w:rsid w:val="00E07CE3"/>
    <w:rsid w:val="00E105AB"/>
    <w:rsid w:val="00E119AF"/>
    <w:rsid w:val="00E1210E"/>
    <w:rsid w:val="00E146D6"/>
    <w:rsid w:val="00E2610D"/>
    <w:rsid w:val="00E26D51"/>
    <w:rsid w:val="00E27D47"/>
    <w:rsid w:val="00E3533A"/>
    <w:rsid w:val="00E36EB5"/>
    <w:rsid w:val="00E46E65"/>
    <w:rsid w:val="00E470E6"/>
    <w:rsid w:val="00E475C9"/>
    <w:rsid w:val="00E528AE"/>
    <w:rsid w:val="00E55572"/>
    <w:rsid w:val="00E57486"/>
    <w:rsid w:val="00E6082D"/>
    <w:rsid w:val="00E63436"/>
    <w:rsid w:val="00E712A8"/>
    <w:rsid w:val="00E717CB"/>
    <w:rsid w:val="00E809BB"/>
    <w:rsid w:val="00EA00DF"/>
    <w:rsid w:val="00EA1625"/>
    <w:rsid w:val="00EA4B30"/>
    <w:rsid w:val="00ED6C67"/>
    <w:rsid w:val="00EF3A71"/>
    <w:rsid w:val="00EF49BE"/>
    <w:rsid w:val="00F0189B"/>
    <w:rsid w:val="00F031B0"/>
    <w:rsid w:val="00F14904"/>
    <w:rsid w:val="00F17AD5"/>
    <w:rsid w:val="00F22748"/>
    <w:rsid w:val="00F232B2"/>
    <w:rsid w:val="00F23508"/>
    <w:rsid w:val="00F2747B"/>
    <w:rsid w:val="00F279F5"/>
    <w:rsid w:val="00F27EBE"/>
    <w:rsid w:val="00F34F40"/>
    <w:rsid w:val="00F411A2"/>
    <w:rsid w:val="00F44D3F"/>
    <w:rsid w:val="00F454A0"/>
    <w:rsid w:val="00F47CB3"/>
    <w:rsid w:val="00F52D28"/>
    <w:rsid w:val="00F543E7"/>
    <w:rsid w:val="00F60473"/>
    <w:rsid w:val="00F61106"/>
    <w:rsid w:val="00F61925"/>
    <w:rsid w:val="00F633CA"/>
    <w:rsid w:val="00F641E0"/>
    <w:rsid w:val="00F669B8"/>
    <w:rsid w:val="00F74DBA"/>
    <w:rsid w:val="00F80180"/>
    <w:rsid w:val="00F964BF"/>
    <w:rsid w:val="00FA0A04"/>
    <w:rsid w:val="00FA1D19"/>
    <w:rsid w:val="00FA327F"/>
    <w:rsid w:val="00FA6F28"/>
    <w:rsid w:val="00FB72F7"/>
    <w:rsid w:val="00FC0ECA"/>
    <w:rsid w:val="00FC33C3"/>
    <w:rsid w:val="00FC4C4D"/>
    <w:rsid w:val="00FC4EB9"/>
    <w:rsid w:val="00FD0064"/>
    <w:rsid w:val="00FE7005"/>
    <w:rsid w:val="00FF2A14"/>
    <w:rsid w:val="00FF4737"/>
    <w:rsid w:val="00FF4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84E8956"/>
  <w15:chartTrackingRefBased/>
  <w15:docId w15:val="{109504DA-7517-49E4-A393-BE315FD2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A94"/>
    <w:pPr>
      <w:jc w:val="both"/>
    </w:pPr>
    <w:rPr>
      <w:rFonts w:ascii="Arial" w:hAnsi="Arial"/>
      <w:sz w:val="24"/>
      <w:szCs w:val="24"/>
      <w:lang w:val="en-US" w:eastAsia="es-ES"/>
    </w:rPr>
  </w:style>
  <w:style w:type="paragraph" w:styleId="Heading1">
    <w:name w:val="heading 1"/>
    <w:basedOn w:val="Normal"/>
    <w:next w:val="Normal"/>
    <w:link w:val="Heading1Char"/>
    <w:uiPriority w:val="99"/>
    <w:qFormat/>
    <w:rsid w:val="007D1A94"/>
    <w:pPr>
      <w:keepNext/>
      <w:spacing w:before="120" w:after="60"/>
      <w:outlineLvl w:val="0"/>
    </w:pPr>
    <w:rPr>
      <w:bCs/>
      <w:kern w:val="32"/>
      <w:sz w:val="32"/>
      <w:szCs w:val="32"/>
      <w:lang w:val="en-GB" w:bidi="fa-IR"/>
    </w:rPr>
  </w:style>
  <w:style w:type="paragraph" w:styleId="Heading2">
    <w:name w:val="heading 2"/>
    <w:basedOn w:val="Normal"/>
    <w:next w:val="Normal"/>
    <w:link w:val="Heading2Char"/>
    <w:uiPriority w:val="99"/>
    <w:qFormat/>
    <w:rsid w:val="007D1A94"/>
    <w:pPr>
      <w:keepNext/>
      <w:spacing w:before="240" w:after="60"/>
      <w:outlineLvl w:val="1"/>
    </w:pPr>
    <w:rPr>
      <w:b/>
      <w:bCs/>
      <w:iCs/>
      <w:sz w:val="28"/>
      <w:szCs w:val="28"/>
      <w:lang w:val="en-GB" w:bidi="fa-IR"/>
    </w:rPr>
  </w:style>
  <w:style w:type="paragraph" w:styleId="Heading3">
    <w:name w:val="heading 3"/>
    <w:basedOn w:val="Normal"/>
    <w:next w:val="Normal"/>
    <w:link w:val="Heading3Char"/>
    <w:uiPriority w:val="99"/>
    <w:qFormat/>
    <w:rsid w:val="007D1A94"/>
    <w:pPr>
      <w:keepNext/>
      <w:spacing w:before="120" w:after="60"/>
      <w:outlineLvl w:val="2"/>
    </w:pPr>
    <w:rPr>
      <w:b/>
      <w:bCs/>
      <w:sz w:val="26"/>
      <w:szCs w:val="26"/>
      <w:lang w:val="en-GB"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D1A94"/>
    <w:rPr>
      <w:rFonts w:ascii="Arial" w:hAnsi="Arial" w:cs="Arial"/>
      <w:bCs/>
      <w:kern w:val="32"/>
      <w:sz w:val="32"/>
      <w:szCs w:val="32"/>
      <w:lang w:val="en-GB" w:eastAsia="es-ES"/>
    </w:rPr>
  </w:style>
  <w:style w:type="character" w:customStyle="1" w:styleId="Heading2Char">
    <w:name w:val="Heading 2 Char"/>
    <w:link w:val="Heading2"/>
    <w:uiPriority w:val="99"/>
    <w:locked/>
    <w:rsid w:val="007D1A94"/>
    <w:rPr>
      <w:rFonts w:ascii="Arial" w:hAnsi="Arial" w:cs="Arial"/>
      <w:b/>
      <w:bCs/>
      <w:iCs/>
      <w:sz w:val="28"/>
      <w:szCs w:val="28"/>
      <w:lang w:val="en-GB" w:eastAsia="es-ES"/>
    </w:rPr>
  </w:style>
  <w:style w:type="character" w:customStyle="1" w:styleId="Heading3Char">
    <w:name w:val="Heading 3 Char"/>
    <w:link w:val="Heading3"/>
    <w:uiPriority w:val="99"/>
    <w:locked/>
    <w:rsid w:val="007D1A94"/>
    <w:rPr>
      <w:rFonts w:ascii="Arial" w:hAnsi="Arial" w:cs="Arial"/>
      <w:b/>
      <w:bCs/>
      <w:sz w:val="26"/>
      <w:szCs w:val="26"/>
      <w:lang w:val="en-GB" w:eastAsia="es-ES"/>
    </w:rPr>
  </w:style>
  <w:style w:type="paragraph" w:styleId="TOC1">
    <w:name w:val="toc 1"/>
    <w:basedOn w:val="Normal"/>
    <w:next w:val="Normal"/>
    <w:autoRedefine/>
    <w:uiPriority w:val="99"/>
    <w:rsid w:val="007D1A94"/>
  </w:style>
  <w:style w:type="paragraph" w:styleId="TOC2">
    <w:name w:val="toc 2"/>
    <w:basedOn w:val="Normal"/>
    <w:next w:val="Normal"/>
    <w:autoRedefine/>
    <w:uiPriority w:val="99"/>
    <w:semiHidden/>
    <w:rsid w:val="007D1A94"/>
    <w:pPr>
      <w:ind w:left="240"/>
    </w:pPr>
  </w:style>
  <w:style w:type="paragraph" w:styleId="TOC3">
    <w:name w:val="toc 3"/>
    <w:basedOn w:val="Normal"/>
    <w:next w:val="Normal"/>
    <w:autoRedefine/>
    <w:uiPriority w:val="99"/>
    <w:semiHidden/>
    <w:rsid w:val="007D1A94"/>
    <w:pPr>
      <w:ind w:left="480"/>
    </w:pPr>
  </w:style>
  <w:style w:type="paragraph" w:styleId="Title">
    <w:name w:val="Title"/>
    <w:basedOn w:val="Normal"/>
    <w:link w:val="TitleChar"/>
    <w:uiPriority w:val="99"/>
    <w:qFormat/>
    <w:rsid w:val="007D1A94"/>
    <w:pPr>
      <w:jc w:val="center"/>
    </w:pPr>
    <w:rPr>
      <w:b/>
      <w:sz w:val="32"/>
      <w:szCs w:val="32"/>
      <w:lang w:val="ru-RU" w:bidi="fa-IR"/>
    </w:rPr>
  </w:style>
  <w:style w:type="character" w:customStyle="1" w:styleId="TitleChar">
    <w:name w:val="Title Char"/>
    <w:link w:val="Title"/>
    <w:uiPriority w:val="99"/>
    <w:locked/>
    <w:rsid w:val="007D1A94"/>
    <w:rPr>
      <w:rFonts w:ascii="Arial" w:hAnsi="Arial" w:cs="Arial"/>
      <w:b/>
      <w:sz w:val="32"/>
      <w:szCs w:val="32"/>
      <w:lang w:val="ru-RU" w:eastAsia="es-ES"/>
    </w:rPr>
  </w:style>
  <w:style w:type="paragraph" w:customStyle="1" w:styleId="Prrafodelista1">
    <w:name w:val="Párrafo de lista1"/>
    <w:basedOn w:val="Normal"/>
    <w:uiPriority w:val="99"/>
    <w:qFormat/>
    <w:rsid w:val="007D1A94"/>
    <w:pPr>
      <w:spacing w:after="200" w:line="276" w:lineRule="auto"/>
      <w:ind w:left="720"/>
      <w:contextualSpacing/>
      <w:jc w:val="left"/>
    </w:pPr>
    <w:rPr>
      <w:rFonts w:ascii="Calibri" w:hAnsi="Calibri"/>
      <w:sz w:val="22"/>
      <w:szCs w:val="22"/>
      <w:lang w:eastAsia="en-US"/>
    </w:rPr>
  </w:style>
  <w:style w:type="paragraph" w:customStyle="1" w:styleId="TtulodeTDC1">
    <w:name w:val="Título de TDC1"/>
    <w:basedOn w:val="Heading1"/>
    <w:next w:val="Normal"/>
    <w:uiPriority w:val="99"/>
    <w:qFormat/>
    <w:rsid w:val="007D1A94"/>
    <w:pPr>
      <w:keepLines/>
      <w:spacing w:before="480" w:after="0" w:line="276" w:lineRule="auto"/>
      <w:jc w:val="left"/>
      <w:outlineLvl w:val="9"/>
    </w:pPr>
    <w:rPr>
      <w:rFonts w:ascii="Cambria" w:hAnsi="Cambria"/>
      <w:b/>
      <w:color w:val="365F91"/>
      <w:kern w:val="0"/>
      <w:sz w:val="28"/>
      <w:szCs w:val="28"/>
      <w:lang w:eastAsia="en-US"/>
    </w:rPr>
  </w:style>
  <w:style w:type="paragraph" w:customStyle="1" w:styleId="a">
    <w:name w:val="Без интервала"/>
    <w:basedOn w:val="Normal"/>
    <w:uiPriority w:val="99"/>
    <w:rsid w:val="007D1A94"/>
    <w:pPr>
      <w:spacing w:after="200" w:line="276" w:lineRule="auto"/>
    </w:pPr>
    <w:rPr>
      <w:rFonts w:ascii="Calibri" w:hAnsi="Calibri"/>
      <w:sz w:val="22"/>
      <w:szCs w:val="32"/>
      <w:lang w:val="ru-RU" w:eastAsia="ru-RU"/>
    </w:rPr>
  </w:style>
  <w:style w:type="character" w:customStyle="1" w:styleId="a0">
    <w:name w:val="Сильное выделение"/>
    <w:uiPriority w:val="99"/>
    <w:rsid w:val="007D1A94"/>
    <w:rPr>
      <w:rFonts w:cs="Times New Roman"/>
      <w:b/>
      <w:bCs/>
      <w:i/>
      <w:iCs/>
      <w:color w:val="4F81BD"/>
    </w:rPr>
  </w:style>
  <w:style w:type="paragraph" w:styleId="BalloonText">
    <w:name w:val="Balloon Text"/>
    <w:basedOn w:val="Normal"/>
    <w:link w:val="BalloonTextChar"/>
    <w:uiPriority w:val="99"/>
    <w:semiHidden/>
    <w:rsid w:val="005F6C96"/>
    <w:rPr>
      <w:rFonts w:ascii="Tahoma" w:hAnsi="Tahoma"/>
      <w:sz w:val="16"/>
      <w:szCs w:val="16"/>
      <w:lang w:val="es-ES" w:bidi="fa-IR"/>
    </w:rPr>
  </w:style>
  <w:style w:type="character" w:customStyle="1" w:styleId="BalloonTextChar">
    <w:name w:val="Balloon Text Char"/>
    <w:link w:val="BalloonText"/>
    <w:uiPriority w:val="99"/>
    <w:semiHidden/>
    <w:locked/>
    <w:rsid w:val="005F6C96"/>
    <w:rPr>
      <w:rFonts w:ascii="Tahoma" w:hAnsi="Tahoma" w:cs="Tahoma"/>
      <w:sz w:val="16"/>
      <w:szCs w:val="16"/>
      <w:lang w:val="es-ES" w:eastAsia="es-ES"/>
    </w:rPr>
  </w:style>
  <w:style w:type="paragraph" w:customStyle="1" w:styleId="Default">
    <w:name w:val="Default"/>
    <w:uiPriority w:val="99"/>
    <w:rsid w:val="0076269C"/>
    <w:pPr>
      <w:autoSpaceDE w:val="0"/>
      <w:autoSpaceDN w:val="0"/>
      <w:adjustRightInd w:val="0"/>
    </w:pPr>
    <w:rPr>
      <w:rFonts w:ascii="Arial" w:hAnsi="Arial" w:cs="Arial"/>
      <w:color w:val="000000"/>
      <w:sz w:val="24"/>
      <w:szCs w:val="24"/>
      <w:lang w:val="en-US" w:eastAsia="en-US"/>
    </w:rPr>
  </w:style>
  <w:style w:type="paragraph" w:styleId="Header">
    <w:name w:val="header"/>
    <w:basedOn w:val="Normal"/>
    <w:link w:val="HeaderChar"/>
    <w:uiPriority w:val="99"/>
    <w:rsid w:val="00C66D62"/>
    <w:pPr>
      <w:tabs>
        <w:tab w:val="center" w:pos="4419"/>
        <w:tab w:val="right" w:pos="8838"/>
      </w:tabs>
    </w:pPr>
    <w:rPr>
      <w:lang w:val="es-ES" w:bidi="fa-IR"/>
    </w:rPr>
  </w:style>
  <w:style w:type="character" w:customStyle="1" w:styleId="HeaderChar">
    <w:name w:val="Header Char"/>
    <w:link w:val="Header"/>
    <w:uiPriority w:val="99"/>
    <w:locked/>
    <w:rsid w:val="00C66D62"/>
    <w:rPr>
      <w:rFonts w:ascii="Arial" w:hAnsi="Arial" w:cs="Times New Roman"/>
      <w:sz w:val="24"/>
      <w:szCs w:val="24"/>
      <w:lang w:val="es-ES" w:eastAsia="es-ES"/>
    </w:rPr>
  </w:style>
  <w:style w:type="paragraph" w:styleId="Footer">
    <w:name w:val="footer"/>
    <w:basedOn w:val="Normal"/>
    <w:link w:val="FooterChar"/>
    <w:uiPriority w:val="99"/>
    <w:rsid w:val="00C66D62"/>
    <w:pPr>
      <w:tabs>
        <w:tab w:val="center" w:pos="4419"/>
        <w:tab w:val="right" w:pos="8838"/>
      </w:tabs>
    </w:pPr>
    <w:rPr>
      <w:lang w:val="es-ES" w:bidi="fa-IR"/>
    </w:rPr>
  </w:style>
  <w:style w:type="character" w:customStyle="1" w:styleId="FooterChar">
    <w:name w:val="Footer Char"/>
    <w:link w:val="Footer"/>
    <w:uiPriority w:val="99"/>
    <w:locked/>
    <w:rsid w:val="00C66D62"/>
    <w:rPr>
      <w:rFonts w:ascii="Arial" w:hAnsi="Arial" w:cs="Times New Roman"/>
      <w:sz w:val="24"/>
      <w:szCs w:val="24"/>
      <w:lang w:val="es-ES" w:eastAsia="es-ES"/>
    </w:rPr>
  </w:style>
  <w:style w:type="character" w:customStyle="1" w:styleId="hps">
    <w:name w:val="hps"/>
    <w:rsid w:val="00050184"/>
    <w:rPr>
      <w:rFonts w:cs="Times New Roman"/>
    </w:rPr>
  </w:style>
  <w:style w:type="character" w:customStyle="1" w:styleId="longtext">
    <w:name w:val="long_text"/>
    <w:uiPriority w:val="99"/>
    <w:rsid w:val="005462C4"/>
    <w:rPr>
      <w:rFonts w:cs="Times New Roman"/>
    </w:rPr>
  </w:style>
  <w:style w:type="paragraph" w:customStyle="1" w:styleId="References">
    <w:name w:val="References"/>
    <w:basedOn w:val="Normal"/>
    <w:uiPriority w:val="99"/>
    <w:rsid w:val="00F454A0"/>
    <w:pPr>
      <w:spacing w:before="120" w:after="120"/>
      <w:ind w:left="346" w:hanging="346"/>
      <w:jc w:val="left"/>
    </w:pPr>
    <w:rPr>
      <w:rFonts w:cs="Arial"/>
      <w:sz w:val="22"/>
      <w:szCs w:val="20"/>
      <w:lang w:eastAsia="en-US"/>
    </w:rPr>
  </w:style>
  <w:style w:type="character" w:styleId="Hyperlink">
    <w:name w:val="Hyperlink"/>
    <w:uiPriority w:val="99"/>
    <w:semiHidden/>
    <w:unhideWhenUsed/>
    <w:rsid w:val="009C7A33"/>
    <w:rPr>
      <w:color w:val="0000FF"/>
      <w:u w:val="single"/>
    </w:rPr>
  </w:style>
  <w:style w:type="paragraph" w:customStyle="1" w:styleId="Paragraphedeliste1">
    <w:name w:val="Paragraphe de liste1"/>
    <w:basedOn w:val="Normal"/>
    <w:uiPriority w:val="34"/>
    <w:qFormat/>
    <w:rsid w:val="008E4DCA"/>
    <w:pPr>
      <w:spacing w:after="200" w:line="276" w:lineRule="auto"/>
      <w:ind w:left="720"/>
      <w:contextualSpacing/>
      <w:jc w:val="left"/>
    </w:pPr>
    <w:rPr>
      <w:rFonts w:ascii="Calibri" w:eastAsia="Calibri" w:hAnsi="Calibri"/>
      <w:sz w:val="22"/>
      <w:szCs w:val="22"/>
      <w:lang w:val="fr-FR" w:eastAsia="en-US"/>
    </w:rPr>
  </w:style>
  <w:style w:type="character" w:styleId="CommentReference">
    <w:name w:val="annotation reference"/>
    <w:uiPriority w:val="99"/>
    <w:semiHidden/>
    <w:unhideWhenUsed/>
    <w:rsid w:val="00354584"/>
    <w:rPr>
      <w:sz w:val="16"/>
      <w:szCs w:val="16"/>
    </w:rPr>
  </w:style>
  <w:style w:type="paragraph" w:styleId="CommentText">
    <w:name w:val="annotation text"/>
    <w:basedOn w:val="Normal"/>
    <w:link w:val="CommentTextChar"/>
    <w:uiPriority w:val="99"/>
    <w:semiHidden/>
    <w:unhideWhenUsed/>
    <w:rsid w:val="00354584"/>
    <w:rPr>
      <w:sz w:val="20"/>
      <w:szCs w:val="20"/>
      <w:lang w:val="x-none" w:bidi="fa-IR"/>
    </w:rPr>
  </w:style>
  <w:style w:type="character" w:customStyle="1" w:styleId="CommentTextChar">
    <w:name w:val="Comment Text Char"/>
    <w:link w:val="CommentText"/>
    <w:uiPriority w:val="99"/>
    <w:semiHidden/>
    <w:rsid w:val="00354584"/>
    <w:rPr>
      <w:rFonts w:ascii="Arial" w:hAnsi="Arial"/>
      <w:lang w:eastAsia="es-ES"/>
    </w:rPr>
  </w:style>
  <w:style w:type="paragraph" w:styleId="CommentSubject">
    <w:name w:val="annotation subject"/>
    <w:basedOn w:val="CommentText"/>
    <w:next w:val="CommentText"/>
    <w:link w:val="CommentSubjectChar"/>
    <w:uiPriority w:val="99"/>
    <w:semiHidden/>
    <w:unhideWhenUsed/>
    <w:rsid w:val="00354584"/>
    <w:rPr>
      <w:b/>
      <w:bCs/>
    </w:rPr>
  </w:style>
  <w:style w:type="character" w:customStyle="1" w:styleId="CommentSubjectChar">
    <w:name w:val="Comment Subject Char"/>
    <w:link w:val="CommentSubject"/>
    <w:uiPriority w:val="99"/>
    <w:semiHidden/>
    <w:rsid w:val="00354584"/>
    <w:rPr>
      <w:rFonts w:ascii="Arial" w:hAnsi="Arial"/>
      <w:b/>
      <w:bCs/>
      <w:lang w:eastAsia="es-ES"/>
    </w:rPr>
  </w:style>
  <w:style w:type="paragraph" w:customStyle="1" w:styleId="Body">
    <w:name w:val="Body"/>
    <w:basedOn w:val="Normal"/>
    <w:link w:val="BodyChar"/>
    <w:qFormat/>
    <w:rsid w:val="00680BB3"/>
    <w:pPr>
      <w:numPr>
        <w:numId w:val="14"/>
      </w:numPr>
      <w:tabs>
        <w:tab w:val="clear" w:pos="360"/>
      </w:tabs>
      <w:spacing w:before="120" w:after="120"/>
      <w:ind w:left="0" w:firstLine="0"/>
      <w:jc w:val="left"/>
    </w:pPr>
    <w:rPr>
      <w:rFonts w:eastAsia="Times New Roman"/>
      <w:sz w:val="20"/>
      <w:szCs w:val="20"/>
      <w:lang w:eastAsia="x-none" w:bidi="fa-IR"/>
    </w:rPr>
  </w:style>
  <w:style w:type="character" w:customStyle="1" w:styleId="BodyChar">
    <w:name w:val="Body Char"/>
    <w:link w:val="Body"/>
    <w:locked/>
    <w:rsid w:val="00680BB3"/>
    <w:rPr>
      <w:rFonts w:ascii="Arial" w:eastAsia="Times New Roman" w:hAnsi="Arial"/>
      <w:lang w:val="en-US" w:eastAsia="x-none"/>
    </w:rPr>
  </w:style>
  <w:style w:type="paragraph" w:styleId="ListParagraph">
    <w:name w:val="List Paragraph"/>
    <w:basedOn w:val="Normal"/>
    <w:uiPriority w:val="34"/>
    <w:qFormat/>
    <w:rsid w:val="00DC0A75"/>
    <w:pPr>
      <w:ind w:left="720"/>
      <w:contextualSpacing/>
    </w:pPr>
  </w:style>
  <w:style w:type="character" w:styleId="Emphasis">
    <w:name w:val="Emphasis"/>
    <w:qFormat/>
    <w:locked/>
    <w:rsid w:val="00FA1D19"/>
    <w:rPr>
      <w:i/>
      <w:iCs/>
    </w:rPr>
  </w:style>
  <w:style w:type="paragraph" w:styleId="Revision">
    <w:name w:val="Revision"/>
    <w:hidden/>
    <w:uiPriority w:val="99"/>
    <w:semiHidden/>
    <w:rsid w:val="006A78F4"/>
    <w:rPr>
      <w:rFonts w:ascii="Arial" w:hAnsi="Arial"/>
      <w:sz w:val="24"/>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23395">
      <w:marLeft w:val="0"/>
      <w:marRight w:val="0"/>
      <w:marTop w:val="0"/>
      <w:marBottom w:val="0"/>
      <w:divBdr>
        <w:top w:val="none" w:sz="0" w:space="0" w:color="auto"/>
        <w:left w:val="none" w:sz="0" w:space="0" w:color="auto"/>
        <w:bottom w:val="none" w:sz="0" w:space="0" w:color="auto"/>
        <w:right w:val="none" w:sz="0" w:space="0" w:color="auto"/>
      </w:divBdr>
      <w:divsChild>
        <w:div w:id="1783723409">
          <w:marLeft w:val="0"/>
          <w:marRight w:val="0"/>
          <w:marTop w:val="0"/>
          <w:marBottom w:val="0"/>
          <w:divBdr>
            <w:top w:val="none" w:sz="0" w:space="0" w:color="auto"/>
            <w:left w:val="none" w:sz="0" w:space="0" w:color="auto"/>
            <w:bottom w:val="none" w:sz="0" w:space="0" w:color="auto"/>
            <w:right w:val="none" w:sz="0" w:space="0" w:color="auto"/>
          </w:divBdr>
          <w:divsChild>
            <w:div w:id="1783723400">
              <w:marLeft w:val="0"/>
              <w:marRight w:val="0"/>
              <w:marTop w:val="0"/>
              <w:marBottom w:val="0"/>
              <w:divBdr>
                <w:top w:val="none" w:sz="0" w:space="0" w:color="auto"/>
                <w:left w:val="none" w:sz="0" w:space="0" w:color="auto"/>
                <w:bottom w:val="none" w:sz="0" w:space="0" w:color="auto"/>
                <w:right w:val="none" w:sz="0" w:space="0" w:color="auto"/>
              </w:divBdr>
              <w:divsChild>
                <w:div w:id="1783723397">
                  <w:marLeft w:val="0"/>
                  <w:marRight w:val="0"/>
                  <w:marTop w:val="0"/>
                  <w:marBottom w:val="0"/>
                  <w:divBdr>
                    <w:top w:val="none" w:sz="0" w:space="0" w:color="auto"/>
                    <w:left w:val="none" w:sz="0" w:space="0" w:color="auto"/>
                    <w:bottom w:val="none" w:sz="0" w:space="0" w:color="auto"/>
                    <w:right w:val="none" w:sz="0" w:space="0" w:color="auto"/>
                  </w:divBdr>
                  <w:divsChild>
                    <w:div w:id="1783723393">
                      <w:marLeft w:val="0"/>
                      <w:marRight w:val="0"/>
                      <w:marTop w:val="0"/>
                      <w:marBottom w:val="0"/>
                      <w:divBdr>
                        <w:top w:val="none" w:sz="0" w:space="0" w:color="auto"/>
                        <w:left w:val="none" w:sz="0" w:space="0" w:color="auto"/>
                        <w:bottom w:val="none" w:sz="0" w:space="0" w:color="auto"/>
                        <w:right w:val="none" w:sz="0" w:space="0" w:color="auto"/>
                      </w:divBdr>
                      <w:divsChild>
                        <w:div w:id="1783723403">
                          <w:marLeft w:val="0"/>
                          <w:marRight w:val="0"/>
                          <w:marTop w:val="0"/>
                          <w:marBottom w:val="0"/>
                          <w:divBdr>
                            <w:top w:val="none" w:sz="0" w:space="0" w:color="auto"/>
                            <w:left w:val="none" w:sz="0" w:space="0" w:color="auto"/>
                            <w:bottom w:val="none" w:sz="0" w:space="0" w:color="auto"/>
                            <w:right w:val="none" w:sz="0" w:space="0" w:color="auto"/>
                          </w:divBdr>
                          <w:divsChild>
                            <w:div w:id="17837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23407">
      <w:marLeft w:val="0"/>
      <w:marRight w:val="0"/>
      <w:marTop w:val="0"/>
      <w:marBottom w:val="0"/>
      <w:divBdr>
        <w:top w:val="none" w:sz="0" w:space="0" w:color="auto"/>
        <w:left w:val="none" w:sz="0" w:space="0" w:color="auto"/>
        <w:bottom w:val="none" w:sz="0" w:space="0" w:color="auto"/>
        <w:right w:val="none" w:sz="0" w:space="0" w:color="auto"/>
      </w:divBdr>
    </w:div>
    <w:div w:id="1783723408">
      <w:marLeft w:val="0"/>
      <w:marRight w:val="0"/>
      <w:marTop w:val="0"/>
      <w:marBottom w:val="0"/>
      <w:divBdr>
        <w:top w:val="none" w:sz="0" w:space="0" w:color="auto"/>
        <w:left w:val="none" w:sz="0" w:space="0" w:color="auto"/>
        <w:bottom w:val="none" w:sz="0" w:space="0" w:color="auto"/>
        <w:right w:val="none" w:sz="0" w:space="0" w:color="auto"/>
      </w:divBdr>
      <w:divsChild>
        <w:div w:id="1783723391">
          <w:marLeft w:val="0"/>
          <w:marRight w:val="0"/>
          <w:marTop w:val="0"/>
          <w:marBottom w:val="0"/>
          <w:divBdr>
            <w:top w:val="none" w:sz="0" w:space="0" w:color="auto"/>
            <w:left w:val="none" w:sz="0" w:space="0" w:color="auto"/>
            <w:bottom w:val="none" w:sz="0" w:space="0" w:color="auto"/>
            <w:right w:val="none" w:sz="0" w:space="0" w:color="auto"/>
          </w:divBdr>
          <w:divsChild>
            <w:div w:id="1783723399">
              <w:marLeft w:val="0"/>
              <w:marRight w:val="0"/>
              <w:marTop w:val="0"/>
              <w:marBottom w:val="0"/>
              <w:divBdr>
                <w:top w:val="none" w:sz="0" w:space="0" w:color="auto"/>
                <w:left w:val="none" w:sz="0" w:space="0" w:color="auto"/>
                <w:bottom w:val="none" w:sz="0" w:space="0" w:color="auto"/>
                <w:right w:val="none" w:sz="0" w:space="0" w:color="auto"/>
              </w:divBdr>
              <w:divsChild>
                <w:div w:id="1783723390">
                  <w:marLeft w:val="0"/>
                  <w:marRight w:val="0"/>
                  <w:marTop w:val="0"/>
                  <w:marBottom w:val="0"/>
                  <w:divBdr>
                    <w:top w:val="none" w:sz="0" w:space="0" w:color="auto"/>
                    <w:left w:val="none" w:sz="0" w:space="0" w:color="auto"/>
                    <w:bottom w:val="none" w:sz="0" w:space="0" w:color="auto"/>
                    <w:right w:val="none" w:sz="0" w:space="0" w:color="auto"/>
                  </w:divBdr>
                  <w:divsChild>
                    <w:div w:id="1783723392">
                      <w:marLeft w:val="0"/>
                      <w:marRight w:val="0"/>
                      <w:marTop w:val="0"/>
                      <w:marBottom w:val="0"/>
                      <w:divBdr>
                        <w:top w:val="none" w:sz="0" w:space="0" w:color="auto"/>
                        <w:left w:val="none" w:sz="0" w:space="0" w:color="auto"/>
                        <w:bottom w:val="none" w:sz="0" w:space="0" w:color="auto"/>
                        <w:right w:val="none" w:sz="0" w:space="0" w:color="auto"/>
                      </w:divBdr>
                      <w:divsChild>
                        <w:div w:id="1783723406">
                          <w:marLeft w:val="0"/>
                          <w:marRight w:val="0"/>
                          <w:marTop w:val="0"/>
                          <w:marBottom w:val="0"/>
                          <w:divBdr>
                            <w:top w:val="none" w:sz="0" w:space="0" w:color="auto"/>
                            <w:left w:val="none" w:sz="0" w:space="0" w:color="auto"/>
                            <w:bottom w:val="none" w:sz="0" w:space="0" w:color="auto"/>
                            <w:right w:val="none" w:sz="0" w:space="0" w:color="auto"/>
                          </w:divBdr>
                          <w:divsChild>
                            <w:div w:id="17837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23410">
      <w:marLeft w:val="0"/>
      <w:marRight w:val="0"/>
      <w:marTop w:val="0"/>
      <w:marBottom w:val="0"/>
      <w:divBdr>
        <w:top w:val="none" w:sz="0" w:space="0" w:color="auto"/>
        <w:left w:val="none" w:sz="0" w:space="0" w:color="auto"/>
        <w:bottom w:val="none" w:sz="0" w:space="0" w:color="auto"/>
        <w:right w:val="none" w:sz="0" w:space="0" w:color="auto"/>
      </w:divBdr>
      <w:divsChild>
        <w:div w:id="1783723401">
          <w:marLeft w:val="0"/>
          <w:marRight w:val="0"/>
          <w:marTop w:val="0"/>
          <w:marBottom w:val="0"/>
          <w:divBdr>
            <w:top w:val="none" w:sz="0" w:space="0" w:color="auto"/>
            <w:left w:val="none" w:sz="0" w:space="0" w:color="auto"/>
            <w:bottom w:val="none" w:sz="0" w:space="0" w:color="auto"/>
            <w:right w:val="none" w:sz="0" w:space="0" w:color="auto"/>
          </w:divBdr>
          <w:divsChild>
            <w:div w:id="1783723405">
              <w:marLeft w:val="0"/>
              <w:marRight w:val="0"/>
              <w:marTop w:val="0"/>
              <w:marBottom w:val="0"/>
              <w:divBdr>
                <w:top w:val="none" w:sz="0" w:space="0" w:color="auto"/>
                <w:left w:val="none" w:sz="0" w:space="0" w:color="auto"/>
                <w:bottom w:val="none" w:sz="0" w:space="0" w:color="auto"/>
                <w:right w:val="none" w:sz="0" w:space="0" w:color="auto"/>
              </w:divBdr>
              <w:divsChild>
                <w:div w:id="1783723404">
                  <w:marLeft w:val="0"/>
                  <w:marRight w:val="0"/>
                  <w:marTop w:val="0"/>
                  <w:marBottom w:val="0"/>
                  <w:divBdr>
                    <w:top w:val="none" w:sz="0" w:space="0" w:color="auto"/>
                    <w:left w:val="none" w:sz="0" w:space="0" w:color="auto"/>
                    <w:bottom w:val="none" w:sz="0" w:space="0" w:color="auto"/>
                    <w:right w:val="none" w:sz="0" w:space="0" w:color="auto"/>
                  </w:divBdr>
                  <w:divsChild>
                    <w:div w:id="1783723402">
                      <w:marLeft w:val="0"/>
                      <w:marRight w:val="0"/>
                      <w:marTop w:val="0"/>
                      <w:marBottom w:val="0"/>
                      <w:divBdr>
                        <w:top w:val="none" w:sz="0" w:space="0" w:color="auto"/>
                        <w:left w:val="none" w:sz="0" w:space="0" w:color="auto"/>
                        <w:bottom w:val="none" w:sz="0" w:space="0" w:color="auto"/>
                        <w:right w:val="none" w:sz="0" w:space="0" w:color="auto"/>
                      </w:divBdr>
                      <w:divsChild>
                        <w:div w:id="1783723389">
                          <w:marLeft w:val="0"/>
                          <w:marRight w:val="0"/>
                          <w:marTop w:val="0"/>
                          <w:marBottom w:val="0"/>
                          <w:divBdr>
                            <w:top w:val="none" w:sz="0" w:space="0" w:color="auto"/>
                            <w:left w:val="none" w:sz="0" w:space="0" w:color="auto"/>
                            <w:bottom w:val="none" w:sz="0" w:space="0" w:color="auto"/>
                            <w:right w:val="none" w:sz="0" w:space="0" w:color="auto"/>
                          </w:divBdr>
                          <w:divsChild>
                            <w:div w:id="17837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2.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57A084-48E2-4495-ADEB-1D81315BC127}">
  <ds:schemaRefs>
    <ds:schemaRef ds:uri="http://schemas.microsoft.com/office/2006/metadata/customXsn"/>
  </ds:schemaRefs>
</ds:datastoreItem>
</file>

<file path=customXml/itemProps2.xml><?xml version="1.0" encoding="utf-8"?>
<ds:datastoreItem xmlns:ds="http://schemas.openxmlformats.org/officeDocument/2006/customXml" ds:itemID="{379607B6-9533-432C-B9DD-C52509B5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297C5E1-82AF-4AAD-8A93-1BCE4E7E7A97}">
  <ds:schemaRefs>
    <ds:schemaRef ds:uri="http://schemas.microsoft.com/sharepoint/v3/contenttype/forms"/>
  </ds:schemaRefs>
</ds:datastoreItem>
</file>

<file path=customXml/itemProps4.xml><?xml version="1.0" encoding="utf-8"?>
<ds:datastoreItem xmlns:ds="http://schemas.openxmlformats.org/officeDocument/2006/customXml" ds:itemID="{63156A1C-82D2-4EA8-8E5C-BB66C2CEBF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2458</Words>
  <Characters>13966</Characters>
  <Application>Microsoft Office Word</Application>
  <DocSecurity>0</DocSecurity>
  <Lines>116</Lines>
  <Paragraphs>32</Paragraphs>
  <ScaleCrop>false</ScaleCrop>
  <HeadingPairs>
    <vt:vector size="8" baseType="variant">
      <vt:variant>
        <vt:lpstr>Title</vt:lpstr>
      </vt:variant>
      <vt:variant>
        <vt:i4>1</vt:i4>
      </vt:variant>
      <vt:variant>
        <vt:lpstr>Título</vt:lpstr>
      </vt:variant>
      <vt:variant>
        <vt:i4>1</vt:i4>
      </vt:variant>
      <vt:variant>
        <vt:lpstr>Titel</vt:lpstr>
      </vt:variant>
      <vt:variant>
        <vt:i4>1</vt:i4>
      </vt:variant>
      <vt:variant>
        <vt:lpstr>Název</vt:lpstr>
      </vt:variant>
      <vt:variant>
        <vt:i4>1</vt:i4>
      </vt:variant>
    </vt:vector>
  </HeadingPairs>
  <TitlesOfParts>
    <vt:vector size="4" baseType="lpstr">
      <vt:lpstr>AMP-310 GROUND MOVEMENT SURVEILLANCE</vt:lpstr>
      <vt:lpstr>AMP-310 GROUND MOVEMENT SURVEILLANCE</vt:lpstr>
      <vt:lpstr>AMP-310 GROUND MOVEMENT SURVEILLANCE</vt:lpstr>
      <vt:lpstr>AMP-310 GROUND MOVEMENT SURVEILLANCE</vt:lpstr>
    </vt:vector>
  </TitlesOfParts>
  <Company>IBERDROLA S.A.</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AMP-310 GROUND MOVEMENT SURVEILLANCE</dc:title>
  <dc:subject/>
  <dc:creator>x000144</dc:creator>
  <cp:keywords/>
  <cp:lastModifiedBy>MARCHENA, Martin</cp:lastModifiedBy>
  <cp:revision>2</cp:revision>
  <cp:lastPrinted>2012-07-04T08:58:00Z</cp:lastPrinted>
  <dcterms:created xsi:type="dcterms:W3CDTF">2022-01-25T11:19:00Z</dcterms:created>
  <dcterms:modified xsi:type="dcterms:W3CDTF">2022-01-25T11:19:00Z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