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54CDD" w14:textId="6E1E29D5" w:rsidR="001F3CD3" w:rsidRPr="009F572A" w:rsidRDefault="001F3CD3" w:rsidP="00CB275A">
      <w:pPr>
        <w:spacing w:line="360" w:lineRule="auto"/>
        <w:jc w:val="both"/>
        <w:rPr>
          <w:rFonts w:ascii="Arial" w:hAnsi="Arial" w:cs="Arial"/>
          <w:b/>
          <w:bCs/>
        </w:rPr>
      </w:pPr>
      <w:r w:rsidRPr="009F572A">
        <w:rPr>
          <w:rFonts w:ascii="Arial" w:hAnsi="Arial" w:cs="Arial"/>
          <w:b/>
          <w:bCs/>
        </w:rPr>
        <w:t>[SLIDE 2]</w:t>
      </w:r>
    </w:p>
    <w:p w14:paraId="2AC23BA9" w14:textId="59FDF10C" w:rsidR="001F3CD3" w:rsidRDefault="00C161F3" w:rsidP="00CB275A">
      <w:pPr>
        <w:spacing w:line="360" w:lineRule="auto"/>
        <w:jc w:val="both"/>
        <w:rPr>
          <w:rFonts w:ascii="Arial" w:hAnsi="Arial" w:cs="Arial"/>
        </w:rPr>
      </w:pPr>
      <w:r w:rsidRPr="00CB275A">
        <w:rPr>
          <w:rFonts w:ascii="Arial" w:hAnsi="Arial" w:cs="Arial"/>
        </w:rPr>
        <w:t xml:space="preserve">Avant de </w:t>
      </w:r>
      <w:r w:rsidR="00ED7179" w:rsidRPr="00CB275A">
        <w:rPr>
          <w:rFonts w:ascii="Arial" w:hAnsi="Arial" w:cs="Arial"/>
        </w:rPr>
        <w:t>présenter</w:t>
      </w:r>
      <w:r w:rsidRPr="00CB275A">
        <w:rPr>
          <w:rFonts w:ascii="Arial" w:hAnsi="Arial" w:cs="Arial"/>
        </w:rPr>
        <w:t xml:space="preserve"> les différentes étapes de l’analyse, </w:t>
      </w:r>
      <w:r w:rsidR="00FA45C9">
        <w:rPr>
          <w:rFonts w:ascii="Arial" w:hAnsi="Arial" w:cs="Arial"/>
        </w:rPr>
        <w:t>nous allons</w:t>
      </w:r>
      <w:r w:rsidRPr="00CB275A">
        <w:rPr>
          <w:rFonts w:ascii="Arial" w:hAnsi="Arial" w:cs="Arial"/>
        </w:rPr>
        <w:t xml:space="preserve"> introduire le contexte de cette </w:t>
      </w:r>
      <w:r w:rsidR="00ED7179" w:rsidRPr="00CB275A">
        <w:rPr>
          <w:rFonts w:ascii="Arial" w:hAnsi="Arial" w:cs="Arial"/>
        </w:rPr>
        <w:t>étude</w:t>
      </w:r>
      <w:r w:rsidRPr="00CB275A">
        <w:rPr>
          <w:rFonts w:ascii="Arial" w:hAnsi="Arial" w:cs="Arial"/>
        </w:rPr>
        <w:t xml:space="preserve"> avec quelques chiffres </w:t>
      </w:r>
      <w:r w:rsidR="00ED7179" w:rsidRPr="00CB275A">
        <w:rPr>
          <w:rFonts w:ascii="Arial" w:hAnsi="Arial" w:cs="Arial"/>
        </w:rPr>
        <w:t>clés</w:t>
      </w:r>
      <w:r w:rsidRPr="00CB275A">
        <w:rPr>
          <w:rFonts w:ascii="Arial" w:hAnsi="Arial" w:cs="Arial"/>
        </w:rPr>
        <w:t xml:space="preserve"> sur la </w:t>
      </w:r>
      <w:r w:rsidR="00ED7179" w:rsidRPr="00CB275A">
        <w:rPr>
          <w:rFonts w:ascii="Arial" w:hAnsi="Arial" w:cs="Arial"/>
        </w:rPr>
        <w:t>filière</w:t>
      </w:r>
      <w:r w:rsidRPr="00CB275A">
        <w:rPr>
          <w:rFonts w:ascii="Arial" w:hAnsi="Arial" w:cs="Arial"/>
        </w:rPr>
        <w:t xml:space="preserve"> EdTech en France. La croissance de ce secteur s’est fortement </w:t>
      </w:r>
      <w:r w:rsidR="00ED7179" w:rsidRPr="00CB275A">
        <w:rPr>
          <w:rFonts w:ascii="Arial" w:hAnsi="Arial" w:cs="Arial"/>
        </w:rPr>
        <w:t>accélérée</w:t>
      </w:r>
      <w:r w:rsidRPr="00CB275A">
        <w:rPr>
          <w:rFonts w:ascii="Arial" w:hAnsi="Arial" w:cs="Arial"/>
        </w:rPr>
        <w:t xml:space="preserve"> durant la </w:t>
      </w:r>
      <w:r w:rsidR="00ED7179" w:rsidRPr="00CB275A">
        <w:rPr>
          <w:rFonts w:ascii="Arial" w:hAnsi="Arial" w:cs="Arial"/>
        </w:rPr>
        <w:t>pandémie</w:t>
      </w:r>
      <w:r w:rsidRPr="00CB275A">
        <w:rPr>
          <w:rFonts w:ascii="Arial" w:hAnsi="Arial" w:cs="Arial"/>
        </w:rPr>
        <w:t xml:space="preserve">, pour atteindre 1.3 milliards de chiffre d’affaires en 2022 et une </w:t>
      </w:r>
      <w:r w:rsidR="00ED7179" w:rsidRPr="00CB275A">
        <w:rPr>
          <w:rFonts w:ascii="Arial" w:hAnsi="Arial" w:cs="Arial"/>
        </w:rPr>
        <w:t>levée</w:t>
      </w:r>
      <w:r w:rsidRPr="00CB275A">
        <w:rPr>
          <w:rFonts w:ascii="Arial" w:hAnsi="Arial" w:cs="Arial"/>
        </w:rPr>
        <w:t xml:space="preserve"> de fonds record de 438 millions d’euros. La même année, le nombre de </w:t>
      </w:r>
      <w:r w:rsidR="00ED7179" w:rsidRPr="00CB275A">
        <w:rPr>
          <w:rFonts w:ascii="Arial" w:hAnsi="Arial" w:cs="Arial"/>
        </w:rPr>
        <w:t>créations</w:t>
      </w:r>
      <w:r w:rsidRPr="00CB275A">
        <w:rPr>
          <w:rFonts w:ascii="Arial" w:hAnsi="Arial" w:cs="Arial"/>
        </w:rPr>
        <w:t xml:space="preserve"> d’entreprises dans ce secteur a été de 34, portant leur nombre total </w:t>
      </w:r>
      <w:r w:rsidR="00E706C8">
        <w:rPr>
          <w:rFonts w:ascii="Arial" w:hAnsi="Arial" w:cs="Arial"/>
        </w:rPr>
        <w:t>à</w:t>
      </w:r>
      <w:r w:rsidRPr="00CB275A">
        <w:rPr>
          <w:rFonts w:ascii="Arial" w:hAnsi="Arial" w:cs="Arial"/>
        </w:rPr>
        <w:t xml:space="preserve"> 430, </w:t>
      </w:r>
      <w:r w:rsidR="00ED7179" w:rsidRPr="00CB275A">
        <w:rPr>
          <w:rFonts w:ascii="Arial" w:hAnsi="Arial" w:cs="Arial"/>
        </w:rPr>
        <w:t>représentant</w:t>
      </w:r>
      <w:r w:rsidRPr="00CB275A">
        <w:rPr>
          <w:rFonts w:ascii="Arial" w:hAnsi="Arial" w:cs="Arial"/>
        </w:rPr>
        <w:t xml:space="preserve"> au total 10 000 salari</w:t>
      </w:r>
      <w:r w:rsidR="00E1485D">
        <w:rPr>
          <w:rFonts w:ascii="Arial" w:hAnsi="Arial" w:cs="Arial"/>
        </w:rPr>
        <w:t>é</w:t>
      </w:r>
      <w:r w:rsidRPr="00CB275A">
        <w:rPr>
          <w:rFonts w:ascii="Arial" w:hAnsi="Arial" w:cs="Arial"/>
        </w:rPr>
        <w:t>s. 25% de ces entreprises, nos concurrent</w:t>
      </w:r>
      <w:r w:rsidR="00E706C8">
        <w:rPr>
          <w:rFonts w:ascii="Arial" w:hAnsi="Arial" w:cs="Arial"/>
        </w:rPr>
        <w:t>e</w:t>
      </w:r>
      <w:r w:rsidRPr="00CB275A">
        <w:rPr>
          <w:rFonts w:ascii="Arial" w:hAnsi="Arial" w:cs="Arial"/>
        </w:rPr>
        <w:t>s direct</w:t>
      </w:r>
      <w:r w:rsidR="00E706C8">
        <w:rPr>
          <w:rFonts w:ascii="Arial" w:hAnsi="Arial" w:cs="Arial"/>
        </w:rPr>
        <w:t>e</w:t>
      </w:r>
      <w:r w:rsidRPr="00CB275A">
        <w:rPr>
          <w:rFonts w:ascii="Arial" w:hAnsi="Arial" w:cs="Arial"/>
        </w:rPr>
        <w:t xml:space="preserve">s donc, sont </w:t>
      </w:r>
      <w:r w:rsidR="00ED7179" w:rsidRPr="00CB275A">
        <w:rPr>
          <w:rFonts w:ascii="Arial" w:hAnsi="Arial" w:cs="Arial"/>
        </w:rPr>
        <w:t>positionnées</w:t>
      </w:r>
      <w:r w:rsidRPr="00CB275A">
        <w:rPr>
          <w:rFonts w:ascii="Arial" w:hAnsi="Arial" w:cs="Arial"/>
        </w:rPr>
        <w:t xml:space="preserve"> exclusivement sur les segments de l’enseignement secondaire et </w:t>
      </w:r>
      <w:r w:rsidR="00ED7179" w:rsidRPr="00CB275A">
        <w:rPr>
          <w:rFonts w:ascii="Arial" w:hAnsi="Arial" w:cs="Arial"/>
        </w:rPr>
        <w:t>supérieur</w:t>
      </w:r>
      <w:r w:rsidRPr="00CB275A">
        <w:rPr>
          <w:rFonts w:ascii="Arial" w:hAnsi="Arial" w:cs="Arial"/>
        </w:rPr>
        <w:t xml:space="preserve">. La </w:t>
      </w:r>
      <w:r w:rsidR="00ED7179" w:rsidRPr="00CB275A">
        <w:rPr>
          <w:rFonts w:ascii="Arial" w:hAnsi="Arial" w:cs="Arial"/>
        </w:rPr>
        <w:t>filière</w:t>
      </w:r>
      <w:r w:rsidRPr="00CB275A">
        <w:rPr>
          <w:rFonts w:ascii="Arial" w:hAnsi="Arial" w:cs="Arial"/>
        </w:rPr>
        <w:t xml:space="preserve"> EdTech </w:t>
      </w:r>
      <w:r w:rsidR="00ED7179" w:rsidRPr="00CB275A">
        <w:rPr>
          <w:rFonts w:ascii="Arial" w:hAnsi="Arial" w:cs="Arial"/>
        </w:rPr>
        <w:t>française</w:t>
      </w:r>
      <w:r w:rsidRPr="00CB275A">
        <w:rPr>
          <w:rFonts w:ascii="Arial" w:hAnsi="Arial" w:cs="Arial"/>
        </w:rPr>
        <w:t xml:space="preserve"> est relativement </w:t>
      </w:r>
      <w:r w:rsidR="00ED7179" w:rsidRPr="00CB275A">
        <w:rPr>
          <w:rFonts w:ascii="Arial" w:hAnsi="Arial" w:cs="Arial"/>
        </w:rPr>
        <w:t>concentrée</w:t>
      </w:r>
      <w:r w:rsidRPr="00CB275A">
        <w:rPr>
          <w:rFonts w:ascii="Arial" w:hAnsi="Arial" w:cs="Arial"/>
        </w:rPr>
        <w:t xml:space="preserve">, avec plus de 70% du chiffre d’affaires </w:t>
      </w:r>
      <w:r w:rsidR="00ED7179" w:rsidRPr="00CB275A">
        <w:rPr>
          <w:rFonts w:ascii="Arial" w:hAnsi="Arial" w:cs="Arial"/>
        </w:rPr>
        <w:t>réalis</w:t>
      </w:r>
      <w:r w:rsidR="00E1485D">
        <w:rPr>
          <w:rFonts w:ascii="Arial" w:hAnsi="Arial" w:cs="Arial"/>
        </w:rPr>
        <w:t xml:space="preserve">é </w:t>
      </w:r>
      <w:r w:rsidRPr="00CB275A">
        <w:rPr>
          <w:rFonts w:ascii="Arial" w:hAnsi="Arial" w:cs="Arial"/>
        </w:rPr>
        <w:t>par les 20 plus grandes entreprises du secteur ; 85% de ces entreprises se positionnent sur le segment de la formation professionne</w:t>
      </w:r>
      <w:r w:rsidR="00485A36" w:rsidRPr="00CB275A">
        <w:rPr>
          <w:rFonts w:ascii="Arial" w:hAnsi="Arial" w:cs="Arial"/>
        </w:rPr>
        <w:t xml:space="preserve">lle. Le secteur est par ailleurs en voie d’internationalisation, avec 57% des entreprises du secteur </w:t>
      </w:r>
      <w:r w:rsidR="00ED7179" w:rsidRPr="00CB275A">
        <w:rPr>
          <w:rFonts w:ascii="Arial" w:hAnsi="Arial" w:cs="Arial"/>
        </w:rPr>
        <w:t>déclarant</w:t>
      </w:r>
      <w:r w:rsidR="00485A36" w:rsidRPr="00CB275A">
        <w:rPr>
          <w:rFonts w:ascii="Arial" w:hAnsi="Arial" w:cs="Arial"/>
        </w:rPr>
        <w:t xml:space="preserve"> avoir une </w:t>
      </w:r>
      <w:r w:rsidR="00ED7179" w:rsidRPr="00CB275A">
        <w:rPr>
          <w:rFonts w:ascii="Arial" w:hAnsi="Arial" w:cs="Arial"/>
        </w:rPr>
        <w:t>activité</w:t>
      </w:r>
      <w:r w:rsidR="00485A36" w:rsidRPr="00CB275A">
        <w:rPr>
          <w:rFonts w:ascii="Arial" w:hAnsi="Arial" w:cs="Arial"/>
        </w:rPr>
        <w:t xml:space="preserve"> </w:t>
      </w:r>
      <w:r w:rsidR="00ED7179" w:rsidRPr="00CB275A">
        <w:rPr>
          <w:rFonts w:ascii="Arial" w:hAnsi="Arial" w:cs="Arial"/>
        </w:rPr>
        <w:t>à</w:t>
      </w:r>
      <w:r w:rsidR="00485A36" w:rsidRPr="00CB275A">
        <w:rPr>
          <w:rFonts w:ascii="Arial" w:hAnsi="Arial" w:cs="Arial"/>
        </w:rPr>
        <w:t xml:space="preserve"> l’international, qui reste relativement modeste cependant, puisque pour 77% d’entre-elles, cette </w:t>
      </w:r>
      <w:r w:rsidR="00ED7179" w:rsidRPr="00CB275A">
        <w:rPr>
          <w:rFonts w:ascii="Arial" w:hAnsi="Arial" w:cs="Arial"/>
        </w:rPr>
        <w:t>activité</w:t>
      </w:r>
      <w:r w:rsidR="00485A36" w:rsidRPr="00CB275A">
        <w:rPr>
          <w:rFonts w:ascii="Arial" w:hAnsi="Arial" w:cs="Arial"/>
        </w:rPr>
        <w:t xml:space="preserve"> internationale </w:t>
      </w:r>
      <w:r w:rsidR="00ED7179" w:rsidRPr="00CB275A">
        <w:rPr>
          <w:rFonts w:ascii="Arial" w:hAnsi="Arial" w:cs="Arial"/>
        </w:rPr>
        <w:t>représente</w:t>
      </w:r>
      <w:r w:rsidR="00485A36" w:rsidRPr="00CB275A">
        <w:rPr>
          <w:rFonts w:ascii="Arial" w:hAnsi="Arial" w:cs="Arial"/>
        </w:rPr>
        <w:t xml:space="preserve"> moins de 20% du chiffres d’affaires.</w:t>
      </w:r>
    </w:p>
    <w:p w14:paraId="396085FC" w14:textId="77777777" w:rsidR="0067106D" w:rsidRPr="00CB275A" w:rsidRDefault="0067106D" w:rsidP="00CB275A">
      <w:pPr>
        <w:spacing w:line="360" w:lineRule="auto"/>
        <w:jc w:val="both"/>
        <w:rPr>
          <w:rFonts w:ascii="Arial" w:hAnsi="Arial" w:cs="Arial"/>
        </w:rPr>
      </w:pPr>
    </w:p>
    <w:p w14:paraId="000BBA21" w14:textId="587E26EE" w:rsidR="001F3CD3" w:rsidRPr="009F572A" w:rsidRDefault="001F3CD3" w:rsidP="00CB275A">
      <w:pPr>
        <w:spacing w:line="360" w:lineRule="auto"/>
        <w:jc w:val="both"/>
        <w:rPr>
          <w:rFonts w:ascii="Arial" w:hAnsi="Arial" w:cs="Arial"/>
          <w:b/>
          <w:bCs/>
        </w:rPr>
      </w:pPr>
      <w:r w:rsidRPr="009F572A">
        <w:rPr>
          <w:rFonts w:ascii="Arial" w:hAnsi="Arial" w:cs="Arial"/>
          <w:b/>
          <w:bCs/>
        </w:rPr>
        <w:t>[SLIDE</w:t>
      </w:r>
      <w:r w:rsidR="00485A36" w:rsidRPr="009F572A">
        <w:rPr>
          <w:rFonts w:ascii="Arial" w:hAnsi="Arial" w:cs="Arial"/>
          <w:b/>
          <w:bCs/>
        </w:rPr>
        <w:t xml:space="preserve"> 3</w:t>
      </w:r>
      <w:r w:rsidRPr="009F572A">
        <w:rPr>
          <w:rFonts w:ascii="Arial" w:hAnsi="Arial" w:cs="Arial"/>
          <w:b/>
          <w:bCs/>
        </w:rPr>
        <w:t>]</w:t>
      </w:r>
    </w:p>
    <w:p w14:paraId="1E8C48AA" w14:textId="48634537" w:rsidR="001F3CD3" w:rsidRPr="00CB275A" w:rsidRDefault="00485A36" w:rsidP="00CB275A">
      <w:pPr>
        <w:spacing w:line="360" w:lineRule="auto"/>
        <w:jc w:val="both"/>
        <w:rPr>
          <w:rFonts w:ascii="Arial" w:hAnsi="Arial" w:cs="Arial"/>
        </w:rPr>
      </w:pPr>
      <w:r w:rsidRPr="00CB275A">
        <w:rPr>
          <w:rFonts w:ascii="Arial" w:hAnsi="Arial" w:cs="Arial"/>
        </w:rPr>
        <w:t xml:space="preserve">Dans ce contexte, la problématique pour </w:t>
      </w:r>
      <w:proofErr w:type="spellStart"/>
      <w:r w:rsidR="00ED7179" w:rsidRPr="00CB275A">
        <w:rPr>
          <w:rFonts w:ascii="Arial" w:hAnsi="Arial" w:cs="Arial"/>
        </w:rPr>
        <w:t>Acad</w:t>
      </w:r>
      <w:r w:rsidR="0022340D">
        <w:rPr>
          <w:rFonts w:ascii="Arial" w:hAnsi="Arial" w:cs="Arial"/>
        </w:rPr>
        <w:t>emy</w:t>
      </w:r>
      <w:proofErr w:type="spellEnd"/>
      <w:r w:rsidRPr="00CB275A">
        <w:rPr>
          <w:rFonts w:ascii="Arial" w:hAnsi="Arial" w:cs="Arial"/>
        </w:rPr>
        <w:t xml:space="preserve"> consiste </w:t>
      </w:r>
      <w:r w:rsidR="00ED7179" w:rsidRPr="00CB275A">
        <w:rPr>
          <w:rFonts w:ascii="Arial" w:hAnsi="Arial" w:cs="Arial"/>
        </w:rPr>
        <w:t>à</w:t>
      </w:r>
      <w:r w:rsidRPr="00CB275A">
        <w:rPr>
          <w:rFonts w:ascii="Arial" w:hAnsi="Arial" w:cs="Arial"/>
        </w:rPr>
        <w:t xml:space="preserve"> trouver des </w:t>
      </w:r>
      <w:r w:rsidR="00ED7179" w:rsidRPr="00CB275A">
        <w:rPr>
          <w:rFonts w:ascii="Arial" w:hAnsi="Arial" w:cs="Arial"/>
        </w:rPr>
        <w:t>débouchés</w:t>
      </w:r>
      <w:r w:rsidRPr="00CB275A">
        <w:rPr>
          <w:rFonts w:ascii="Arial" w:hAnsi="Arial" w:cs="Arial"/>
        </w:rPr>
        <w:t xml:space="preserve"> </w:t>
      </w:r>
      <w:r w:rsidR="00ED7179" w:rsidRPr="00CB275A">
        <w:rPr>
          <w:rFonts w:ascii="Arial" w:hAnsi="Arial" w:cs="Arial"/>
        </w:rPr>
        <w:t>à</w:t>
      </w:r>
      <w:r w:rsidRPr="00CB275A">
        <w:rPr>
          <w:rFonts w:ascii="Arial" w:hAnsi="Arial" w:cs="Arial"/>
        </w:rPr>
        <w:t xml:space="preserve"> l’international pour son catalogue de produits existant</w:t>
      </w:r>
      <w:r w:rsidR="00A144FF">
        <w:rPr>
          <w:rFonts w:ascii="Arial" w:hAnsi="Arial" w:cs="Arial"/>
        </w:rPr>
        <w:t>s</w:t>
      </w:r>
      <w:r w:rsidRPr="00CB275A">
        <w:rPr>
          <w:rFonts w:ascii="Arial" w:hAnsi="Arial" w:cs="Arial"/>
        </w:rPr>
        <w:t>, qui est constitu</w:t>
      </w:r>
      <w:r w:rsidR="0022340D">
        <w:rPr>
          <w:rFonts w:ascii="Arial" w:hAnsi="Arial" w:cs="Arial"/>
        </w:rPr>
        <w:t>é</w:t>
      </w:r>
      <w:r w:rsidRPr="00CB275A">
        <w:rPr>
          <w:rFonts w:ascii="Arial" w:hAnsi="Arial" w:cs="Arial"/>
        </w:rPr>
        <w:t xml:space="preserve"> de formations en ligne de niveau enseignement secondaire et universitaire, à l’exclusion donc de la formation professionnelle ou des formations diplômantes, sur lesquelles des barrières à l’entrée r</w:t>
      </w:r>
      <w:r w:rsidR="00A144FF">
        <w:rPr>
          <w:rFonts w:ascii="Arial" w:hAnsi="Arial" w:cs="Arial"/>
        </w:rPr>
        <w:t>é</w:t>
      </w:r>
      <w:r w:rsidRPr="00CB275A">
        <w:rPr>
          <w:rFonts w:ascii="Arial" w:hAnsi="Arial" w:cs="Arial"/>
        </w:rPr>
        <w:t xml:space="preserve">glementaires notamment pourraient s’appliquer. Il faudra donc </w:t>
      </w:r>
      <w:r w:rsidRPr="00485A36">
        <w:rPr>
          <w:rFonts w:ascii="Arial" w:hAnsi="Arial" w:cs="Arial"/>
        </w:rPr>
        <w:t>déterminer les pays</w:t>
      </w:r>
      <w:r w:rsidRPr="00CB275A">
        <w:rPr>
          <w:rFonts w:ascii="Arial" w:hAnsi="Arial" w:cs="Arial"/>
        </w:rPr>
        <w:t xml:space="preserve"> </w:t>
      </w:r>
      <w:r w:rsidR="00ED7179" w:rsidRPr="00485A36">
        <w:rPr>
          <w:rFonts w:ascii="Arial" w:hAnsi="Arial" w:cs="Arial"/>
        </w:rPr>
        <w:t>présentant</w:t>
      </w:r>
      <w:r w:rsidRPr="00485A36">
        <w:rPr>
          <w:rFonts w:ascii="Arial" w:hAnsi="Arial" w:cs="Arial"/>
        </w:rPr>
        <w:t xml:space="preserve"> un bon potentiel à court et moyen terme, et qui seront à prioriser</w:t>
      </w:r>
      <w:r w:rsidRPr="00CB275A">
        <w:rPr>
          <w:rFonts w:ascii="Arial" w:hAnsi="Arial" w:cs="Arial"/>
        </w:rPr>
        <w:t xml:space="preserve">, et ceux </w:t>
      </w:r>
      <w:r w:rsidR="00ED7179" w:rsidRPr="00CB275A">
        <w:rPr>
          <w:rFonts w:ascii="Arial" w:hAnsi="Arial" w:cs="Arial"/>
        </w:rPr>
        <w:t>présentant</w:t>
      </w:r>
      <w:r w:rsidRPr="00CB275A">
        <w:rPr>
          <w:rFonts w:ascii="Arial" w:hAnsi="Arial" w:cs="Arial"/>
        </w:rPr>
        <w:t xml:space="preserve"> u</w:t>
      </w:r>
      <w:r w:rsidRPr="00485A36">
        <w:rPr>
          <w:rFonts w:ascii="Arial" w:hAnsi="Arial" w:cs="Arial"/>
        </w:rPr>
        <w:t>n potentiel à plus long terme</w:t>
      </w:r>
      <w:r w:rsidRPr="00CB275A">
        <w:rPr>
          <w:rFonts w:ascii="Arial" w:hAnsi="Arial" w:cs="Arial"/>
        </w:rPr>
        <w:t xml:space="preserve">, pour faire évoluer la </w:t>
      </w:r>
      <w:r w:rsidR="00ED7179" w:rsidRPr="00CB275A">
        <w:rPr>
          <w:rFonts w:ascii="Arial" w:hAnsi="Arial" w:cs="Arial"/>
        </w:rPr>
        <w:t>stratégie</w:t>
      </w:r>
      <w:r w:rsidRPr="00CB275A">
        <w:rPr>
          <w:rFonts w:ascii="Arial" w:hAnsi="Arial" w:cs="Arial"/>
        </w:rPr>
        <w:t xml:space="preserve"> de l’entreprise </w:t>
      </w:r>
      <w:r w:rsidRPr="00485A36">
        <w:rPr>
          <w:rFonts w:ascii="Arial" w:hAnsi="Arial" w:cs="Arial"/>
        </w:rPr>
        <w:t>vers</w:t>
      </w:r>
      <w:r w:rsidRPr="00CB275A">
        <w:rPr>
          <w:rFonts w:ascii="Arial" w:hAnsi="Arial" w:cs="Arial"/>
        </w:rPr>
        <w:t xml:space="preserve"> ce que l’on a </w:t>
      </w:r>
      <w:r w:rsidR="00ED7179" w:rsidRPr="00CB275A">
        <w:rPr>
          <w:rFonts w:ascii="Arial" w:hAnsi="Arial" w:cs="Arial"/>
        </w:rPr>
        <w:t>désigné</w:t>
      </w:r>
      <w:r w:rsidRPr="00CB275A">
        <w:rPr>
          <w:rFonts w:ascii="Arial" w:hAnsi="Arial" w:cs="Arial"/>
        </w:rPr>
        <w:t xml:space="preserve"> par</w:t>
      </w:r>
      <w:r w:rsidRPr="00485A36">
        <w:rPr>
          <w:rFonts w:ascii="Arial" w:hAnsi="Arial" w:cs="Arial"/>
        </w:rPr>
        <w:t xml:space="preserve"> </w:t>
      </w:r>
      <w:r w:rsidR="00A144FF">
        <w:rPr>
          <w:rFonts w:ascii="Arial" w:hAnsi="Arial" w:cs="Arial"/>
        </w:rPr>
        <w:t>« </w:t>
      </w:r>
      <w:r w:rsidR="00ED7179" w:rsidRPr="00485A36">
        <w:rPr>
          <w:rFonts w:ascii="Arial" w:hAnsi="Arial" w:cs="Arial"/>
        </w:rPr>
        <w:t>l</w:t>
      </w:r>
      <w:r w:rsidR="00A144FF">
        <w:rPr>
          <w:rFonts w:ascii="Arial" w:hAnsi="Arial" w:cs="Arial"/>
        </w:rPr>
        <w:t>’</w:t>
      </w:r>
      <w:r w:rsidR="00ED7179" w:rsidRPr="00485A36">
        <w:rPr>
          <w:rFonts w:ascii="Arial" w:hAnsi="Arial" w:cs="Arial"/>
        </w:rPr>
        <w:t>objectif</w:t>
      </w:r>
      <w:r w:rsidRPr="00485A36">
        <w:rPr>
          <w:rFonts w:ascii="Arial" w:hAnsi="Arial" w:cs="Arial"/>
        </w:rPr>
        <w:t xml:space="preserve"> 2030</w:t>
      </w:r>
      <w:r w:rsidR="00A144FF">
        <w:rPr>
          <w:rFonts w:ascii="Arial" w:hAnsi="Arial" w:cs="Arial"/>
        </w:rPr>
        <w:t> »</w:t>
      </w:r>
      <w:r w:rsidRPr="00CB275A">
        <w:rPr>
          <w:rFonts w:ascii="Arial" w:hAnsi="Arial" w:cs="Arial"/>
        </w:rPr>
        <w:t xml:space="preserve">. Il s’agira donc trouver les indicateurs les plus pertinents pour informer ces décisions, et de les évaluer historiquement et de façon prospective pour déterminer la liste des pays à cibler pour ces différentes phases. Nous avons retenu les </w:t>
      </w:r>
      <w:r w:rsidR="00ED7179" w:rsidRPr="00CB275A">
        <w:rPr>
          <w:rFonts w:ascii="Arial" w:hAnsi="Arial" w:cs="Arial"/>
        </w:rPr>
        <w:t>thèmes</w:t>
      </w:r>
      <w:r w:rsidRPr="00CB275A">
        <w:rPr>
          <w:rFonts w:ascii="Arial" w:hAnsi="Arial" w:cs="Arial"/>
        </w:rPr>
        <w:t xml:space="preserve"> des télécoms et de </w:t>
      </w:r>
      <w:r w:rsidR="00ED7179" w:rsidRPr="00CB275A">
        <w:rPr>
          <w:rFonts w:ascii="Arial" w:hAnsi="Arial" w:cs="Arial"/>
        </w:rPr>
        <w:t>l’accès</w:t>
      </w:r>
      <w:r w:rsidRPr="00CB275A">
        <w:rPr>
          <w:rFonts w:ascii="Arial" w:hAnsi="Arial" w:cs="Arial"/>
        </w:rPr>
        <w:t xml:space="preserve"> internet, </w:t>
      </w:r>
      <w:r w:rsidR="00ED7179" w:rsidRPr="00CB275A">
        <w:rPr>
          <w:rFonts w:ascii="Arial" w:hAnsi="Arial" w:cs="Arial"/>
        </w:rPr>
        <w:t>du revenu</w:t>
      </w:r>
      <w:r w:rsidRPr="00CB275A">
        <w:rPr>
          <w:rFonts w:ascii="Arial" w:hAnsi="Arial" w:cs="Arial"/>
        </w:rPr>
        <w:t xml:space="preserve"> par habitant, de la taille et </w:t>
      </w:r>
      <w:r w:rsidR="00A144FF">
        <w:rPr>
          <w:rFonts w:ascii="Arial" w:hAnsi="Arial" w:cs="Arial"/>
        </w:rPr>
        <w:t xml:space="preserve">de la </w:t>
      </w:r>
      <w:r w:rsidRPr="00CB275A">
        <w:rPr>
          <w:rFonts w:ascii="Arial" w:hAnsi="Arial" w:cs="Arial"/>
        </w:rPr>
        <w:t xml:space="preserve">croissance de la population étudiante et </w:t>
      </w:r>
      <w:r w:rsidR="00A144FF">
        <w:rPr>
          <w:rFonts w:ascii="Arial" w:hAnsi="Arial" w:cs="Arial"/>
        </w:rPr>
        <w:t xml:space="preserve">du </w:t>
      </w:r>
      <w:r w:rsidRPr="00CB275A">
        <w:rPr>
          <w:rFonts w:ascii="Arial" w:hAnsi="Arial" w:cs="Arial"/>
        </w:rPr>
        <w:t xml:space="preserve">taux de scolarisation secondaire et universitaire comme étant pertinents </w:t>
      </w:r>
      <w:r w:rsidR="00ED7179" w:rsidRPr="00CB275A">
        <w:rPr>
          <w:rFonts w:ascii="Arial" w:hAnsi="Arial" w:cs="Arial"/>
        </w:rPr>
        <w:t>à</w:t>
      </w:r>
      <w:r w:rsidRPr="00CB275A">
        <w:rPr>
          <w:rFonts w:ascii="Arial" w:hAnsi="Arial" w:cs="Arial"/>
        </w:rPr>
        <w:t xml:space="preserve"> notre analyse.</w:t>
      </w:r>
    </w:p>
    <w:p w14:paraId="679E3416" w14:textId="77777777" w:rsidR="001F3CD3" w:rsidRPr="00CB275A" w:rsidRDefault="001F3CD3" w:rsidP="00CB275A">
      <w:pPr>
        <w:spacing w:line="360" w:lineRule="auto"/>
        <w:jc w:val="both"/>
        <w:rPr>
          <w:rFonts w:ascii="Arial" w:hAnsi="Arial" w:cs="Arial"/>
        </w:rPr>
      </w:pPr>
    </w:p>
    <w:p w14:paraId="75FD9CBC" w14:textId="74BFE7AA" w:rsidR="001F3CD3" w:rsidRPr="009F572A" w:rsidRDefault="001F3CD3" w:rsidP="00CB275A">
      <w:pPr>
        <w:spacing w:line="360" w:lineRule="auto"/>
        <w:jc w:val="both"/>
        <w:rPr>
          <w:rFonts w:ascii="Arial" w:hAnsi="Arial" w:cs="Arial"/>
          <w:b/>
          <w:bCs/>
        </w:rPr>
      </w:pPr>
      <w:r w:rsidRPr="009F572A">
        <w:rPr>
          <w:rFonts w:ascii="Arial" w:hAnsi="Arial" w:cs="Arial"/>
          <w:b/>
          <w:bCs/>
        </w:rPr>
        <w:lastRenderedPageBreak/>
        <w:t>[SLIDE 4]</w:t>
      </w:r>
    </w:p>
    <w:p w14:paraId="52EDD91A" w14:textId="23633496" w:rsidR="001F3CD3" w:rsidRPr="00CB275A" w:rsidRDefault="00D705D3" w:rsidP="00CB275A">
      <w:pPr>
        <w:spacing w:line="360" w:lineRule="auto"/>
        <w:jc w:val="both"/>
        <w:rPr>
          <w:rFonts w:ascii="Arial" w:hAnsi="Arial" w:cs="Arial"/>
        </w:rPr>
      </w:pPr>
      <w:r w:rsidRPr="00CB275A">
        <w:rPr>
          <w:rFonts w:ascii="Arial" w:hAnsi="Arial" w:cs="Arial"/>
        </w:rPr>
        <w:t xml:space="preserve">Afin de </w:t>
      </w:r>
      <w:r w:rsidR="00ED7179" w:rsidRPr="00CB275A">
        <w:rPr>
          <w:rFonts w:ascii="Arial" w:hAnsi="Arial" w:cs="Arial"/>
        </w:rPr>
        <w:t>répondre</w:t>
      </w:r>
      <w:r w:rsidRPr="00CB275A">
        <w:rPr>
          <w:rFonts w:ascii="Arial" w:hAnsi="Arial" w:cs="Arial"/>
        </w:rPr>
        <w:t xml:space="preserve"> </w:t>
      </w:r>
      <w:r w:rsidR="00ED7179" w:rsidRPr="00CB275A">
        <w:rPr>
          <w:rFonts w:ascii="Arial" w:hAnsi="Arial" w:cs="Arial"/>
        </w:rPr>
        <w:t>à</w:t>
      </w:r>
      <w:r w:rsidRPr="00CB275A">
        <w:rPr>
          <w:rFonts w:ascii="Arial" w:hAnsi="Arial" w:cs="Arial"/>
        </w:rPr>
        <w:t xml:space="preserve"> cet objectif, notre analyse s’est </w:t>
      </w:r>
      <w:r w:rsidR="00ED7179" w:rsidRPr="00CB275A">
        <w:rPr>
          <w:rFonts w:ascii="Arial" w:hAnsi="Arial" w:cs="Arial"/>
        </w:rPr>
        <w:t>articulée</w:t>
      </w:r>
      <w:r w:rsidRPr="00CB275A">
        <w:rPr>
          <w:rFonts w:ascii="Arial" w:hAnsi="Arial" w:cs="Arial"/>
        </w:rPr>
        <w:t xml:space="preserve"> autour de 3 </w:t>
      </w:r>
      <w:r w:rsidR="00ED7179" w:rsidRPr="00CB275A">
        <w:rPr>
          <w:rFonts w:ascii="Arial" w:hAnsi="Arial" w:cs="Arial"/>
        </w:rPr>
        <w:t>étapes</w:t>
      </w:r>
      <w:r w:rsidRPr="00CB275A">
        <w:rPr>
          <w:rFonts w:ascii="Arial" w:hAnsi="Arial" w:cs="Arial"/>
        </w:rPr>
        <w:t xml:space="preserve"> : </w:t>
      </w:r>
      <w:r w:rsidR="00D75500" w:rsidRPr="00CB275A">
        <w:rPr>
          <w:rFonts w:ascii="Arial" w:hAnsi="Arial" w:cs="Arial"/>
        </w:rPr>
        <w:t xml:space="preserve">le </w:t>
      </w:r>
      <w:r w:rsidR="00ED7179" w:rsidRPr="00CB275A">
        <w:rPr>
          <w:rFonts w:ascii="Arial" w:hAnsi="Arial" w:cs="Arial"/>
        </w:rPr>
        <w:t>téléchargement</w:t>
      </w:r>
      <w:r w:rsidR="00D75500" w:rsidRPr="00CB275A">
        <w:rPr>
          <w:rFonts w:ascii="Arial" w:hAnsi="Arial" w:cs="Arial"/>
        </w:rPr>
        <w:t xml:space="preserve">, la </w:t>
      </w:r>
      <w:r w:rsidR="00ED7179" w:rsidRPr="00CB275A">
        <w:rPr>
          <w:rFonts w:ascii="Arial" w:hAnsi="Arial" w:cs="Arial"/>
        </w:rPr>
        <w:t>vérification</w:t>
      </w:r>
      <w:r w:rsidR="00D75500" w:rsidRPr="00CB275A">
        <w:rPr>
          <w:rFonts w:ascii="Arial" w:hAnsi="Arial" w:cs="Arial"/>
        </w:rPr>
        <w:t xml:space="preserve"> et la </w:t>
      </w:r>
      <w:r w:rsidR="00ED7179" w:rsidRPr="00CB275A">
        <w:rPr>
          <w:rFonts w:ascii="Arial" w:hAnsi="Arial" w:cs="Arial"/>
        </w:rPr>
        <w:t>sélection</w:t>
      </w:r>
      <w:r w:rsidR="00D75500" w:rsidRPr="00CB275A">
        <w:rPr>
          <w:rFonts w:ascii="Arial" w:hAnsi="Arial" w:cs="Arial"/>
        </w:rPr>
        <w:t xml:space="preserve"> des </w:t>
      </w:r>
      <w:r w:rsidR="00ED7179" w:rsidRPr="00CB275A">
        <w:rPr>
          <w:rFonts w:ascii="Arial" w:hAnsi="Arial" w:cs="Arial"/>
        </w:rPr>
        <w:t>données</w:t>
      </w:r>
      <w:r w:rsidR="00D75500" w:rsidRPr="00CB275A">
        <w:rPr>
          <w:rFonts w:ascii="Arial" w:hAnsi="Arial" w:cs="Arial"/>
        </w:rPr>
        <w:t>, que nous avons poursuivi</w:t>
      </w:r>
      <w:r w:rsidR="00A144FF">
        <w:rPr>
          <w:rFonts w:ascii="Arial" w:hAnsi="Arial" w:cs="Arial"/>
        </w:rPr>
        <w:t>s</w:t>
      </w:r>
      <w:r w:rsidR="00D75500" w:rsidRPr="00CB275A">
        <w:rPr>
          <w:rFonts w:ascii="Arial" w:hAnsi="Arial" w:cs="Arial"/>
        </w:rPr>
        <w:t xml:space="preserve"> par des analyses statistiques et graphiques</w:t>
      </w:r>
      <w:r w:rsidR="00B67B17" w:rsidRPr="00CB275A">
        <w:rPr>
          <w:rFonts w:ascii="Arial" w:hAnsi="Arial" w:cs="Arial"/>
        </w:rPr>
        <w:t xml:space="preserve"> de nos différents indicateurs</w:t>
      </w:r>
      <w:r w:rsidR="00D75500" w:rsidRPr="00CB275A">
        <w:rPr>
          <w:rFonts w:ascii="Arial" w:hAnsi="Arial" w:cs="Arial"/>
        </w:rPr>
        <w:t xml:space="preserve">, avant de procéder aux </w:t>
      </w:r>
      <w:r w:rsidR="00ED7179" w:rsidRPr="00CB275A">
        <w:rPr>
          <w:rFonts w:ascii="Arial" w:hAnsi="Arial" w:cs="Arial"/>
        </w:rPr>
        <w:t>recommandations</w:t>
      </w:r>
      <w:r w:rsidR="00D75500" w:rsidRPr="00CB275A">
        <w:rPr>
          <w:rFonts w:ascii="Arial" w:hAnsi="Arial" w:cs="Arial"/>
        </w:rPr>
        <w:t xml:space="preserve"> sur les</w:t>
      </w:r>
      <w:r w:rsidR="00B67B17" w:rsidRPr="00CB275A">
        <w:rPr>
          <w:rFonts w:ascii="Arial" w:hAnsi="Arial" w:cs="Arial"/>
        </w:rPr>
        <w:t xml:space="preserve"> </w:t>
      </w:r>
      <w:r w:rsidR="00D75500" w:rsidRPr="00CB275A">
        <w:rPr>
          <w:rFonts w:ascii="Arial" w:hAnsi="Arial" w:cs="Arial"/>
        </w:rPr>
        <w:t>march</w:t>
      </w:r>
      <w:r w:rsidR="0022340D">
        <w:rPr>
          <w:rFonts w:ascii="Arial" w:hAnsi="Arial" w:cs="Arial"/>
        </w:rPr>
        <w:t>é</w:t>
      </w:r>
      <w:r w:rsidR="00D75500" w:rsidRPr="00CB275A">
        <w:rPr>
          <w:rFonts w:ascii="Arial" w:hAnsi="Arial" w:cs="Arial"/>
        </w:rPr>
        <w:t xml:space="preserve">s-cibles </w:t>
      </w:r>
      <w:r w:rsidR="00ED7179" w:rsidRPr="00CB275A">
        <w:rPr>
          <w:rFonts w:ascii="Arial" w:hAnsi="Arial" w:cs="Arial"/>
        </w:rPr>
        <w:t>à</w:t>
      </w:r>
      <w:r w:rsidR="00D75500" w:rsidRPr="00CB275A">
        <w:rPr>
          <w:rFonts w:ascii="Arial" w:hAnsi="Arial" w:cs="Arial"/>
        </w:rPr>
        <w:t xml:space="preserve"> prioriser pour les différentes étapes de notre </w:t>
      </w:r>
      <w:r w:rsidR="00ED7179" w:rsidRPr="00CB275A">
        <w:rPr>
          <w:rFonts w:ascii="Arial" w:hAnsi="Arial" w:cs="Arial"/>
        </w:rPr>
        <w:t>stratégie</w:t>
      </w:r>
      <w:r w:rsidR="00D75500" w:rsidRPr="00CB275A">
        <w:rPr>
          <w:rFonts w:ascii="Arial" w:hAnsi="Arial" w:cs="Arial"/>
        </w:rPr>
        <w:t>.</w:t>
      </w:r>
    </w:p>
    <w:p w14:paraId="0D5579D6" w14:textId="77777777" w:rsidR="001F3CD3" w:rsidRPr="00CB275A" w:rsidRDefault="001F3CD3" w:rsidP="00CB275A">
      <w:pPr>
        <w:spacing w:line="360" w:lineRule="auto"/>
        <w:jc w:val="both"/>
        <w:rPr>
          <w:rFonts w:ascii="Arial" w:hAnsi="Arial" w:cs="Arial"/>
        </w:rPr>
      </w:pPr>
    </w:p>
    <w:p w14:paraId="4744A1E9" w14:textId="26385B59" w:rsidR="00572518" w:rsidRPr="009F572A" w:rsidRDefault="001F3CD3" w:rsidP="00CB275A">
      <w:pPr>
        <w:spacing w:line="360" w:lineRule="auto"/>
        <w:jc w:val="both"/>
        <w:rPr>
          <w:rFonts w:ascii="Arial" w:hAnsi="Arial" w:cs="Arial"/>
          <w:b/>
          <w:bCs/>
        </w:rPr>
      </w:pPr>
      <w:r w:rsidRPr="009F572A">
        <w:rPr>
          <w:rFonts w:ascii="Arial" w:hAnsi="Arial" w:cs="Arial"/>
          <w:b/>
          <w:bCs/>
        </w:rPr>
        <w:t>[SLIDE 5]</w:t>
      </w:r>
    </w:p>
    <w:p w14:paraId="1F0122D6" w14:textId="6995FFBB" w:rsidR="00572518" w:rsidRPr="00CB275A" w:rsidRDefault="001E392C" w:rsidP="00CB275A">
      <w:pPr>
        <w:spacing w:line="360" w:lineRule="auto"/>
        <w:jc w:val="both"/>
        <w:rPr>
          <w:rFonts w:ascii="Arial" w:hAnsi="Arial" w:cs="Arial"/>
        </w:rPr>
      </w:pPr>
      <w:r w:rsidRPr="00CB275A">
        <w:rPr>
          <w:rFonts w:ascii="Arial" w:hAnsi="Arial" w:cs="Arial"/>
        </w:rPr>
        <w:t xml:space="preserve">Le jeu de </w:t>
      </w:r>
      <w:r w:rsidR="00ED7179" w:rsidRPr="00CB275A">
        <w:rPr>
          <w:rFonts w:ascii="Arial" w:hAnsi="Arial" w:cs="Arial"/>
        </w:rPr>
        <w:t>données</w:t>
      </w:r>
      <w:r w:rsidRPr="00CB275A">
        <w:rPr>
          <w:rFonts w:ascii="Arial" w:hAnsi="Arial" w:cs="Arial"/>
        </w:rPr>
        <w:t xml:space="preserve"> fourni, qui était issu de la </w:t>
      </w:r>
      <w:r w:rsidR="00ED7179" w:rsidRPr="00CB275A">
        <w:rPr>
          <w:rFonts w:ascii="Arial" w:hAnsi="Arial" w:cs="Arial"/>
        </w:rPr>
        <w:t>série</w:t>
      </w:r>
      <w:r w:rsidRPr="00CB275A">
        <w:rPr>
          <w:rFonts w:ascii="Arial" w:hAnsi="Arial" w:cs="Arial"/>
        </w:rPr>
        <w:t xml:space="preserve"> E</w:t>
      </w:r>
      <w:r w:rsidR="00AB0693" w:rsidRPr="00CB275A">
        <w:rPr>
          <w:rFonts w:ascii="Arial" w:hAnsi="Arial" w:cs="Arial"/>
        </w:rPr>
        <w:t>d</w:t>
      </w:r>
      <w:r w:rsidRPr="00CB275A">
        <w:rPr>
          <w:rFonts w:ascii="Arial" w:hAnsi="Arial" w:cs="Arial"/>
        </w:rPr>
        <w:t xml:space="preserve">StatsData de la Banque Mondiale, a </w:t>
      </w:r>
      <w:r w:rsidR="00ED7179" w:rsidRPr="00CB275A">
        <w:rPr>
          <w:rFonts w:ascii="Arial" w:hAnsi="Arial" w:cs="Arial"/>
        </w:rPr>
        <w:t>nécessité</w:t>
      </w:r>
      <w:r w:rsidR="00572518" w:rsidRPr="00CB275A">
        <w:rPr>
          <w:rFonts w:ascii="Arial" w:hAnsi="Arial" w:cs="Arial"/>
        </w:rPr>
        <w:t xml:space="preserve"> de no</w:t>
      </w:r>
      <w:r w:rsidRPr="00CB275A">
        <w:rPr>
          <w:rFonts w:ascii="Arial" w:hAnsi="Arial" w:cs="Arial"/>
        </w:rPr>
        <w:t>m</w:t>
      </w:r>
      <w:r w:rsidR="00572518" w:rsidRPr="00CB275A">
        <w:rPr>
          <w:rFonts w:ascii="Arial" w:hAnsi="Arial" w:cs="Arial"/>
        </w:rPr>
        <w:t xml:space="preserve">breux </w:t>
      </w:r>
      <w:r w:rsidR="00ED7179" w:rsidRPr="00CB275A">
        <w:rPr>
          <w:rFonts w:ascii="Arial" w:hAnsi="Arial" w:cs="Arial"/>
        </w:rPr>
        <w:t>retraitements</w:t>
      </w:r>
      <w:r w:rsidR="00572518" w:rsidRPr="00CB275A">
        <w:rPr>
          <w:rFonts w:ascii="Arial" w:hAnsi="Arial" w:cs="Arial"/>
        </w:rPr>
        <w:t xml:space="preserve"> et une exploration </w:t>
      </w:r>
      <w:r w:rsidR="00ED7179" w:rsidRPr="00CB275A">
        <w:rPr>
          <w:rFonts w:ascii="Arial" w:hAnsi="Arial" w:cs="Arial"/>
        </w:rPr>
        <w:t>détaillée</w:t>
      </w:r>
      <w:r w:rsidR="00572518" w:rsidRPr="00CB275A">
        <w:rPr>
          <w:rFonts w:ascii="Arial" w:hAnsi="Arial" w:cs="Arial"/>
        </w:rPr>
        <w:t xml:space="preserve"> et approfondie pour être utilisable</w:t>
      </w:r>
      <w:r w:rsidRPr="00CB275A">
        <w:rPr>
          <w:rFonts w:ascii="Arial" w:hAnsi="Arial" w:cs="Arial"/>
        </w:rPr>
        <w:t xml:space="preserve">. Ce jeu de </w:t>
      </w:r>
      <w:r w:rsidR="00ED7179" w:rsidRPr="00CB275A">
        <w:rPr>
          <w:rFonts w:ascii="Arial" w:hAnsi="Arial" w:cs="Arial"/>
        </w:rPr>
        <w:t>données</w:t>
      </w:r>
      <w:r w:rsidRPr="00CB275A">
        <w:rPr>
          <w:rFonts w:ascii="Arial" w:hAnsi="Arial" w:cs="Arial"/>
        </w:rPr>
        <w:t xml:space="preserve"> se compose de 5 tables, une table de faits centrale ici, qui contient des </w:t>
      </w:r>
      <w:r w:rsidR="00ED7179" w:rsidRPr="00CB275A">
        <w:rPr>
          <w:rFonts w:ascii="Arial" w:hAnsi="Arial" w:cs="Arial"/>
        </w:rPr>
        <w:t>données</w:t>
      </w:r>
      <w:r w:rsidRPr="00CB275A">
        <w:rPr>
          <w:rFonts w:ascii="Arial" w:hAnsi="Arial" w:cs="Arial"/>
        </w:rPr>
        <w:t xml:space="preserve"> </w:t>
      </w:r>
      <w:r w:rsidR="00ED7179" w:rsidRPr="00CB275A">
        <w:rPr>
          <w:rFonts w:ascii="Arial" w:hAnsi="Arial" w:cs="Arial"/>
        </w:rPr>
        <w:t>chiffrées</w:t>
      </w:r>
      <w:r w:rsidRPr="00CB275A">
        <w:rPr>
          <w:rFonts w:ascii="Arial" w:hAnsi="Arial" w:cs="Arial"/>
        </w:rPr>
        <w:t xml:space="preserve"> pour un certain nombre de pays et d’indicateurs, et 4 tables de dimensions, qui comportent des informations </w:t>
      </w:r>
      <w:r w:rsidR="00ED7179" w:rsidRPr="00CB275A">
        <w:rPr>
          <w:rFonts w:ascii="Arial" w:hAnsi="Arial" w:cs="Arial"/>
        </w:rPr>
        <w:t>géopolitiques</w:t>
      </w:r>
      <w:r w:rsidR="00AB0693" w:rsidRPr="00CB275A">
        <w:rPr>
          <w:rFonts w:ascii="Arial" w:hAnsi="Arial" w:cs="Arial"/>
        </w:rPr>
        <w:t xml:space="preserve"> sur les pays, des sources de </w:t>
      </w:r>
      <w:r w:rsidR="00ED7179" w:rsidRPr="00CB275A">
        <w:rPr>
          <w:rFonts w:ascii="Arial" w:hAnsi="Arial" w:cs="Arial"/>
        </w:rPr>
        <w:t>données</w:t>
      </w:r>
      <w:r w:rsidR="00AB0693" w:rsidRPr="00CB275A">
        <w:rPr>
          <w:rFonts w:ascii="Arial" w:hAnsi="Arial" w:cs="Arial"/>
        </w:rPr>
        <w:t xml:space="preserve"> par indicateur et par pays, des descriptions </w:t>
      </w:r>
      <w:r w:rsidR="00ED7179" w:rsidRPr="00CB275A">
        <w:rPr>
          <w:rFonts w:ascii="Arial" w:hAnsi="Arial" w:cs="Arial"/>
        </w:rPr>
        <w:t>détaillées</w:t>
      </w:r>
      <w:r w:rsidR="00AB0693" w:rsidRPr="00CB275A">
        <w:rPr>
          <w:rFonts w:ascii="Arial" w:hAnsi="Arial" w:cs="Arial"/>
        </w:rPr>
        <w:t xml:space="preserve"> des indicateurs et des notes </w:t>
      </w:r>
      <w:r w:rsidR="00ED7179" w:rsidRPr="00CB275A">
        <w:rPr>
          <w:rFonts w:ascii="Arial" w:hAnsi="Arial" w:cs="Arial"/>
        </w:rPr>
        <w:t>méthodologiques</w:t>
      </w:r>
      <w:r w:rsidR="00AB0693" w:rsidRPr="00CB275A">
        <w:rPr>
          <w:rFonts w:ascii="Arial" w:hAnsi="Arial" w:cs="Arial"/>
        </w:rPr>
        <w:t xml:space="preserve"> sur les calculs particuliers effectu</w:t>
      </w:r>
      <w:r w:rsidR="00A144FF">
        <w:rPr>
          <w:rFonts w:ascii="Arial" w:hAnsi="Arial" w:cs="Arial"/>
        </w:rPr>
        <w:t>é</w:t>
      </w:r>
      <w:r w:rsidR="00AB0693" w:rsidRPr="00CB275A">
        <w:rPr>
          <w:rFonts w:ascii="Arial" w:hAnsi="Arial" w:cs="Arial"/>
        </w:rPr>
        <w:t xml:space="preserve">s pour certaines années. Aucun de ces fichiers de </w:t>
      </w:r>
      <w:r w:rsidR="00ED7179" w:rsidRPr="00CB275A">
        <w:rPr>
          <w:rFonts w:ascii="Arial" w:hAnsi="Arial" w:cs="Arial"/>
        </w:rPr>
        <w:t>données</w:t>
      </w:r>
      <w:r w:rsidR="00AB0693" w:rsidRPr="00CB275A">
        <w:rPr>
          <w:rFonts w:ascii="Arial" w:hAnsi="Arial" w:cs="Arial"/>
        </w:rPr>
        <w:t xml:space="preserve"> ne comportait de doublons, mais ils comportaient tous des proportions variables de </w:t>
      </w:r>
      <w:r w:rsidR="00ED7179" w:rsidRPr="00CB275A">
        <w:rPr>
          <w:rFonts w:ascii="Arial" w:hAnsi="Arial" w:cs="Arial"/>
        </w:rPr>
        <w:t>données</w:t>
      </w:r>
      <w:r w:rsidR="00AB0693" w:rsidRPr="00CB275A">
        <w:rPr>
          <w:rFonts w:ascii="Arial" w:hAnsi="Arial" w:cs="Arial"/>
        </w:rPr>
        <w:t xml:space="preserve"> manquantes, pouvant aller jusqu’à plus de </w:t>
      </w:r>
      <w:r w:rsidR="00720130" w:rsidRPr="00CB275A">
        <w:rPr>
          <w:rFonts w:ascii="Arial" w:hAnsi="Arial" w:cs="Arial"/>
        </w:rPr>
        <w:t>86</w:t>
      </w:r>
      <w:r w:rsidR="00AB0693" w:rsidRPr="00CB275A">
        <w:rPr>
          <w:rFonts w:ascii="Arial" w:hAnsi="Arial" w:cs="Arial"/>
        </w:rPr>
        <w:t>% pour la table de</w:t>
      </w:r>
      <w:r w:rsidR="0022340D">
        <w:rPr>
          <w:rFonts w:ascii="Arial" w:hAnsi="Arial" w:cs="Arial"/>
        </w:rPr>
        <w:t>s</w:t>
      </w:r>
      <w:r w:rsidR="00AB0693" w:rsidRPr="00CB275A">
        <w:rPr>
          <w:rFonts w:ascii="Arial" w:hAnsi="Arial" w:cs="Arial"/>
        </w:rPr>
        <w:t xml:space="preserve"> faits</w:t>
      </w:r>
      <w:r w:rsidR="00720130" w:rsidRPr="00CB275A">
        <w:rPr>
          <w:rFonts w:ascii="Arial" w:hAnsi="Arial" w:cs="Arial"/>
        </w:rPr>
        <w:t xml:space="preserve">. Ces fichiers </w:t>
      </w:r>
      <w:r w:rsidR="00ED7179" w:rsidRPr="00CB275A">
        <w:rPr>
          <w:rFonts w:ascii="Arial" w:hAnsi="Arial" w:cs="Arial"/>
        </w:rPr>
        <w:t>étaient</w:t>
      </w:r>
      <w:r w:rsidR="00720130" w:rsidRPr="00CB275A">
        <w:rPr>
          <w:rFonts w:ascii="Arial" w:hAnsi="Arial" w:cs="Arial"/>
        </w:rPr>
        <w:t xml:space="preserve"> par ailleurs de grandes dimensions, avec plusieurs centaines de milliers de lignes pour la table des faits et celle des notes </w:t>
      </w:r>
      <w:r w:rsidR="00ED7179" w:rsidRPr="00CB275A">
        <w:rPr>
          <w:rFonts w:ascii="Arial" w:hAnsi="Arial" w:cs="Arial"/>
        </w:rPr>
        <w:t>méthodologiques</w:t>
      </w:r>
      <w:r w:rsidR="00720130" w:rsidRPr="00CB275A">
        <w:rPr>
          <w:rFonts w:ascii="Arial" w:hAnsi="Arial" w:cs="Arial"/>
        </w:rPr>
        <w:t xml:space="preserve">, et couvraient une information très </w:t>
      </w:r>
      <w:r w:rsidR="00ED7179" w:rsidRPr="00CB275A">
        <w:rPr>
          <w:rFonts w:ascii="Arial" w:hAnsi="Arial" w:cs="Arial"/>
        </w:rPr>
        <w:t>diversifiée</w:t>
      </w:r>
      <w:r w:rsidR="00720130" w:rsidRPr="00CB275A">
        <w:rPr>
          <w:rFonts w:ascii="Arial" w:hAnsi="Arial" w:cs="Arial"/>
        </w:rPr>
        <w:t xml:space="preserve">, avec notamment des </w:t>
      </w:r>
      <w:r w:rsidR="00ED7179" w:rsidRPr="00CB275A">
        <w:rPr>
          <w:rFonts w:ascii="Arial" w:hAnsi="Arial" w:cs="Arial"/>
        </w:rPr>
        <w:t>données</w:t>
      </w:r>
      <w:r w:rsidR="00720130" w:rsidRPr="00CB275A">
        <w:rPr>
          <w:rFonts w:ascii="Arial" w:hAnsi="Arial" w:cs="Arial"/>
        </w:rPr>
        <w:t xml:space="preserve"> pour la période </w:t>
      </w:r>
      <w:r w:rsidR="0022340D">
        <w:rPr>
          <w:rFonts w:ascii="Arial" w:hAnsi="Arial" w:cs="Arial"/>
        </w:rPr>
        <w:t xml:space="preserve">allant de </w:t>
      </w:r>
      <w:r w:rsidR="00720130" w:rsidRPr="00CB275A">
        <w:rPr>
          <w:rFonts w:ascii="Arial" w:hAnsi="Arial" w:cs="Arial"/>
        </w:rPr>
        <w:t>1970</w:t>
      </w:r>
      <w:r w:rsidR="0022340D">
        <w:rPr>
          <w:rFonts w:ascii="Arial" w:hAnsi="Arial" w:cs="Arial"/>
        </w:rPr>
        <w:t xml:space="preserve"> à </w:t>
      </w:r>
      <w:r w:rsidR="00720130" w:rsidRPr="00CB275A">
        <w:rPr>
          <w:rFonts w:ascii="Arial" w:hAnsi="Arial" w:cs="Arial"/>
        </w:rPr>
        <w:t>2100 dans la table des faits, et plus de 3</w:t>
      </w:r>
      <w:r w:rsidR="00A144FF">
        <w:rPr>
          <w:rFonts w:ascii="Arial" w:hAnsi="Arial" w:cs="Arial"/>
        </w:rPr>
        <w:t>,</w:t>
      </w:r>
      <w:r w:rsidR="00720130" w:rsidRPr="00CB275A">
        <w:rPr>
          <w:rFonts w:ascii="Arial" w:hAnsi="Arial" w:cs="Arial"/>
        </w:rPr>
        <w:t>600 indicateurs regroup</w:t>
      </w:r>
      <w:r w:rsidR="0022340D">
        <w:rPr>
          <w:rFonts w:ascii="Arial" w:hAnsi="Arial" w:cs="Arial"/>
        </w:rPr>
        <w:t>é</w:t>
      </w:r>
      <w:r w:rsidR="00720130" w:rsidRPr="00CB275A">
        <w:rPr>
          <w:rFonts w:ascii="Arial" w:hAnsi="Arial" w:cs="Arial"/>
        </w:rPr>
        <w:t xml:space="preserve">s en 37 </w:t>
      </w:r>
      <w:r w:rsidR="00ED7179" w:rsidRPr="00CB275A">
        <w:rPr>
          <w:rFonts w:ascii="Arial" w:hAnsi="Arial" w:cs="Arial"/>
        </w:rPr>
        <w:t>thèmes</w:t>
      </w:r>
      <w:r w:rsidR="00720130" w:rsidRPr="00CB275A">
        <w:rPr>
          <w:rFonts w:ascii="Arial" w:hAnsi="Arial" w:cs="Arial"/>
        </w:rPr>
        <w:t xml:space="preserve"> distincts dans la table de description des indicateurs.</w:t>
      </w:r>
      <w:r w:rsidR="00047977" w:rsidRPr="00CB275A">
        <w:rPr>
          <w:rFonts w:ascii="Arial" w:hAnsi="Arial" w:cs="Arial"/>
        </w:rPr>
        <w:t xml:space="preserve"> En </w:t>
      </w:r>
      <w:r w:rsidR="00ED7179" w:rsidRPr="00CB275A">
        <w:rPr>
          <w:rFonts w:ascii="Arial" w:hAnsi="Arial" w:cs="Arial"/>
        </w:rPr>
        <w:t>résum</w:t>
      </w:r>
      <w:r w:rsidR="0022340D">
        <w:rPr>
          <w:rFonts w:ascii="Arial" w:hAnsi="Arial" w:cs="Arial"/>
        </w:rPr>
        <w:t>é</w:t>
      </w:r>
      <w:r w:rsidR="00047977" w:rsidRPr="00CB275A">
        <w:rPr>
          <w:rFonts w:ascii="Arial" w:hAnsi="Arial" w:cs="Arial"/>
        </w:rPr>
        <w:t xml:space="preserve">, nous avions donc </w:t>
      </w:r>
      <w:r w:rsidR="00ED7179" w:rsidRPr="00CB275A">
        <w:rPr>
          <w:rFonts w:ascii="Arial" w:hAnsi="Arial" w:cs="Arial"/>
        </w:rPr>
        <w:t>à</w:t>
      </w:r>
      <w:r w:rsidR="00047977" w:rsidRPr="00CB275A">
        <w:rPr>
          <w:rFonts w:ascii="Arial" w:hAnsi="Arial" w:cs="Arial"/>
        </w:rPr>
        <w:t xml:space="preserve"> notre disposition un jeu de </w:t>
      </w:r>
      <w:r w:rsidR="00ED7179" w:rsidRPr="00CB275A">
        <w:rPr>
          <w:rFonts w:ascii="Arial" w:hAnsi="Arial" w:cs="Arial"/>
        </w:rPr>
        <w:t>données</w:t>
      </w:r>
      <w:r w:rsidR="00047977" w:rsidRPr="00CB275A">
        <w:rPr>
          <w:rFonts w:ascii="Arial" w:hAnsi="Arial" w:cs="Arial"/>
        </w:rPr>
        <w:t xml:space="preserve"> de très grandes dimensions</w:t>
      </w:r>
      <w:r w:rsidR="0022340D">
        <w:rPr>
          <w:rFonts w:ascii="Arial" w:hAnsi="Arial" w:cs="Arial"/>
        </w:rPr>
        <w:t>,</w:t>
      </w:r>
      <w:r w:rsidR="00047977" w:rsidRPr="00CB275A">
        <w:rPr>
          <w:rFonts w:ascii="Arial" w:hAnsi="Arial" w:cs="Arial"/>
        </w:rPr>
        <w:t xml:space="preserve"> mais </w:t>
      </w:r>
      <w:r w:rsidR="0022340D">
        <w:rPr>
          <w:rFonts w:ascii="Arial" w:hAnsi="Arial" w:cs="Arial"/>
        </w:rPr>
        <w:t>à</w:t>
      </w:r>
      <w:r w:rsidR="00047977" w:rsidRPr="00CB275A">
        <w:rPr>
          <w:rFonts w:ascii="Arial" w:hAnsi="Arial" w:cs="Arial"/>
        </w:rPr>
        <w:t xml:space="preserve"> la pertinence discutable et d’une </w:t>
      </w:r>
      <w:r w:rsidR="00ED7179" w:rsidRPr="00CB275A">
        <w:rPr>
          <w:rFonts w:ascii="Arial" w:hAnsi="Arial" w:cs="Arial"/>
        </w:rPr>
        <w:t>qualité</w:t>
      </w:r>
      <w:r w:rsidR="00047977" w:rsidRPr="00CB275A">
        <w:rPr>
          <w:rFonts w:ascii="Arial" w:hAnsi="Arial" w:cs="Arial"/>
        </w:rPr>
        <w:t xml:space="preserve"> </w:t>
      </w:r>
      <w:r w:rsidR="00ED7179" w:rsidRPr="00CB275A">
        <w:rPr>
          <w:rFonts w:ascii="Arial" w:hAnsi="Arial" w:cs="Arial"/>
        </w:rPr>
        <w:t>médiocre</w:t>
      </w:r>
      <w:r w:rsidR="00047977" w:rsidRPr="00CB275A">
        <w:rPr>
          <w:rFonts w:ascii="Arial" w:hAnsi="Arial" w:cs="Arial"/>
        </w:rPr>
        <w:t>.</w:t>
      </w:r>
    </w:p>
    <w:p w14:paraId="76B79C2B" w14:textId="77777777" w:rsidR="001F3CD3" w:rsidRPr="00CB275A" w:rsidRDefault="001F3CD3" w:rsidP="00CB275A">
      <w:pPr>
        <w:spacing w:line="360" w:lineRule="auto"/>
        <w:jc w:val="both"/>
        <w:rPr>
          <w:rFonts w:ascii="Arial" w:hAnsi="Arial" w:cs="Arial"/>
        </w:rPr>
      </w:pPr>
    </w:p>
    <w:p w14:paraId="582CBCC4" w14:textId="0BAFF077" w:rsidR="001F3CD3" w:rsidRPr="009F572A" w:rsidRDefault="001F3CD3" w:rsidP="00CB275A">
      <w:pPr>
        <w:spacing w:line="360" w:lineRule="auto"/>
        <w:jc w:val="both"/>
        <w:rPr>
          <w:rFonts w:ascii="Arial" w:hAnsi="Arial" w:cs="Arial"/>
          <w:b/>
          <w:bCs/>
        </w:rPr>
      </w:pPr>
      <w:r w:rsidRPr="009F572A">
        <w:rPr>
          <w:rFonts w:ascii="Arial" w:hAnsi="Arial" w:cs="Arial"/>
          <w:b/>
          <w:bCs/>
        </w:rPr>
        <w:t>[SLIDE 6]</w:t>
      </w:r>
    </w:p>
    <w:p w14:paraId="6F0FCF6F" w14:textId="573DAA1B" w:rsidR="001F3CD3" w:rsidRPr="00CB275A" w:rsidRDefault="00936C0D" w:rsidP="00CB275A">
      <w:pPr>
        <w:spacing w:line="360" w:lineRule="auto"/>
        <w:jc w:val="both"/>
        <w:rPr>
          <w:rFonts w:ascii="Arial" w:hAnsi="Arial" w:cs="Arial"/>
        </w:rPr>
      </w:pPr>
      <w:r w:rsidRPr="00CB275A">
        <w:rPr>
          <w:rFonts w:ascii="Arial" w:hAnsi="Arial" w:cs="Arial"/>
        </w:rPr>
        <w:t xml:space="preserve">Afin de rendre ces </w:t>
      </w:r>
      <w:r w:rsidR="00ED7179" w:rsidRPr="00CB275A">
        <w:rPr>
          <w:rFonts w:ascii="Arial" w:hAnsi="Arial" w:cs="Arial"/>
        </w:rPr>
        <w:t>données</w:t>
      </w:r>
      <w:r w:rsidR="00A733D7">
        <w:rPr>
          <w:rFonts w:ascii="Arial" w:hAnsi="Arial" w:cs="Arial"/>
        </w:rPr>
        <w:t>,</w:t>
      </w:r>
      <w:r w:rsidRPr="00CB275A">
        <w:rPr>
          <w:rFonts w:ascii="Arial" w:hAnsi="Arial" w:cs="Arial"/>
        </w:rPr>
        <w:t xml:space="preserve"> sinon </w:t>
      </w:r>
      <w:r w:rsidR="00ED7179" w:rsidRPr="00CB275A">
        <w:rPr>
          <w:rFonts w:ascii="Arial" w:hAnsi="Arial" w:cs="Arial"/>
        </w:rPr>
        <w:t>idéales</w:t>
      </w:r>
      <w:r w:rsidR="00A733D7">
        <w:rPr>
          <w:rFonts w:ascii="Arial" w:hAnsi="Arial" w:cs="Arial"/>
        </w:rPr>
        <w:t>,</w:t>
      </w:r>
      <w:r w:rsidRPr="00CB275A">
        <w:rPr>
          <w:rFonts w:ascii="Arial" w:hAnsi="Arial" w:cs="Arial"/>
        </w:rPr>
        <w:t xml:space="preserve"> au moins utilisables pour notre analyse, nous avons effectu</w:t>
      </w:r>
      <w:r w:rsidR="00A733D7">
        <w:rPr>
          <w:rFonts w:ascii="Arial" w:hAnsi="Arial" w:cs="Arial"/>
        </w:rPr>
        <w:t>é</w:t>
      </w:r>
      <w:r w:rsidRPr="00CB275A">
        <w:rPr>
          <w:rFonts w:ascii="Arial" w:hAnsi="Arial" w:cs="Arial"/>
        </w:rPr>
        <w:t xml:space="preserve"> un certain nombre de retraitements communs lors de nos </w:t>
      </w:r>
      <w:r w:rsidR="00ED7179" w:rsidRPr="00CB275A">
        <w:rPr>
          <w:rFonts w:ascii="Arial" w:hAnsi="Arial" w:cs="Arial"/>
        </w:rPr>
        <w:t>opérations</w:t>
      </w:r>
      <w:r w:rsidRPr="00CB275A">
        <w:rPr>
          <w:rFonts w:ascii="Arial" w:hAnsi="Arial" w:cs="Arial"/>
        </w:rPr>
        <w:t xml:space="preserve"> d’exploration et de </w:t>
      </w:r>
      <w:r w:rsidR="00ED7179" w:rsidRPr="00CB275A">
        <w:rPr>
          <w:rFonts w:ascii="Arial" w:hAnsi="Arial" w:cs="Arial"/>
        </w:rPr>
        <w:t>nettoyage</w:t>
      </w:r>
      <w:r w:rsidRPr="00CB275A">
        <w:rPr>
          <w:rFonts w:ascii="Arial" w:hAnsi="Arial" w:cs="Arial"/>
        </w:rPr>
        <w:t xml:space="preserve">, consistant bien évidemment </w:t>
      </w:r>
      <w:r w:rsidR="00ED7179" w:rsidRPr="00CB275A">
        <w:rPr>
          <w:rFonts w:ascii="Arial" w:hAnsi="Arial" w:cs="Arial"/>
        </w:rPr>
        <w:t>à</w:t>
      </w:r>
      <w:r w:rsidRPr="00CB275A">
        <w:rPr>
          <w:rFonts w:ascii="Arial" w:hAnsi="Arial" w:cs="Arial"/>
        </w:rPr>
        <w:t xml:space="preserve"> importer les fichiers et </w:t>
      </w:r>
      <w:r w:rsidR="00ED7179" w:rsidRPr="00CB275A">
        <w:rPr>
          <w:rFonts w:ascii="Arial" w:hAnsi="Arial" w:cs="Arial"/>
        </w:rPr>
        <w:t>à</w:t>
      </w:r>
      <w:r w:rsidRPr="00CB275A">
        <w:rPr>
          <w:rFonts w:ascii="Arial" w:hAnsi="Arial" w:cs="Arial"/>
        </w:rPr>
        <w:t xml:space="preserve"> examiner un </w:t>
      </w:r>
      <w:r w:rsidR="00ED7179" w:rsidRPr="00CB275A">
        <w:rPr>
          <w:rFonts w:ascii="Arial" w:hAnsi="Arial" w:cs="Arial"/>
        </w:rPr>
        <w:t>échantillon</w:t>
      </w:r>
      <w:r w:rsidRPr="00CB275A">
        <w:rPr>
          <w:rFonts w:ascii="Arial" w:hAnsi="Arial" w:cs="Arial"/>
        </w:rPr>
        <w:t xml:space="preserve"> de leur </w:t>
      </w:r>
      <w:r w:rsidR="00ED7179" w:rsidRPr="00CB275A">
        <w:rPr>
          <w:rFonts w:ascii="Arial" w:hAnsi="Arial" w:cs="Arial"/>
        </w:rPr>
        <w:t>contenu</w:t>
      </w:r>
      <w:r w:rsidRPr="00CB275A">
        <w:rPr>
          <w:rFonts w:ascii="Arial" w:hAnsi="Arial" w:cs="Arial"/>
        </w:rPr>
        <w:t xml:space="preserve"> sur les quelques premières lignes, </w:t>
      </w:r>
      <w:r w:rsidRPr="00CB275A">
        <w:rPr>
          <w:rFonts w:ascii="Arial" w:hAnsi="Arial" w:cs="Arial"/>
        </w:rPr>
        <w:lastRenderedPageBreak/>
        <w:t xml:space="preserve">mais aussi </w:t>
      </w:r>
      <w:r w:rsidR="00A733D7">
        <w:rPr>
          <w:rFonts w:ascii="Arial" w:hAnsi="Arial" w:cs="Arial"/>
        </w:rPr>
        <w:t>à</w:t>
      </w:r>
      <w:r w:rsidRPr="00CB275A">
        <w:rPr>
          <w:rFonts w:ascii="Arial" w:hAnsi="Arial" w:cs="Arial"/>
        </w:rPr>
        <w:t xml:space="preserve"> en décrire les dimensions, </w:t>
      </w:r>
      <w:r w:rsidR="00A733D7">
        <w:rPr>
          <w:rFonts w:ascii="Arial" w:hAnsi="Arial" w:cs="Arial"/>
        </w:rPr>
        <w:t>à</w:t>
      </w:r>
      <w:r w:rsidRPr="00CB275A">
        <w:rPr>
          <w:rFonts w:ascii="Arial" w:hAnsi="Arial" w:cs="Arial"/>
        </w:rPr>
        <w:t xml:space="preserve"> en caractériser la </w:t>
      </w:r>
      <w:r w:rsidR="00ED7179" w:rsidRPr="00CB275A">
        <w:rPr>
          <w:rFonts w:ascii="Arial" w:hAnsi="Arial" w:cs="Arial"/>
        </w:rPr>
        <w:t>distribution</w:t>
      </w:r>
      <w:r w:rsidRPr="00CB275A">
        <w:rPr>
          <w:rFonts w:ascii="Arial" w:hAnsi="Arial" w:cs="Arial"/>
        </w:rPr>
        <w:t xml:space="preserve"> des valeurs manquantes et la </w:t>
      </w:r>
      <w:r w:rsidR="00ED7179" w:rsidRPr="00CB275A">
        <w:rPr>
          <w:rFonts w:ascii="Arial" w:hAnsi="Arial" w:cs="Arial"/>
        </w:rPr>
        <w:t>présence</w:t>
      </w:r>
      <w:r w:rsidRPr="00CB275A">
        <w:rPr>
          <w:rFonts w:ascii="Arial" w:hAnsi="Arial" w:cs="Arial"/>
        </w:rPr>
        <w:t xml:space="preserve"> de doublons, </w:t>
      </w:r>
      <w:r w:rsidR="00ED7179" w:rsidRPr="00CB275A">
        <w:rPr>
          <w:rFonts w:ascii="Arial" w:hAnsi="Arial" w:cs="Arial"/>
        </w:rPr>
        <w:t>à</w:t>
      </w:r>
      <w:r w:rsidRPr="00CB275A">
        <w:rPr>
          <w:rFonts w:ascii="Arial" w:hAnsi="Arial" w:cs="Arial"/>
        </w:rPr>
        <w:t xml:space="preserve"> en déterminer les </w:t>
      </w:r>
      <w:r w:rsidR="00ED7179" w:rsidRPr="00CB275A">
        <w:rPr>
          <w:rFonts w:ascii="Arial" w:hAnsi="Arial" w:cs="Arial"/>
        </w:rPr>
        <w:t>clés</w:t>
      </w:r>
      <w:r w:rsidRPr="00CB275A">
        <w:rPr>
          <w:rFonts w:ascii="Arial" w:hAnsi="Arial" w:cs="Arial"/>
        </w:rPr>
        <w:t xml:space="preserve"> primaires et </w:t>
      </w:r>
      <w:r w:rsidR="00ED7179" w:rsidRPr="00CB275A">
        <w:rPr>
          <w:rFonts w:ascii="Arial" w:hAnsi="Arial" w:cs="Arial"/>
        </w:rPr>
        <w:t>étrangères</w:t>
      </w:r>
      <w:r w:rsidRPr="00CB275A">
        <w:rPr>
          <w:rFonts w:ascii="Arial" w:hAnsi="Arial" w:cs="Arial"/>
        </w:rPr>
        <w:t xml:space="preserve"> en vue de jointures entre les </w:t>
      </w:r>
      <w:r w:rsidR="00A733D7">
        <w:rPr>
          <w:rFonts w:ascii="Arial" w:hAnsi="Arial" w:cs="Arial"/>
        </w:rPr>
        <w:t xml:space="preserve">différentes </w:t>
      </w:r>
      <w:r w:rsidRPr="00CB275A">
        <w:rPr>
          <w:rFonts w:ascii="Arial" w:hAnsi="Arial" w:cs="Arial"/>
        </w:rPr>
        <w:t xml:space="preserve">tables et enfin </w:t>
      </w:r>
      <w:r w:rsidR="00ED7179" w:rsidRPr="00CB275A">
        <w:rPr>
          <w:rFonts w:ascii="Arial" w:hAnsi="Arial" w:cs="Arial"/>
        </w:rPr>
        <w:t>à</w:t>
      </w:r>
      <w:r w:rsidRPr="00CB275A">
        <w:rPr>
          <w:rFonts w:ascii="Arial" w:hAnsi="Arial" w:cs="Arial"/>
        </w:rPr>
        <w:t xml:space="preserve"> vérifier et </w:t>
      </w:r>
      <w:r w:rsidR="00A733D7">
        <w:rPr>
          <w:rFonts w:ascii="Arial" w:hAnsi="Arial" w:cs="Arial"/>
        </w:rPr>
        <w:t xml:space="preserve">à </w:t>
      </w:r>
      <w:r w:rsidRPr="00CB275A">
        <w:rPr>
          <w:rFonts w:ascii="Arial" w:hAnsi="Arial" w:cs="Arial"/>
        </w:rPr>
        <w:t xml:space="preserve">corriger le </w:t>
      </w:r>
      <w:r w:rsidR="00ED7179" w:rsidRPr="00CB275A">
        <w:rPr>
          <w:rFonts w:ascii="Arial" w:hAnsi="Arial" w:cs="Arial"/>
        </w:rPr>
        <w:t>type casting</w:t>
      </w:r>
      <w:r w:rsidRPr="00CB275A">
        <w:rPr>
          <w:rFonts w:ascii="Arial" w:hAnsi="Arial" w:cs="Arial"/>
        </w:rPr>
        <w:t xml:space="preserve"> des colonnes</w:t>
      </w:r>
      <w:r w:rsidR="00A733D7">
        <w:rPr>
          <w:rFonts w:ascii="Arial" w:hAnsi="Arial" w:cs="Arial"/>
        </w:rPr>
        <w:t>,</w:t>
      </w:r>
      <w:r w:rsidRPr="00CB275A">
        <w:rPr>
          <w:rFonts w:ascii="Arial" w:hAnsi="Arial" w:cs="Arial"/>
        </w:rPr>
        <w:t xml:space="preserve"> et </w:t>
      </w:r>
      <w:r w:rsidR="00ED7179" w:rsidRPr="00CB275A">
        <w:rPr>
          <w:rFonts w:ascii="Arial" w:hAnsi="Arial" w:cs="Arial"/>
        </w:rPr>
        <w:t>à</w:t>
      </w:r>
      <w:r w:rsidRPr="00CB275A">
        <w:rPr>
          <w:rFonts w:ascii="Arial" w:hAnsi="Arial" w:cs="Arial"/>
        </w:rPr>
        <w:t xml:space="preserve"> unifier la </w:t>
      </w:r>
      <w:r w:rsidR="00ED7179" w:rsidRPr="00CB275A">
        <w:rPr>
          <w:rFonts w:ascii="Arial" w:hAnsi="Arial" w:cs="Arial"/>
        </w:rPr>
        <w:t>nomenclature</w:t>
      </w:r>
      <w:r w:rsidRPr="00CB275A">
        <w:rPr>
          <w:rFonts w:ascii="Arial" w:hAnsi="Arial" w:cs="Arial"/>
        </w:rPr>
        <w:t xml:space="preserve"> de nommage de celles-ci.</w:t>
      </w:r>
    </w:p>
    <w:p w14:paraId="2A80F58D" w14:textId="77777777" w:rsidR="001F3CD3" w:rsidRPr="00CB275A" w:rsidRDefault="001F3CD3" w:rsidP="00CB275A">
      <w:pPr>
        <w:spacing w:line="360" w:lineRule="auto"/>
        <w:jc w:val="both"/>
        <w:rPr>
          <w:rFonts w:ascii="Arial" w:hAnsi="Arial" w:cs="Arial"/>
        </w:rPr>
      </w:pPr>
    </w:p>
    <w:p w14:paraId="47527F7F" w14:textId="72BE8B43" w:rsidR="001F3CD3" w:rsidRPr="009F572A" w:rsidRDefault="001F3CD3" w:rsidP="00CB275A">
      <w:pPr>
        <w:spacing w:line="360" w:lineRule="auto"/>
        <w:jc w:val="both"/>
        <w:rPr>
          <w:rFonts w:ascii="Arial" w:hAnsi="Arial" w:cs="Arial"/>
          <w:b/>
          <w:bCs/>
        </w:rPr>
      </w:pPr>
      <w:r w:rsidRPr="009F572A">
        <w:rPr>
          <w:rFonts w:ascii="Arial" w:hAnsi="Arial" w:cs="Arial"/>
          <w:b/>
          <w:bCs/>
        </w:rPr>
        <w:t>[SLIDE 7]</w:t>
      </w:r>
    </w:p>
    <w:p w14:paraId="1F95C080" w14:textId="7496228B" w:rsidR="001F3CD3" w:rsidRPr="00CB275A" w:rsidRDefault="00936C0D" w:rsidP="00CB275A">
      <w:pPr>
        <w:spacing w:line="360" w:lineRule="auto"/>
        <w:jc w:val="both"/>
        <w:rPr>
          <w:rFonts w:ascii="Arial" w:hAnsi="Arial" w:cs="Arial"/>
        </w:rPr>
      </w:pPr>
      <w:r w:rsidRPr="00CB275A">
        <w:rPr>
          <w:rFonts w:ascii="Arial" w:hAnsi="Arial" w:cs="Arial"/>
        </w:rPr>
        <w:t xml:space="preserve">Ces </w:t>
      </w:r>
      <w:r w:rsidR="00ED7179" w:rsidRPr="00CB275A">
        <w:rPr>
          <w:rFonts w:ascii="Arial" w:hAnsi="Arial" w:cs="Arial"/>
        </w:rPr>
        <w:t>différentes</w:t>
      </w:r>
      <w:r w:rsidRPr="00CB275A">
        <w:rPr>
          <w:rFonts w:ascii="Arial" w:hAnsi="Arial" w:cs="Arial"/>
        </w:rPr>
        <w:t xml:space="preserve"> </w:t>
      </w:r>
      <w:r w:rsidR="00ED7179" w:rsidRPr="00CB275A">
        <w:rPr>
          <w:rFonts w:ascii="Arial" w:hAnsi="Arial" w:cs="Arial"/>
        </w:rPr>
        <w:t>opérations</w:t>
      </w:r>
      <w:r w:rsidRPr="00CB275A">
        <w:rPr>
          <w:rFonts w:ascii="Arial" w:hAnsi="Arial" w:cs="Arial"/>
        </w:rPr>
        <w:t xml:space="preserve"> nous ont permis, dans la table des pays, d’</w:t>
      </w:r>
      <w:r w:rsidR="00ED7179" w:rsidRPr="00CB275A">
        <w:rPr>
          <w:rFonts w:ascii="Arial" w:hAnsi="Arial" w:cs="Arial"/>
        </w:rPr>
        <w:t>éliminer</w:t>
      </w:r>
      <w:r w:rsidRPr="00CB275A">
        <w:rPr>
          <w:rFonts w:ascii="Arial" w:hAnsi="Arial" w:cs="Arial"/>
        </w:rPr>
        <w:t xml:space="preserve"> les valeurs manquantes</w:t>
      </w:r>
      <w:r w:rsidR="00340C7A" w:rsidRPr="00CB275A">
        <w:rPr>
          <w:rFonts w:ascii="Arial" w:hAnsi="Arial" w:cs="Arial"/>
        </w:rPr>
        <w:t xml:space="preserve">, </w:t>
      </w:r>
      <w:r w:rsidR="00ED7179" w:rsidRPr="00CB275A">
        <w:rPr>
          <w:rFonts w:ascii="Arial" w:hAnsi="Arial" w:cs="Arial"/>
        </w:rPr>
        <w:t>représentées</w:t>
      </w:r>
      <w:r w:rsidR="00340C7A" w:rsidRPr="00CB275A">
        <w:rPr>
          <w:rFonts w:ascii="Arial" w:hAnsi="Arial" w:cs="Arial"/>
        </w:rPr>
        <w:t xml:space="preserve"> ici par les barres jaunes sur le graphique de gauche,</w:t>
      </w:r>
      <w:r w:rsidRPr="00CB275A">
        <w:rPr>
          <w:rFonts w:ascii="Arial" w:hAnsi="Arial" w:cs="Arial"/>
        </w:rPr>
        <w:t xml:space="preserve"> ainsi que les colonnes de </w:t>
      </w:r>
      <w:r w:rsidR="00ED7179" w:rsidRPr="00CB275A">
        <w:rPr>
          <w:rFonts w:ascii="Arial" w:hAnsi="Arial" w:cs="Arial"/>
        </w:rPr>
        <w:t>données</w:t>
      </w:r>
      <w:r w:rsidRPr="00CB275A">
        <w:rPr>
          <w:rFonts w:ascii="Arial" w:hAnsi="Arial" w:cs="Arial"/>
        </w:rPr>
        <w:t xml:space="preserve"> </w:t>
      </w:r>
      <w:r w:rsidR="00ED7179" w:rsidRPr="00CB275A">
        <w:rPr>
          <w:rFonts w:ascii="Arial" w:hAnsi="Arial" w:cs="Arial"/>
        </w:rPr>
        <w:t>géopolitiques</w:t>
      </w:r>
      <w:r w:rsidRPr="00CB275A">
        <w:rPr>
          <w:rFonts w:ascii="Arial" w:hAnsi="Arial" w:cs="Arial"/>
        </w:rPr>
        <w:t xml:space="preserve"> non pertinentes pour notre analyse</w:t>
      </w:r>
      <w:r w:rsidR="00340C7A" w:rsidRPr="00CB275A">
        <w:rPr>
          <w:rFonts w:ascii="Arial" w:hAnsi="Arial" w:cs="Arial"/>
        </w:rPr>
        <w:t xml:space="preserve"> ; nous avons aussi </w:t>
      </w:r>
      <w:r w:rsidR="00ED7179" w:rsidRPr="00CB275A">
        <w:rPr>
          <w:rFonts w:ascii="Arial" w:hAnsi="Arial" w:cs="Arial"/>
        </w:rPr>
        <w:t>éliminé</w:t>
      </w:r>
      <w:r w:rsidR="00340C7A" w:rsidRPr="00CB275A">
        <w:rPr>
          <w:rFonts w:ascii="Arial" w:hAnsi="Arial" w:cs="Arial"/>
        </w:rPr>
        <w:t xml:space="preserve"> </w:t>
      </w:r>
      <w:r w:rsidRPr="00CB275A">
        <w:rPr>
          <w:rFonts w:ascii="Arial" w:hAnsi="Arial" w:cs="Arial"/>
        </w:rPr>
        <w:t>un certain nombre de pays, typiquement les pays en guerre</w:t>
      </w:r>
      <w:r w:rsidR="00340C7A" w:rsidRPr="00CB275A">
        <w:rPr>
          <w:rFonts w:ascii="Arial" w:hAnsi="Arial" w:cs="Arial"/>
        </w:rPr>
        <w:t xml:space="preserve"> ou soumis </w:t>
      </w:r>
      <w:r w:rsidR="0072429C">
        <w:rPr>
          <w:rFonts w:ascii="Arial" w:hAnsi="Arial" w:cs="Arial"/>
        </w:rPr>
        <w:t>à</w:t>
      </w:r>
      <w:r w:rsidR="00340C7A" w:rsidRPr="00CB275A">
        <w:rPr>
          <w:rFonts w:ascii="Arial" w:hAnsi="Arial" w:cs="Arial"/>
        </w:rPr>
        <w:t xml:space="preserve"> des sanctions internationales, ou les lignes correspondant en fait </w:t>
      </w:r>
      <w:r w:rsidR="00ED7179" w:rsidRPr="00CB275A">
        <w:rPr>
          <w:rFonts w:ascii="Arial" w:hAnsi="Arial" w:cs="Arial"/>
        </w:rPr>
        <w:t>à</w:t>
      </w:r>
      <w:r w:rsidR="00340C7A" w:rsidRPr="00CB275A">
        <w:rPr>
          <w:rFonts w:ascii="Arial" w:hAnsi="Arial" w:cs="Arial"/>
        </w:rPr>
        <w:t xml:space="preserve"> des </w:t>
      </w:r>
      <w:r w:rsidR="00ED7179" w:rsidRPr="00CB275A">
        <w:rPr>
          <w:rFonts w:ascii="Arial" w:hAnsi="Arial" w:cs="Arial"/>
        </w:rPr>
        <w:t>groupements</w:t>
      </w:r>
      <w:r w:rsidR="00340C7A" w:rsidRPr="00CB275A">
        <w:rPr>
          <w:rFonts w:ascii="Arial" w:hAnsi="Arial" w:cs="Arial"/>
        </w:rPr>
        <w:t xml:space="preserve"> de pays, pour ne conserver que 167 pays uniques et 4 colonnes de </w:t>
      </w:r>
      <w:r w:rsidR="00ED7179" w:rsidRPr="00CB275A">
        <w:rPr>
          <w:rFonts w:ascii="Arial" w:hAnsi="Arial" w:cs="Arial"/>
        </w:rPr>
        <w:t>données</w:t>
      </w:r>
      <w:r w:rsidR="00340C7A" w:rsidRPr="00CB275A">
        <w:rPr>
          <w:rFonts w:ascii="Arial" w:hAnsi="Arial" w:cs="Arial"/>
        </w:rPr>
        <w:t xml:space="preserve"> descriptives.</w:t>
      </w:r>
    </w:p>
    <w:p w14:paraId="4DF0B4F0" w14:textId="4700EDB6" w:rsidR="000744C6" w:rsidRDefault="000744C6">
      <w:pPr>
        <w:rPr>
          <w:rFonts w:ascii="Arial" w:hAnsi="Arial" w:cs="Arial"/>
        </w:rPr>
      </w:pPr>
    </w:p>
    <w:p w14:paraId="42F2123D" w14:textId="551A038E" w:rsidR="001F3CD3" w:rsidRPr="009F572A" w:rsidRDefault="001F3CD3" w:rsidP="00CB275A">
      <w:pPr>
        <w:spacing w:line="360" w:lineRule="auto"/>
        <w:jc w:val="both"/>
        <w:rPr>
          <w:rFonts w:ascii="Arial" w:hAnsi="Arial" w:cs="Arial"/>
          <w:b/>
          <w:bCs/>
        </w:rPr>
      </w:pPr>
      <w:r w:rsidRPr="009F572A">
        <w:rPr>
          <w:rFonts w:ascii="Arial" w:hAnsi="Arial" w:cs="Arial"/>
          <w:b/>
          <w:bCs/>
        </w:rPr>
        <w:t>[SLIDE 8]</w:t>
      </w:r>
    </w:p>
    <w:p w14:paraId="293C5A1A" w14:textId="38E79DBC" w:rsidR="001F3CD3" w:rsidRPr="00CB275A" w:rsidRDefault="00462198" w:rsidP="00CB275A">
      <w:pPr>
        <w:spacing w:line="360" w:lineRule="auto"/>
        <w:jc w:val="both"/>
        <w:rPr>
          <w:rFonts w:ascii="Arial" w:hAnsi="Arial" w:cs="Arial"/>
        </w:rPr>
      </w:pPr>
      <w:r w:rsidRPr="00CB275A">
        <w:rPr>
          <w:rFonts w:ascii="Arial" w:hAnsi="Arial" w:cs="Arial"/>
        </w:rPr>
        <w:t xml:space="preserve">La distribution </w:t>
      </w:r>
      <w:r w:rsidR="00ED7179" w:rsidRPr="00CB275A">
        <w:rPr>
          <w:rFonts w:ascii="Arial" w:hAnsi="Arial" w:cs="Arial"/>
        </w:rPr>
        <w:t>géographique</w:t>
      </w:r>
      <w:r w:rsidRPr="00CB275A">
        <w:rPr>
          <w:rFonts w:ascii="Arial" w:hAnsi="Arial" w:cs="Arial"/>
        </w:rPr>
        <w:t xml:space="preserve"> et </w:t>
      </w:r>
      <w:r w:rsidR="00ED7179" w:rsidRPr="00CB275A">
        <w:rPr>
          <w:rFonts w:ascii="Arial" w:hAnsi="Arial" w:cs="Arial"/>
        </w:rPr>
        <w:t>économique</w:t>
      </w:r>
      <w:r w:rsidRPr="00CB275A">
        <w:rPr>
          <w:rFonts w:ascii="Arial" w:hAnsi="Arial" w:cs="Arial"/>
        </w:rPr>
        <w:t xml:space="preserve"> des pays que nous avons </w:t>
      </w:r>
      <w:r w:rsidR="00ED7179" w:rsidRPr="00CB275A">
        <w:rPr>
          <w:rFonts w:ascii="Arial" w:hAnsi="Arial" w:cs="Arial"/>
        </w:rPr>
        <w:t>conserv</w:t>
      </w:r>
      <w:r w:rsidR="0072429C">
        <w:rPr>
          <w:rFonts w:ascii="Arial" w:hAnsi="Arial" w:cs="Arial"/>
        </w:rPr>
        <w:t>é</w:t>
      </w:r>
      <w:r w:rsidR="00ED7179" w:rsidRPr="00CB275A">
        <w:rPr>
          <w:rFonts w:ascii="Arial" w:hAnsi="Arial" w:cs="Arial"/>
        </w:rPr>
        <w:t>s</w:t>
      </w:r>
      <w:r w:rsidRPr="00CB275A">
        <w:rPr>
          <w:rFonts w:ascii="Arial" w:hAnsi="Arial" w:cs="Arial"/>
        </w:rPr>
        <w:t xml:space="preserve"> dans notre analyse est </w:t>
      </w:r>
      <w:r w:rsidR="00ED7179" w:rsidRPr="00CB275A">
        <w:rPr>
          <w:rFonts w:ascii="Arial" w:hAnsi="Arial" w:cs="Arial"/>
        </w:rPr>
        <w:t>représentée</w:t>
      </w:r>
      <w:r w:rsidRPr="00CB275A">
        <w:rPr>
          <w:rFonts w:ascii="Arial" w:hAnsi="Arial" w:cs="Arial"/>
        </w:rPr>
        <w:t xml:space="preserve"> sur ces 2 graphiques, avec </w:t>
      </w:r>
      <w:r w:rsidR="00ED7179" w:rsidRPr="00CB275A">
        <w:rPr>
          <w:rFonts w:ascii="Arial" w:hAnsi="Arial" w:cs="Arial"/>
        </w:rPr>
        <w:t>à</w:t>
      </w:r>
      <w:r w:rsidRPr="00CB275A">
        <w:rPr>
          <w:rFonts w:ascii="Arial" w:hAnsi="Arial" w:cs="Arial"/>
        </w:rPr>
        <w:t xml:space="preserve"> </w:t>
      </w:r>
      <w:r w:rsidR="00A23ADB">
        <w:rPr>
          <w:rFonts w:ascii="Arial" w:hAnsi="Arial" w:cs="Arial"/>
        </w:rPr>
        <w:t>gauche</w:t>
      </w:r>
      <w:r w:rsidRPr="00CB275A">
        <w:rPr>
          <w:rFonts w:ascii="Arial" w:hAnsi="Arial" w:cs="Arial"/>
        </w:rPr>
        <w:t xml:space="preserve">, la répartition des pays par </w:t>
      </w:r>
      <w:r w:rsidR="0072429C">
        <w:rPr>
          <w:rFonts w:ascii="Arial" w:hAnsi="Arial" w:cs="Arial"/>
        </w:rPr>
        <w:t>niveau de revenus</w:t>
      </w:r>
      <w:r w:rsidRPr="00CB275A">
        <w:rPr>
          <w:rFonts w:ascii="Arial" w:hAnsi="Arial" w:cs="Arial"/>
        </w:rPr>
        <w:t xml:space="preserve">, </w:t>
      </w:r>
      <w:r w:rsidR="00ED7179" w:rsidRPr="00CB275A">
        <w:rPr>
          <w:rFonts w:ascii="Arial" w:hAnsi="Arial" w:cs="Arial"/>
        </w:rPr>
        <w:t>dominée</w:t>
      </w:r>
      <w:r w:rsidRPr="00CB275A">
        <w:rPr>
          <w:rFonts w:ascii="Arial" w:hAnsi="Arial" w:cs="Arial"/>
        </w:rPr>
        <w:t xml:space="preserve"> par les pays </w:t>
      </w:r>
      <w:r w:rsidR="0072429C">
        <w:rPr>
          <w:rFonts w:ascii="Arial" w:hAnsi="Arial" w:cs="Arial"/>
        </w:rPr>
        <w:t>à</w:t>
      </w:r>
      <w:r w:rsidRPr="00CB275A">
        <w:rPr>
          <w:rFonts w:ascii="Arial" w:hAnsi="Arial" w:cs="Arial"/>
        </w:rPr>
        <w:t xml:space="preserve"> haut revenus qui représentent un peu plus de 32% de notre panel de pays, suivis des pays </w:t>
      </w:r>
      <w:r w:rsidR="00ED7179" w:rsidRPr="00CB275A">
        <w:rPr>
          <w:rFonts w:ascii="Arial" w:hAnsi="Arial" w:cs="Arial"/>
        </w:rPr>
        <w:t>à</w:t>
      </w:r>
      <w:r w:rsidRPr="00CB275A">
        <w:rPr>
          <w:rFonts w:ascii="Arial" w:hAnsi="Arial" w:cs="Arial"/>
        </w:rPr>
        <w:t xml:space="preserve"> revenu moyen </w:t>
      </w:r>
      <w:r w:rsidR="00ED7179" w:rsidRPr="00CB275A">
        <w:rPr>
          <w:rFonts w:ascii="Arial" w:hAnsi="Arial" w:cs="Arial"/>
        </w:rPr>
        <w:t>supérieur</w:t>
      </w:r>
      <w:r w:rsidRPr="00CB275A">
        <w:rPr>
          <w:rFonts w:ascii="Arial" w:hAnsi="Arial" w:cs="Arial"/>
        </w:rPr>
        <w:t xml:space="preserve">, qui </w:t>
      </w:r>
      <w:r w:rsidR="0072429C" w:rsidRPr="00CB275A">
        <w:rPr>
          <w:rFonts w:ascii="Arial" w:hAnsi="Arial" w:cs="Arial"/>
        </w:rPr>
        <w:t>r</w:t>
      </w:r>
      <w:r w:rsidR="0072429C">
        <w:rPr>
          <w:rFonts w:ascii="Arial" w:hAnsi="Arial" w:cs="Arial"/>
        </w:rPr>
        <w:t>eprésenten</w:t>
      </w:r>
      <w:r w:rsidR="0072429C" w:rsidRPr="00CB275A">
        <w:rPr>
          <w:rFonts w:ascii="Arial" w:hAnsi="Arial" w:cs="Arial"/>
        </w:rPr>
        <w:t>t</w:t>
      </w:r>
      <w:r w:rsidRPr="00CB275A">
        <w:rPr>
          <w:rFonts w:ascii="Arial" w:hAnsi="Arial" w:cs="Arial"/>
        </w:rPr>
        <w:t xml:space="preserve"> environ 28% d</w:t>
      </w:r>
      <w:r w:rsidR="0072429C">
        <w:rPr>
          <w:rFonts w:ascii="Arial" w:hAnsi="Arial" w:cs="Arial"/>
        </w:rPr>
        <w:t>e</w:t>
      </w:r>
      <w:r w:rsidRPr="00CB275A">
        <w:rPr>
          <w:rFonts w:ascii="Arial" w:hAnsi="Arial" w:cs="Arial"/>
        </w:rPr>
        <w:t xml:space="preserve"> notre </w:t>
      </w:r>
      <w:r w:rsidR="00ED7179" w:rsidRPr="00CB275A">
        <w:rPr>
          <w:rFonts w:ascii="Arial" w:hAnsi="Arial" w:cs="Arial"/>
        </w:rPr>
        <w:t>échantillon</w:t>
      </w:r>
      <w:r w:rsidRPr="00CB275A">
        <w:rPr>
          <w:rFonts w:ascii="Arial" w:hAnsi="Arial" w:cs="Arial"/>
        </w:rPr>
        <w:t xml:space="preserve">. La </w:t>
      </w:r>
      <w:r w:rsidR="00ED7179" w:rsidRPr="00CB275A">
        <w:rPr>
          <w:rFonts w:ascii="Arial" w:hAnsi="Arial" w:cs="Arial"/>
        </w:rPr>
        <w:t>tre</w:t>
      </w:r>
      <w:r w:rsidR="00ED7179">
        <w:rPr>
          <w:rFonts w:ascii="Arial" w:hAnsi="Arial" w:cs="Arial"/>
        </w:rPr>
        <w:t>emap</w:t>
      </w:r>
      <w:r w:rsidRPr="00CB275A">
        <w:rPr>
          <w:rFonts w:ascii="Arial" w:hAnsi="Arial" w:cs="Arial"/>
        </w:rPr>
        <w:t xml:space="preserve"> </w:t>
      </w:r>
      <w:r w:rsidR="00ED7179" w:rsidRPr="00CB275A">
        <w:rPr>
          <w:rFonts w:ascii="Arial" w:hAnsi="Arial" w:cs="Arial"/>
        </w:rPr>
        <w:t>à</w:t>
      </w:r>
      <w:r w:rsidRPr="00CB275A">
        <w:rPr>
          <w:rFonts w:ascii="Arial" w:hAnsi="Arial" w:cs="Arial"/>
        </w:rPr>
        <w:t xml:space="preserve"> droite </w:t>
      </w:r>
      <w:r w:rsidR="00ED7179" w:rsidRPr="00CB275A">
        <w:rPr>
          <w:rFonts w:ascii="Arial" w:hAnsi="Arial" w:cs="Arial"/>
        </w:rPr>
        <w:t>représente</w:t>
      </w:r>
      <w:r w:rsidRPr="00CB275A">
        <w:rPr>
          <w:rFonts w:ascii="Arial" w:hAnsi="Arial" w:cs="Arial"/>
        </w:rPr>
        <w:t xml:space="preserve"> la répartition géographique des différents groupes de revenus, avec </w:t>
      </w:r>
      <w:r w:rsidR="00ED7179" w:rsidRPr="00CB275A">
        <w:rPr>
          <w:rFonts w:ascii="Arial" w:hAnsi="Arial" w:cs="Arial"/>
        </w:rPr>
        <w:t>notamment</w:t>
      </w:r>
      <w:r w:rsidRPr="00CB275A">
        <w:rPr>
          <w:rFonts w:ascii="Arial" w:hAnsi="Arial" w:cs="Arial"/>
        </w:rPr>
        <w:t xml:space="preserve"> </w:t>
      </w:r>
      <w:r w:rsidR="00ED7179" w:rsidRPr="00CB275A">
        <w:rPr>
          <w:rFonts w:ascii="Arial" w:hAnsi="Arial" w:cs="Arial"/>
        </w:rPr>
        <w:t>l’Europe</w:t>
      </w:r>
      <w:r w:rsidRPr="00CB275A">
        <w:rPr>
          <w:rFonts w:ascii="Arial" w:hAnsi="Arial" w:cs="Arial"/>
        </w:rPr>
        <w:t xml:space="preserve"> et </w:t>
      </w:r>
      <w:r w:rsidR="00ED7179" w:rsidRPr="00CB275A">
        <w:rPr>
          <w:rFonts w:ascii="Arial" w:hAnsi="Arial" w:cs="Arial"/>
        </w:rPr>
        <w:t>l’Asie</w:t>
      </w:r>
      <w:r w:rsidRPr="00CB275A">
        <w:rPr>
          <w:rFonts w:ascii="Arial" w:hAnsi="Arial" w:cs="Arial"/>
        </w:rPr>
        <w:t xml:space="preserve"> centrale </w:t>
      </w:r>
      <w:r w:rsidR="00ED7179" w:rsidRPr="00CB275A">
        <w:rPr>
          <w:rFonts w:ascii="Arial" w:hAnsi="Arial" w:cs="Arial"/>
        </w:rPr>
        <w:t>dominées</w:t>
      </w:r>
      <w:r w:rsidRPr="00CB275A">
        <w:rPr>
          <w:rFonts w:ascii="Arial" w:hAnsi="Arial" w:cs="Arial"/>
        </w:rPr>
        <w:t xml:space="preserve"> par les pays </w:t>
      </w:r>
      <w:r w:rsidR="00ED7179" w:rsidRPr="00CB275A">
        <w:rPr>
          <w:rFonts w:ascii="Arial" w:hAnsi="Arial" w:cs="Arial"/>
        </w:rPr>
        <w:t>à</w:t>
      </w:r>
      <w:r w:rsidRPr="00CB275A">
        <w:rPr>
          <w:rFonts w:ascii="Arial" w:hAnsi="Arial" w:cs="Arial"/>
        </w:rPr>
        <w:t xml:space="preserve"> hauts revenus, et </w:t>
      </w:r>
      <w:r w:rsidR="00ED7179" w:rsidRPr="00CB275A">
        <w:rPr>
          <w:rFonts w:ascii="Arial" w:hAnsi="Arial" w:cs="Arial"/>
        </w:rPr>
        <w:t>l’Afrique</w:t>
      </w:r>
      <w:r w:rsidRPr="00CB275A">
        <w:rPr>
          <w:rFonts w:ascii="Arial" w:hAnsi="Arial" w:cs="Arial"/>
        </w:rPr>
        <w:t xml:space="preserve"> sub-saharienne </w:t>
      </w:r>
      <w:r w:rsidR="00ED7179" w:rsidRPr="00CB275A">
        <w:rPr>
          <w:rFonts w:ascii="Arial" w:hAnsi="Arial" w:cs="Arial"/>
        </w:rPr>
        <w:t>dominée</w:t>
      </w:r>
      <w:r w:rsidRPr="00CB275A">
        <w:rPr>
          <w:rFonts w:ascii="Arial" w:hAnsi="Arial" w:cs="Arial"/>
        </w:rPr>
        <w:t xml:space="preserve"> par les pays </w:t>
      </w:r>
      <w:r w:rsidR="00ED7179" w:rsidRPr="00CB275A">
        <w:rPr>
          <w:rFonts w:ascii="Arial" w:hAnsi="Arial" w:cs="Arial"/>
        </w:rPr>
        <w:t>à</w:t>
      </w:r>
      <w:r w:rsidRPr="00CB275A">
        <w:rPr>
          <w:rFonts w:ascii="Arial" w:hAnsi="Arial" w:cs="Arial"/>
        </w:rPr>
        <w:t xml:space="preserve"> bas revenus.</w:t>
      </w:r>
    </w:p>
    <w:p w14:paraId="00D4B546" w14:textId="77777777" w:rsidR="001F3CD3" w:rsidRPr="00CB275A" w:rsidRDefault="001F3CD3" w:rsidP="00CB275A">
      <w:pPr>
        <w:spacing w:line="360" w:lineRule="auto"/>
        <w:jc w:val="both"/>
        <w:rPr>
          <w:rFonts w:ascii="Arial" w:hAnsi="Arial" w:cs="Arial"/>
        </w:rPr>
      </w:pPr>
    </w:p>
    <w:p w14:paraId="5BB2859A" w14:textId="4C260716" w:rsidR="001F3CD3" w:rsidRPr="009F572A" w:rsidRDefault="001F3CD3" w:rsidP="00CB275A">
      <w:pPr>
        <w:spacing w:line="360" w:lineRule="auto"/>
        <w:jc w:val="both"/>
        <w:rPr>
          <w:rFonts w:ascii="Arial" w:hAnsi="Arial" w:cs="Arial"/>
          <w:b/>
          <w:bCs/>
        </w:rPr>
      </w:pPr>
      <w:r w:rsidRPr="009F572A">
        <w:rPr>
          <w:rFonts w:ascii="Arial" w:hAnsi="Arial" w:cs="Arial"/>
          <w:b/>
          <w:bCs/>
        </w:rPr>
        <w:t>[SLIDE 9]</w:t>
      </w:r>
    </w:p>
    <w:p w14:paraId="2680AA99" w14:textId="6FC0ADC9" w:rsidR="001F3CD3" w:rsidRPr="00CB275A" w:rsidRDefault="004451DE" w:rsidP="00CB275A">
      <w:pPr>
        <w:spacing w:line="360" w:lineRule="auto"/>
        <w:jc w:val="both"/>
        <w:rPr>
          <w:rFonts w:ascii="Arial" w:hAnsi="Arial" w:cs="Arial"/>
        </w:rPr>
      </w:pPr>
      <w:r w:rsidRPr="00CB275A">
        <w:rPr>
          <w:rFonts w:ascii="Arial" w:hAnsi="Arial" w:cs="Arial"/>
        </w:rPr>
        <w:t xml:space="preserve">La table des sources de </w:t>
      </w:r>
      <w:r w:rsidR="00DE6412" w:rsidRPr="00CB275A">
        <w:rPr>
          <w:rFonts w:ascii="Arial" w:hAnsi="Arial" w:cs="Arial"/>
        </w:rPr>
        <w:t>donn</w:t>
      </w:r>
      <w:r w:rsidR="00DE6412">
        <w:rPr>
          <w:rFonts w:ascii="Arial" w:hAnsi="Arial" w:cs="Arial"/>
        </w:rPr>
        <w:t>é</w:t>
      </w:r>
      <w:r w:rsidR="00DE6412" w:rsidRPr="00CB275A">
        <w:rPr>
          <w:rFonts w:ascii="Arial" w:hAnsi="Arial" w:cs="Arial"/>
        </w:rPr>
        <w:t>es</w:t>
      </w:r>
      <w:r w:rsidRPr="00CB275A">
        <w:rPr>
          <w:rFonts w:ascii="Arial" w:hAnsi="Arial" w:cs="Arial"/>
        </w:rPr>
        <w:t xml:space="preserve"> par indicateur et par pays contenait l’</w:t>
      </w:r>
      <w:r w:rsidR="00ED7179" w:rsidRPr="00CB275A">
        <w:rPr>
          <w:rFonts w:ascii="Arial" w:hAnsi="Arial" w:cs="Arial"/>
        </w:rPr>
        <w:t>intégralité</w:t>
      </w:r>
      <w:r w:rsidRPr="00CB275A">
        <w:rPr>
          <w:rFonts w:ascii="Arial" w:hAnsi="Arial" w:cs="Arial"/>
        </w:rPr>
        <w:t xml:space="preserve"> de nos 167 pays et 21 indicateurs</w:t>
      </w:r>
      <w:r w:rsidR="00DE6412">
        <w:rPr>
          <w:rFonts w:ascii="Arial" w:hAnsi="Arial" w:cs="Arial"/>
        </w:rPr>
        <w:t xml:space="preserve"> les concernant</w:t>
      </w:r>
      <w:r w:rsidRPr="00CB275A">
        <w:rPr>
          <w:rFonts w:ascii="Arial" w:hAnsi="Arial" w:cs="Arial"/>
        </w:rPr>
        <w:t>, dont nous avons retenu 4 pour l’analyse, même si</w:t>
      </w:r>
      <w:r w:rsidR="00CF5C95" w:rsidRPr="00CB275A">
        <w:rPr>
          <w:rFonts w:ascii="Arial" w:hAnsi="Arial" w:cs="Arial"/>
        </w:rPr>
        <w:t>,</w:t>
      </w:r>
      <w:r w:rsidRPr="00CB275A">
        <w:rPr>
          <w:rFonts w:ascii="Arial" w:hAnsi="Arial" w:cs="Arial"/>
        </w:rPr>
        <w:t xml:space="preserve"> comme on le voit sur le graphique en bas </w:t>
      </w:r>
      <w:r w:rsidR="00ED7179" w:rsidRPr="00CB275A">
        <w:rPr>
          <w:rFonts w:ascii="Arial" w:hAnsi="Arial" w:cs="Arial"/>
        </w:rPr>
        <w:t>à</w:t>
      </w:r>
      <w:r w:rsidRPr="00CB275A">
        <w:rPr>
          <w:rFonts w:ascii="Arial" w:hAnsi="Arial" w:cs="Arial"/>
        </w:rPr>
        <w:t xml:space="preserve"> gauche, la densité </w:t>
      </w:r>
      <w:r w:rsidR="00A23ADB">
        <w:rPr>
          <w:rFonts w:ascii="Arial" w:hAnsi="Arial" w:cs="Arial"/>
        </w:rPr>
        <w:t xml:space="preserve">informationnelle </w:t>
      </w:r>
      <w:r w:rsidRPr="00CB275A">
        <w:rPr>
          <w:rFonts w:ascii="Arial" w:hAnsi="Arial" w:cs="Arial"/>
        </w:rPr>
        <w:t xml:space="preserve">de ces indicateurs varie grandement, seules les </w:t>
      </w:r>
      <w:r w:rsidR="00ED7179" w:rsidRPr="00CB275A">
        <w:rPr>
          <w:rFonts w:ascii="Arial" w:hAnsi="Arial" w:cs="Arial"/>
        </w:rPr>
        <w:t>données</w:t>
      </w:r>
      <w:r w:rsidRPr="00CB275A">
        <w:rPr>
          <w:rFonts w:ascii="Arial" w:hAnsi="Arial" w:cs="Arial"/>
        </w:rPr>
        <w:t xml:space="preserve"> de </w:t>
      </w:r>
      <w:r w:rsidRPr="00CB275A">
        <w:rPr>
          <w:rFonts w:ascii="Arial" w:hAnsi="Arial" w:cs="Arial"/>
        </w:rPr>
        <w:lastRenderedPageBreak/>
        <w:t xml:space="preserve">population existant systématiquement pour tous les pays de notre </w:t>
      </w:r>
      <w:r w:rsidR="00ED7179" w:rsidRPr="00CB275A">
        <w:rPr>
          <w:rFonts w:ascii="Arial" w:hAnsi="Arial" w:cs="Arial"/>
        </w:rPr>
        <w:t>échantillon</w:t>
      </w:r>
      <w:r w:rsidR="00CF5C95" w:rsidRPr="00CB275A">
        <w:rPr>
          <w:rFonts w:ascii="Arial" w:hAnsi="Arial" w:cs="Arial"/>
        </w:rPr>
        <w:t>, les autres indicateurs étant relativement peu renseign</w:t>
      </w:r>
      <w:r w:rsidR="00DE6412">
        <w:rPr>
          <w:rFonts w:ascii="Arial" w:hAnsi="Arial" w:cs="Arial"/>
        </w:rPr>
        <w:t>é</w:t>
      </w:r>
      <w:r w:rsidR="00CF5C95" w:rsidRPr="00CB275A">
        <w:rPr>
          <w:rFonts w:ascii="Arial" w:hAnsi="Arial" w:cs="Arial"/>
        </w:rPr>
        <w:t>s</w:t>
      </w:r>
      <w:r w:rsidRPr="00CB275A">
        <w:rPr>
          <w:rFonts w:ascii="Arial" w:hAnsi="Arial" w:cs="Arial"/>
        </w:rPr>
        <w:t>.</w:t>
      </w:r>
    </w:p>
    <w:p w14:paraId="5525264B" w14:textId="77777777" w:rsidR="001F3CD3" w:rsidRPr="00CB275A" w:rsidRDefault="001F3CD3" w:rsidP="00CB275A">
      <w:pPr>
        <w:spacing w:line="360" w:lineRule="auto"/>
        <w:jc w:val="both"/>
        <w:rPr>
          <w:rFonts w:ascii="Arial" w:hAnsi="Arial" w:cs="Arial"/>
        </w:rPr>
      </w:pPr>
    </w:p>
    <w:p w14:paraId="6ABC3DCF" w14:textId="638A8CB0" w:rsidR="001F3CD3" w:rsidRPr="009F572A" w:rsidRDefault="001F3CD3" w:rsidP="00CB275A">
      <w:pPr>
        <w:spacing w:line="360" w:lineRule="auto"/>
        <w:jc w:val="both"/>
        <w:rPr>
          <w:rFonts w:ascii="Arial" w:hAnsi="Arial" w:cs="Arial"/>
          <w:b/>
          <w:bCs/>
        </w:rPr>
      </w:pPr>
      <w:r w:rsidRPr="009F572A">
        <w:rPr>
          <w:rFonts w:ascii="Arial" w:hAnsi="Arial" w:cs="Arial"/>
          <w:b/>
          <w:bCs/>
        </w:rPr>
        <w:t>[SLIDE 10]</w:t>
      </w:r>
    </w:p>
    <w:p w14:paraId="549F8AE2" w14:textId="0319120D" w:rsidR="001F3CD3" w:rsidRPr="00CB275A" w:rsidRDefault="005B2AEB" w:rsidP="00CB275A">
      <w:pPr>
        <w:spacing w:line="360" w:lineRule="auto"/>
        <w:jc w:val="both"/>
        <w:rPr>
          <w:rFonts w:ascii="Arial" w:hAnsi="Arial" w:cs="Arial"/>
        </w:rPr>
      </w:pPr>
      <w:r w:rsidRPr="00CB275A">
        <w:rPr>
          <w:rFonts w:ascii="Arial" w:hAnsi="Arial" w:cs="Arial"/>
        </w:rPr>
        <w:t>La table de faits contient également nos 167 pays retenus, et plus de 3</w:t>
      </w:r>
      <w:r w:rsidR="00A23ADB">
        <w:rPr>
          <w:rFonts w:ascii="Arial" w:hAnsi="Arial" w:cs="Arial"/>
        </w:rPr>
        <w:t>,</w:t>
      </w:r>
      <w:r w:rsidRPr="00CB275A">
        <w:rPr>
          <w:rFonts w:ascii="Arial" w:hAnsi="Arial" w:cs="Arial"/>
        </w:rPr>
        <w:t xml:space="preserve">600 </w:t>
      </w:r>
      <w:r w:rsidR="00ED7179" w:rsidRPr="00CB275A">
        <w:rPr>
          <w:rFonts w:ascii="Arial" w:hAnsi="Arial" w:cs="Arial"/>
        </w:rPr>
        <w:t>indicateurs</w:t>
      </w:r>
      <w:r w:rsidRPr="00CB275A">
        <w:rPr>
          <w:rFonts w:ascii="Arial" w:hAnsi="Arial" w:cs="Arial"/>
        </w:rPr>
        <w:t xml:space="preserve"> couvrant une période de 1970</w:t>
      </w:r>
      <w:r w:rsidR="00DE6412">
        <w:rPr>
          <w:rFonts w:ascii="Arial" w:hAnsi="Arial" w:cs="Arial"/>
        </w:rPr>
        <w:t xml:space="preserve"> </w:t>
      </w:r>
      <w:r w:rsidR="00DE6412" w:rsidRPr="00CB275A">
        <w:rPr>
          <w:rFonts w:ascii="Arial" w:hAnsi="Arial" w:cs="Arial"/>
        </w:rPr>
        <w:t>à</w:t>
      </w:r>
      <w:r w:rsidRPr="00CB275A">
        <w:rPr>
          <w:rFonts w:ascii="Arial" w:hAnsi="Arial" w:cs="Arial"/>
        </w:rPr>
        <w:t xml:space="preserve"> 2100, avec comme on l’a dit une proportion très importante de </w:t>
      </w:r>
      <w:r w:rsidR="00ED7179" w:rsidRPr="00CB275A">
        <w:rPr>
          <w:rFonts w:ascii="Arial" w:hAnsi="Arial" w:cs="Arial"/>
        </w:rPr>
        <w:t>données</w:t>
      </w:r>
      <w:r w:rsidRPr="00CB275A">
        <w:rPr>
          <w:rFonts w:ascii="Arial" w:hAnsi="Arial" w:cs="Arial"/>
        </w:rPr>
        <w:t xml:space="preserve"> manquantes ; on observe néanmoins un </w:t>
      </w:r>
      <w:r w:rsidR="00DE6412">
        <w:rPr>
          <w:rFonts w:ascii="Arial" w:hAnsi="Arial" w:cs="Arial"/>
        </w:rPr>
        <w:t>« </w:t>
      </w:r>
      <w:r w:rsidRPr="00CB275A">
        <w:rPr>
          <w:rFonts w:ascii="Arial" w:hAnsi="Arial" w:cs="Arial"/>
        </w:rPr>
        <w:t xml:space="preserve">pic » de </w:t>
      </w:r>
      <w:r w:rsidR="00ED7179" w:rsidRPr="00CB275A">
        <w:rPr>
          <w:rFonts w:ascii="Arial" w:hAnsi="Arial" w:cs="Arial"/>
        </w:rPr>
        <w:t>données</w:t>
      </w:r>
      <w:r w:rsidRPr="00CB275A">
        <w:rPr>
          <w:rFonts w:ascii="Arial" w:hAnsi="Arial" w:cs="Arial"/>
        </w:rPr>
        <w:t xml:space="preserve"> tous les 5 ans </w:t>
      </w:r>
      <w:r w:rsidR="00ED7179" w:rsidRPr="00CB275A">
        <w:rPr>
          <w:rFonts w:ascii="Arial" w:hAnsi="Arial" w:cs="Arial"/>
        </w:rPr>
        <w:t>matérialis</w:t>
      </w:r>
      <w:r w:rsidR="00DE6412">
        <w:rPr>
          <w:rFonts w:ascii="Arial" w:hAnsi="Arial" w:cs="Arial"/>
        </w:rPr>
        <w:t>é</w:t>
      </w:r>
      <w:r w:rsidRPr="00CB275A">
        <w:rPr>
          <w:rFonts w:ascii="Arial" w:hAnsi="Arial" w:cs="Arial"/>
        </w:rPr>
        <w:t xml:space="preserve"> par les flèches rouges sur le graphique de gauche. Nous avons donc choisi dans un premier temps de retenir les années de ces pics pour notre analyse historique, ce qui par ailleurs est </w:t>
      </w:r>
      <w:r w:rsidR="00ED7179" w:rsidRPr="00CB275A">
        <w:rPr>
          <w:rFonts w:ascii="Arial" w:hAnsi="Arial" w:cs="Arial"/>
        </w:rPr>
        <w:t>cohérent</w:t>
      </w:r>
      <w:r w:rsidRPr="00CB275A">
        <w:rPr>
          <w:rFonts w:ascii="Arial" w:hAnsi="Arial" w:cs="Arial"/>
        </w:rPr>
        <w:t xml:space="preserve"> avec les </w:t>
      </w:r>
      <w:r w:rsidR="00ED7179" w:rsidRPr="00CB275A">
        <w:rPr>
          <w:rFonts w:ascii="Arial" w:hAnsi="Arial" w:cs="Arial"/>
        </w:rPr>
        <w:t>données</w:t>
      </w:r>
      <w:r w:rsidRPr="00CB275A">
        <w:rPr>
          <w:rFonts w:ascii="Arial" w:hAnsi="Arial" w:cs="Arial"/>
        </w:rPr>
        <w:t xml:space="preserve"> </w:t>
      </w:r>
      <w:r w:rsidR="00ED7179" w:rsidRPr="00CB275A">
        <w:rPr>
          <w:rFonts w:ascii="Arial" w:hAnsi="Arial" w:cs="Arial"/>
        </w:rPr>
        <w:t>prévisionnelles</w:t>
      </w:r>
      <w:r w:rsidRPr="00CB275A">
        <w:rPr>
          <w:rFonts w:ascii="Arial" w:hAnsi="Arial" w:cs="Arial"/>
        </w:rPr>
        <w:t xml:space="preserve"> </w:t>
      </w:r>
      <w:r w:rsidR="00ED7179" w:rsidRPr="00CB275A">
        <w:rPr>
          <w:rFonts w:ascii="Arial" w:hAnsi="Arial" w:cs="Arial"/>
        </w:rPr>
        <w:t>présentes</w:t>
      </w:r>
      <w:r w:rsidRPr="00CB275A">
        <w:rPr>
          <w:rFonts w:ascii="Arial" w:hAnsi="Arial" w:cs="Arial"/>
        </w:rPr>
        <w:t xml:space="preserve"> dans cette table qui sont </w:t>
      </w:r>
      <w:r w:rsidR="00A23ADB">
        <w:rPr>
          <w:rFonts w:ascii="Arial" w:hAnsi="Arial" w:cs="Arial"/>
        </w:rPr>
        <w:t>fournies</w:t>
      </w:r>
      <w:r w:rsidRPr="00CB275A">
        <w:rPr>
          <w:rFonts w:ascii="Arial" w:hAnsi="Arial" w:cs="Arial"/>
        </w:rPr>
        <w:t xml:space="preserve"> tous les 5 ans entre 2020 et 2100.</w:t>
      </w:r>
    </w:p>
    <w:p w14:paraId="1BA696A5" w14:textId="77777777" w:rsidR="001F3CD3" w:rsidRPr="00CB275A" w:rsidRDefault="001F3CD3" w:rsidP="00CB275A">
      <w:pPr>
        <w:spacing w:line="360" w:lineRule="auto"/>
        <w:jc w:val="both"/>
        <w:rPr>
          <w:rFonts w:ascii="Arial" w:hAnsi="Arial" w:cs="Arial"/>
        </w:rPr>
      </w:pPr>
    </w:p>
    <w:p w14:paraId="529C185F" w14:textId="7B7195BF" w:rsidR="001F3CD3" w:rsidRPr="009F572A" w:rsidRDefault="001F3CD3" w:rsidP="00CB275A">
      <w:pPr>
        <w:spacing w:line="360" w:lineRule="auto"/>
        <w:jc w:val="both"/>
        <w:rPr>
          <w:rFonts w:ascii="Arial" w:hAnsi="Arial" w:cs="Arial"/>
          <w:b/>
          <w:bCs/>
        </w:rPr>
      </w:pPr>
      <w:r w:rsidRPr="009F572A">
        <w:rPr>
          <w:rFonts w:ascii="Arial" w:hAnsi="Arial" w:cs="Arial"/>
          <w:b/>
          <w:bCs/>
        </w:rPr>
        <w:t>[SLIDE 11]</w:t>
      </w:r>
    </w:p>
    <w:p w14:paraId="2F6B9308" w14:textId="4B7D987A" w:rsidR="001F3CD3" w:rsidRPr="00CB275A" w:rsidRDefault="00CA004A" w:rsidP="00CB275A">
      <w:pPr>
        <w:spacing w:line="360" w:lineRule="auto"/>
        <w:jc w:val="both"/>
        <w:rPr>
          <w:rFonts w:ascii="Arial" w:hAnsi="Arial" w:cs="Arial"/>
        </w:rPr>
      </w:pPr>
      <w:r w:rsidRPr="00CB275A">
        <w:rPr>
          <w:rFonts w:ascii="Arial" w:hAnsi="Arial" w:cs="Arial"/>
        </w:rPr>
        <w:t xml:space="preserve">La table des notes </w:t>
      </w:r>
      <w:r w:rsidR="00ED7179" w:rsidRPr="00CB275A">
        <w:rPr>
          <w:rFonts w:ascii="Arial" w:hAnsi="Arial" w:cs="Arial"/>
        </w:rPr>
        <w:t>méthodologiques</w:t>
      </w:r>
      <w:r w:rsidRPr="00CB275A">
        <w:rPr>
          <w:rFonts w:ascii="Arial" w:hAnsi="Arial" w:cs="Arial"/>
        </w:rPr>
        <w:t xml:space="preserve"> quant </w:t>
      </w:r>
      <w:r w:rsidR="00ED7179" w:rsidRPr="00CB275A">
        <w:rPr>
          <w:rFonts w:ascii="Arial" w:hAnsi="Arial" w:cs="Arial"/>
        </w:rPr>
        <w:t>à</w:t>
      </w:r>
      <w:r w:rsidRPr="00CB275A">
        <w:rPr>
          <w:rFonts w:ascii="Arial" w:hAnsi="Arial" w:cs="Arial"/>
        </w:rPr>
        <w:t xml:space="preserve"> elle, si elle contient bien également les 167 pays retenus, </w:t>
      </w:r>
      <w:r w:rsidR="00ED7179" w:rsidRPr="00CB275A">
        <w:rPr>
          <w:rFonts w:ascii="Arial" w:hAnsi="Arial" w:cs="Arial"/>
        </w:rPr>
        <w:t>présente</w:t>
      </w:r>
      <w:r w:rsidRPr="00CB275A">
        <w:rPr>
          <w:rFonts w:ascii="Arial" w:hAnsi="Arial" w:cs="Arial"/>
        </w:rPr>
        <w:t xml:space="preserve"> une grande </w:t>
      </w:r>
      <w:r w:rsidR="00ED7179" w:rsidRPr="00CB275A">
        <w:rPr>
          <w:rFonts w:ascii="Arial" w:hAnsi="Arial" w:cs="Arial"/>
        </w:rPr>
        <w:t>variabilité</w:t>
      </w:r>
      <w:r w:rsidRPr="00CB275A">
        <w:rPr>
          <w:rFonts w:ascii="Arial" w:hAnsi="Arial" w:cs="Arial"/>
        </w:rPr>
        <w:t xml:space="preserve"> des informations disponibles pour chaque année, </w:t>
      </w:r>
      <w:r w:rsidR="00ED7179" w:rsidRPr="00CB275A">
        <w:rPr>
          <w:rFonts w:ascii="Arial" w:hAnsi="Arial" w:cs="Arial"/>
        </w:rPr>
        <w:t>matérialisée</w:t>
      </w:r>
      <w:r w:rsidRPr="00CB275A">
        <w:rPr>
          <w:rFonts w:ascii="Arial" w:hAnsi="Arial" w:cs="Arial"/>
        </w:rPr>
        <w:t xml:space="preserve"> ici par le graphique en bas </w:t>
      </w:r>
      <w:r w:rsidR="00CD234F">
        <w:rPr>
          <w:rFonts w:ascii="Arial" w:hAnsi="Arial" w:cs="Arial"/>
        </w:rPr>
        <w:t>à</w:t>
      </w:r>
      <w:r w:rsidRPr="00CB275A">
        <w:rPr>
          <w:rFonts w:ascii="Arial" w:hAnsi="Arial" w:cs="Arial"/>
        </w:rPr>
        <w:t xml:space="preserve"> gauche, sur lequel on voit 2 « pics » d’information en 2003 et 2012, avec une information quasi-inexistante </w:t>
      </w:r>
      <w:r w:rsidR="00ED7179" w:rsidRPr="00CB275A">
        <w:rPr>
          <w:rFonts w:ascii="Arial" w:hAnsi="Arial" w:cs="Arial"/>
        </w:rPr>
        <w:t>à</w:t>
      </w:r>
      <w:r w:rsidRPr="00CB275A">
        <w:rPr>
          <w:rFonts w:ascii="Arial" w:hAnsi="Arial" w:cs="Arial"/>
        </w:rPr>
        <w:t xml:space="preserve"> partir de 2017.</w:t>
      </w:r>
      <w:r w:rsidR="00100089">
        <w:rPr>
          <w:rFonts w:ascii="Arial" w:hAnsi="Arial" w:cs="Arial"/>
        </w:rPr>
        <w:t xml:space="preserve"> Cette table ne couvre par ailleurs qu’un peu plus de 1</w:t>
      </w:r>
      <w:r w:rsidR="009668FE">
        <w:rPr>
          <w:rFonts w:ascii="Arial" w:hAnsi="Arial" w:cs="Arial"/>
        </w:rPr>
        <w:t>,</w:t>
      </w:r>
      <w:r w:rsidR="00100089">
        <w:rPr>
          <w:rFonts w:ascii="Arial" w:hAnsi="Arial" w:cs="Arial"/>
        </w:rPr>
        <w:t>500 indicateurs sur les plus de 3</w:t>
      </w:r>
      <w:r w:rsidR="009668FE">
        <w:rPr>
          <w:rFonts w:ascii="Arial" w:hAnsi="Arial" w:cs="Arial"/>
        </w:rPr>
        <w:t>,</w:t>
      </w:r>
      <w:r w:rsidR="00100089">
        <w:rPr>
          <w:rFonts w:ascii="Arial" w:hAnsi="Arial" w:cs="Arial"/>
        </w:rPr>
        <w:t xml:space="preserve">600 </w:t>
      </w:r>
      <w:r w:rsidR="00784560">
        <w:rPr>
          <w:rFonts w:ascii="Arial" w:hAnsi="Arial" w:cs="Arial"/>
        </w:rPr>
        <w:t>présents</w:t>
      </w:r>
      <w:r w:rsidR="00100089">
        <w:rPr>
          <w:rFonts w:ascii="Arial" w:hAnsi="Arial" w:cs="Arial"/>
        </w:rPr>
        <w:t xml:space="preserve"> dans la table de faits</w:t>
      </w:r>
      <w:r w:rsidR="00784560">
        <w:rPr>
          <w:rFonts w:ascii="Arial" w:hAnsi="Arial" w:cs="Arial"/>
        </w:rPr>
        <w:t>, et aucun des indicateurs prospectifs que nous avons retenus</w:t>
      </w:r>
      <w:r w:rsidR="009668FE">
        <w:rPr>
          <w:rFonts w:ascii="Arial" w:hAnsi="Arial" w:cs="Arial"/>
        </w:rPr>
        <w:t xml:space="preserve"> n’y est représenté</w:t>
      </w:r>
      <w:r w:rsidR="00784560">
        <w:rPr>
          <w:rFonts w:ascii="Arial" w:hAnsi="Arial" w:cs="Arial"/>
        </w:rPr>
        <w:t>.</w:t>
      </w:r>
    </w:p>
    <w:p w14:paraId="1934492A" w14:textId="77777777" w:rsidR="00CA004A" w:rsidRPr="00CB275A" w:rsidRDefault="00CA004A" w:rsidP="00CB275A">
      <w:pPr>
        <w:spacing w:line="360" w:lineRule="auto"/>
        <w:jc w:val="both"/>
        <w:rPr>
          <w:rFonts w:ascii="Arial" w:hAnsi="Arial" w:cs="Arial"/>
        </w:rPr>
      </w:pPr>
    </w:p>
    <w:p w14:paraId="495FDD1D" w14:textId="0B2F7082" w:rsidR="001F3CD3" w:rsidRPr="009F572A" w:rsidRDefault="001F3CD3" w:rsidP="00CB275A">
      <w:pPr>
        <w:spacing w:line="360" w:lineRule="auto"/>
        <w:jc w:val="both"/>
        <w:rPr>
          <w:rFonts w:ascii="Arial" w:hAnsi="Arial" w:cs="Arial"/>
          <w:b/>
          <w:bCs/>
        </w:rPr>
      </w:pPr>
      <w:r w:rsidRPr="009F572A">
        <w:rPr>
          <w:rFonts w:ascii="Arial" w:hAnsi="Arial" w:cs="Arial"/>
          <w:b/>
          <w:bCs/>
        </w:rPr>
        <w:t>[SLIDE 12]</w:t>
      </w:r>
    </w:p>
    <w:p w14:paraId="4FBBE62D" w14:textId="5B500DFD" w:rsidR="009F7970" w:rsidRPr="00CB275A" w:rsidRDefault="005D6F53" w:rsidP="00CB275A">
      <w:pPr>
        <w:spacing w:line="360" w:lineRule="auto"/>
        <w:jc w:val="both"/>
        <w:rPr>
          <w:rFonts w:ascii="Arial" w:hAnsi="Arial" w:cs="Arial"/>
        </w:rPr>
      </w:pPr>
      <w:r w:rsidRPr="00CB275A">
        <w:rPr>
          <w:rFonts w:ascii="Arial" w:hAnsi="Arial" w:cs="Arial"/>
        </w:rPr>
        <w:t xml:space="preserve">Enfin concernant la table de description et classement des indicateurs par </w:t>
      </w:r>
      <w:r w:rsidR="00ED7179" w:rsidRPr="00CB275A">
        <w:rPr>
          <w:rFonts w:ascii="Arial" w:hAnsi="Arial" w:cs="Arial"/>
        </w:rPr>
        <w:t>thèmes</w:t>
      </w:r>
      <w:r w:rsidRPr="00CB275A">
        <w:rPr>
          <w:rFonts w:ascii="Arial" w:hAnsi="Arial" w:cs="Arial"/>
        </w:rPr>
        <w:t xml:space="preserve">, on note ici encore une forte proportion de valeurs manquantes </w:t>
      </w:r>
      <w:r w:rsidR="00CD234F">
        <w:rPr>
          <w:rFonts w:ascii="Arial" w:hAnsi="Arial" w:cs="Arial"/>
        </w:rPr>
        <w:t>mais</w:t>
      </w:r>
      <w:r w:rsidRPr="00CB275A">
        <w:rPr>
          <w:rFonts w:ascii="Arial" w:hAnsi="Arial" w:cs="Arial"/>
        </w:rPr>
        <w:t xml:space="preserve"> aussi une très grande </w:t>
      </w:r>
      <w:r w:rsidR="00ED7179" w:rsidRPr="00CB275A">
        <w:rPr>
          <w:rFonts w:ascii="Arial" w:hAnsi="Arial" w:cs="Arial"/>
        </w:rPr>
        <w:t>inégalité</w:t>
      </w:r>
      <w:r w:rsidRPr="00CB275A">
        <w:rPr>
          <w:rFonts w:ascii="Arial" w:hAnsi="Arial" w:cs="Arial"/>
        </w:rPr>
        <w:t xml:space="preserve"> de répartition des </w:t>
      </w:r>
      <w:r w:rsidR="00ED7179" w:rsidRPr="00CB275A">
        <w:rPr>
          <w:rFonts w:ascii="Arial" w:hAnsi="Arial" w:cs="Arial"/>
        </w:rPr>
        <w:t>indicateurs</w:t>
      </w:r>
      <w:r w:rsidRPr="00CB275A">
        <w:rPr>
          <w:rFonts w:ascii="Arial" w:hAnsi="Arial" w:cs="Arial"/>
        </w:rPr>
        <w:t xml:space="preserve"> par </w:t>
      </w:r>
      <w:r w:rsidR="00ED7179" w:rsidRPr="00CB275A">
        <w:rPr>
          <w:rFonts w:ascii="Arial" w:hAnsi="Arial" w:cs="Arial"/>
        </w:rPr>
        <w:t>thème</w:t>
      </w:r>
      <w:r w:rsidRPr="00CB275A">
        <w:rPr>
          <w:rFonts w:ascii="Arial" w:hAnsi="Arial" w:cs="Arial"/>
        </w:rPr>
        <w:t>,</w:t>
      </w:r>
      <w:r w:rsidR="009668FE">
        <w:rPr>
          <w:rFonts w:ascii="Arial" w:hAnsi="Arial" w:cs="Arial"/>
        </w:rPr>
        <w:t xml:space="preserve"> visible ici sur le graphique de droite,</w:t>
      </w:r>
      <w:r w:rsidRPr="00CB275A">
        <w:rPr>
          <w:rFonts w:ascii="Arial" w:hAnsi="Arial" w:cs="Arial"/>
        </w:rPr>
        <w:t xml:space="preserve"> allant d’1 seul </w:t>
      </w:r>
      <w:r w:rsidR="00ED7179" w:rsidRPr="00CB275A">
        <w:rPr>
          <w:rFonts w:ascii="Arial" w:hAnsi="Arial" w:cs="Arial"/>
        </w:rPr>
        <w:t>indicateur</w:t>
      </w:r>
      <w:r w:rsidRPr="00CB275A">
        <w:rPr>
          <w:rFonts w:ascii="Arial" w:hAnsi="Arial" w:cs="Arial"/>
        </w:rPr>
        <w:t xml:space="preserve"> pour certains </w:t>
      </w:r>
      <w:r w:rsidR="00ED7179" w:rsidRPr="00CB275A">
        <w:rPr>
          <w:rFonts w:ascii="Arial" w:hAnsi="Arial" w:cs="Arial"/>
        </w:rPr>
        <w:t>thèmes</w:t>
      </w:r>
      <w:r w:rsidRPr="00CB275A">
        <w:rPr>
          <w:rFonts w:ascii="Arial" w:hAnsi="Arial" w:cs="Arial"/>
        </w:rPr>
        <w:t xml:space="preserve"> </w:t>
      </w:r>
      <w:r w:rsidR="00ED7179" w:rsidRPr="00CB275A">
        <w:rPr>
          <w:rFonts w:ascii="Arial" w:hAnsi="Arial" w:cs="Arial"/>
        </w:rPr>
        <w:t>à</w:t>
      </w:r>
      <w:r w:rsidRPr="00CB275A">
        <w:rPr>
          <w:rFonts w:ascii="Arial" w:hAnsi="Arial" w:cs="Arial"/>
        </w:rPr>
        <w:t xml:space="preserve"> plusieurs centaines voire plus de 1</w:t>
      </w:r>
      <w:r w:rsidR="009668FE">
        <w:rPr>
          <w:rFonts w:ascii="Arial" w:hAnsi="Arial" w:cs="Arial"/>
        </w:rPr>
        <w:t>,</w:t>
      </w:r>
      <w:r w:rsidRPr="00CB275A">
        <w:rPr>
          <w:rFonts w:ascii="Arial" w:hAnsi="Arial" w:cs="Arial"/>
        </w:rPr>
        <w:t>000 pour d’autres.</w:t>
      </w:r>
      <w:r w:rsidR="00363C0D" w:rsidRPr="00CB275A">
        <w:rPr>
          <w:rFonts w:ascii="Arial" w:hAnsi="Arial" w:cs="Arial"/>
        </w:rPr>
        <w:t xml:space="preserve"> </w:t>
      </w:r>
    </w:p>
    <w:p w14:paraId="45BEE0A1" w14:textId="09AC3ECE" w:rsidR="0067106D" w:rsidRDefault="0067106D">
      <w:pPr>
        <w:rPr>
          <w:rFonts w:ascii="Arial" w:hAnsi="Arial" w:cs="Arial"/>
        </w:rPr>
      </w:pPr>
      <w:r>
        <w:rPr>
          <w:rFonts w:ascii="Arial" w:hAnsi="Arial" w:cs="Arial"/>
        </w:rPr>
        <w:br w:type="page"/>
      </w:r>
    </w:p>
    <w:p w14:paraId="6F3F5F22" w14:textId="77777777" w:rsidR="009F7970" w:rsidRPr="009F572A" w:rsidRDefault="009F7970" w:rsidP="00CB275A">
      <w:pPr>
        <w:spacing w:line="360" w:lineRule="auto"/>
        <w:jc w:val="both"/>
        <w:rPr>
          <w:rFonts w:ascii="Arial" w:hAnsi="Arial" w:cs="Arial"/>
          <w:b/>
          <w:bCs/>
        </w:rPr>
      </w:pPr>
      <w:r w:rsidRPr="009F572A">
        <w:rPr>
          <w:rFonts w:ascii="Arial" w:hAnsi="Arial" w:cs="Arial"/>
          <w:b/>
          <w:bCs/>
        </w:rPr>
        <w:lastRenderedPageBreak/>
        <w:t>[SLIDE 13]</w:t>
      </w:r>
    </w:p>
    <w:p w14:paraId="24CFBF8B" w14:textId="78F24C10" w:rsidR="001F3CD3" w:rsidRPr="00CB275A" w:rsidRDefault="00363C0D" w:rsidP="00CB275A">
      <w:pPr>
        <w:spacing w:line="360" w:lineRule="auto"/>
        <w:jc w:val="both"/>
        <w:rPr>
          <w:rFonts w:ascii="Arial" w:hAnsi="Arial" w:cs="Arial"/>
        </w:rPr>
      </w:pPr>
      <w:r w:rsidRPr="00CB275A">
        <w:rPr>
          <w:rFonts w:ascii="Arial" w:hAnsi="Arial" w:cs="Arial"/>
        </w:rPr>
        <w:t xml:space="preserve">Nous avons donc en premier lieu </w:t>
      </w:r>
      <w:r w:rsidR="00ED7179" w:rsidRPr="00CB275A">
        <w:rPr>
          <w:rFonts w:ascii="Arial" w:hAnsi="Arial" w:cs="Arial"/>
        </w:rPr>
        <w:t>choisi</w:t>
      </w:r>
      <w:r w:rsidRPr="00CB275A">
        <w:rPr>
          <w:rFonts w:ascii="Arial" w:hAnsi="Arial" w:cs="Arial"/>
        </w:rPr>
        <w:t xml:space="preserve"> uniquement les </w:t>
      </w:r>
      <w:r w:rsidR="00ED7179" w:rsidRPr="00CB275A">
        <w:rPr>
          <w:rFonts w:ascii="Arial" w:hAnsi="Arial" w:cs="Arial"/>
        </w:rPr>
        <w:t>thèmes</w:t>
      </w:r>
      <w:r w:rsidRPr="00CB275A">
        <w:rPr>
          <w:rFonts w:ascii="Arial" w:hAnsi="Arial" w:cs="Arial"/>
        </w:rPr>
        <w:t xml:space="preserve"> </w:t>
      </w:r>
      <w:r w:rsidR="00ED7179" w:rsidRPr="00CB275A">
        <w:rPr>
          <w:rFonts w:ascii="Arial" w:hAnsi="Arial" w:cs="Arial"/>
        </w:rPr>
        <w:t>pertinents</w:t>
      </w:r>
      <w:r w:rsidRPr="00CB275A">
        <w:rPr>
          <w:rFonts w:ascii="Arial" w:hAnsi="Arial" w:cs="Arial"/>
        </w:rPr>
        <w:t xml:space="preserve"> pour notre analyse, au nombre de 9 sur les</w:t>
      </w:r>
      <w:r w:rsidR="00CD234F">
        <w:rPr>
          <w:rFonts w:ascii="Arial" w:hAnsi="Arial" w:cs="Arial"/>
        </w:rPr>
        <w:t xml:space="preserve"> </w:t>
      </w:r>
      <w:r w:rsidRPr="00CB275A">
        <w:rPr>
          <w:rFonts w:ascii="Arial" w:hAnsi="Arial" w:cs="Arial"/>
        </w:rPr>
        <w:t xml:space="preserve">37 </w:t>
      </w:r>
      <w:r w:rsidR="00ED7179" w:rsidRPr="00CB275A">
        <w:rPr>
          <w:rFonts w:ascii="Arial" w:hAnsi="Arial" w:cs="Arial"/>
        </w:rPr>
        <w:t>thèmes</w:t>
      </w:r>
      <w:r w:rsidRPr="00CB275A">
        <w:rPr>
          <w:rFonts w:ascii="Arial" w:hAnsi="Arial" w:cs="Arial"/>
        </w:rPr>
        <w:t xml:space="preserve"> disponibles au total,</w:t>
      </w:r>
      <w:r w:rsidR="00CD234F">
        <w:rPr>
          <w:rFonts w:ascii="Arial" w:hAnsi="Arial" w:cs="Arial"/>
        </w:rPr>
        <w:t xml:space="preserve"> à savoir : PIB, infrastructure et télécommunications, accès à l’enseignement secondaire et supérieur, à l’éducation et population de 15 à 24 ans, alphabétisation et population totale. Nous</w:t>
      </w:r>
      <w:r w:rsidRPr="00CB275A">
        <w:rPr>
          <w:rFonts w:ascii="Arial" w:hAnsi="Arial" w:cs="Arial"/>
        </w:rPr>
        <w:t xml:space="preserve"> avons </w:t>
      </w:r>
      <w:r w:rsidR="00CD234F">
        <w:rPr>
          <w:rFonts w:ascii="Arial" w:hAnsi="Arial" w:cs="Arial"/>
        </w:rPr>
        <w:t xml:space="preserve">ensuite </w:t>
      </w:r>
      <w:r w:rsidRPr="00CB275A">
        <w:rPr>
          <w:rFonts w:ascii="Arial" w:hAnsi="Arial" w:cs="Arial"/>
        </w:rPr>
        <w:t xml:space="preserve">parcouru la liste des </w:t>
      </w:r>
      <w:r w:rsidR="00ED7179" w:rsidRPr="00CB275A">
        <w:rPr>
          <w:rFonts w:ascii="Arial" w:hAnsi="Arial" w:cs="Arial"/>
        </w:rPr>
        <w:t>définitions</w:t>
      </w:r>
      <w:r w:rsidRPr="00CB275A">
        <w:rPr>
          <w:rFonts w:ascii="Arial" w:hAnsi="Arial" w:cs="Arial"/>
        </w:rPr>
        <w:t xml:space="preserve"> de ces indicateurs pour sélectionner le</w:t>
      </w:r>
      <w:r w:rsidR="00CD234F">
        <w:rPr>
          <w:rFonts w:ascii="Arial" w:hAnsi="Arial" w:cs="Arial"/>
        </w:rPr>
        <w:t>s</w:t>
      </w:r>
      <w:r w:rsidRPr="00CB275A">
        <w:rPr>
          <w:rFonts w:ascii="Arial" w:hAnsi="Arial" w:cs="Arial"/>
        </w:rPr>
        <w:t xml:space="preserve"> plus </w:t>
      </w:r>
      <w:r w:rsidR="00ED7179" w:rsidRPr="00CB275A">
        <w:rPr>
          <w:rFonts w:ascii="Arial" w:hAnsi="Arial" w:cs="Arial"/>
        </w:rPr>
        <w:t>pertinents</w:t>
      </w:r>
      <w:r w:rsidRPr="00CB275A">
        <w:rPr>
          <w:rFonts w:ascii="Arial" w:hAnsi="Arial" w:cs="Arial"/>
        </w:rPr>
        <w:t xml:space="preserve">, parfois en utilisant des </w:t>
      </w:r>
      <w:r w:rsidR="00ED7179" w:rsidRPr="00CB275A">
        <w:rPr>
          <w:rFonts w:ascii="Arial" w:hAnsi="Arial" w:cs="Arial"/>
        </w:rPr>
        <w:t>mots-clés</w:t>
      </w:r>
      <w:r w:rsidRPr="00CB275A">
        <w:rPr>
          <w:rFonts w:ascii="Arial" w:hAnsi="Arial" w:cs="Arial"/>
        </w:rPr>
        <w:t xml:space="preserve"> pour affiner notre </w:t>
      </w:r>
      <w:r w:rsidR="00ED7179" w:rsidRPr="00CB275A">
        <w:rPr>
          <w:rFonts w:ascii="Arial" w:hAnsi="Arial" w:cs="Arial"/>
        </w:rPr>
        <w:t>sélection</w:t>
      </w:r>
      <w:r w:rsidR="00C0397B">
        <w:rPr>
          <w:rFonts w:ascii="Arial" w:hAnsi="Arial" w:cs="Arial"/>
        </w:rPr>
        <w:t xml:space="preserve"> par tranche d’âges</w:t>
      </w:r>
      <w:r w:rsidRPr="00CB275A">
        <w:rPr>
          <w:rFonts w:ascii="Arial" w:hAnsi="Arial" w:cs="Arial"/>
        </w:rPr>
        <w:t xml:space="preserve">. Il faut noter que l’absence d’une </w:t>
      </w:r>
      <w:r w:rsidR="00ED7179" w:rsidRPr="00CB275A">
        <w:rPr>
          <w:rFonts w:ascii="Arial" w:hAnsi="Arial" w:cs="Arial"/>
        </w:rPr>
        <w:t>description</w:t>
      </w:r>
      <w:r w:rsidRPr="00CB275A">
        <w:rPr>
          <w:rFonts w:ascii="Arial" w:hAnsi="Arial" w:cs="Arial"/>
        </w:rPr>
        <w:t xml:space="preserve"> de la méthodologie de nommage des indicateurs ne nous a pas permis d’utiliser une </w:t>
      </w:r>
      <w:r w:rsidR="00ED7179" w:rsidRPr="00CB275A">
        <w:rPr>
          <w:rFonts w:ascii="Arial" w:hAnsi="Arial" w:cs="Arial"/>
        </w:rPr>
        <w:t>méthode</w:t>
      </w:r>
      <w:r w:rsidRPr="00CB275A">
        <w:rPr>
          <w:rFonts w:ascii="Arial" w:hAnsi="Arial" w:cs="Arial"/>
        </w:rPr>
        <w:t xml:space="preserve"> plus efficace de </w:t>
      </w:r>
      <w:r w:rsidR="00ED7179" w:rsidRPr="00CB275A">
        <w:rPr>
          <w:rFonts w:ascii="Arial" w:hAnsi="Arial" w:cs="Arial"/>
        </w:rPr>
        <w:t>sélection</w:t>
      </w:r>
      <w:r w:rsidR="00CD234F">
        <w:rPr>
          <w:rFonts w:ascii="Arial" w:hAnsi="Arial" w:cs="Arial"/>
        </w:rPr>
        <w:t>,</w:t>
      </w:r>
      <w:r w:rsidRPr="00CB275A">
        <w:rPr>
          <w:rFonts w:ascii="Arial" w:hAnsi="Arial" w:cs="Arial"/>
        </w:rPr>
        <w:t xml:space="preserve"> comme les </w:t>
      </w:r>
      <w:proofErr w:type="spellStart"/>
      <w:r w:rsidR="00CD234F">
        <w:rPr>
          <w:rFonts w:ascii="Arial" w:hAnsi="Arial" w:cs="Arial"/>
        </w:rPr>
        <w:t>R</w:t>
      </w:r>
      <w:r w:rsidRPr="00CB275A">
        <w:rPr>
          <w:rFonts w:ascii="Arial" w:hAnsi="Arial" w:cs="Arial"/>
        </w:rPr>
        <w:t>eg</w:t>
      </w:r>
      <w:r w:rsidR="00CD234F">
        <w:rPr>
          <w:rFonts w:ascii="Arial" w:hAnsi="Arial" w:cs="Arial"/>
        </w:rPr>
        <w:t>E</w:t>
      </w:r>
      <w:r w:rsidRPr="00CB275A">
        <w:rPr>
          <w:rFonts w:ascii="Arial" w:hAnsi="Arial" w:cs="Arial"/>
        </w:rPr>
        <w:t>x</w:t>
      </w:r>
      <w:proofErr w:type="spellEnd"/>
      <w:r w:rsidRPr="00CB275A">
        <w:rPr>
          <w:rFonts w:ascii="Arial" w:hAnsi="Arial" w:cs="Arial"/>
        </w:rPr>
        <w:t xml:space="preserve"> par exemple. Cette </w:t>
      </w:r>
      <w:r w:rsidR="00ED7179" w:rsidRPr="00CB275A">
        <w:rPr>
          <w:rFonts w:ascii="Arial" w:hAnsi="Arial" w:cs="Arial"/>
        </w:rPr>
        <w:t>sélection</w:t>
      </w:r>
      <w:r w:rsidRPr="00CB275A">
        <w:rPr>
          <w:rFonts w:ascii="Arial" w:hAnsi="Arial" w:cs="Arial"/>
        </w:rPr>
        <w:t xml:space="preserve"> nous a </w:t>
      </w:r>
      <w:r w:rsidR="00ED7179" w:rsidRPr="00CB275A">
        <w:rPr>
          <w:rFonts w:ascii="Arial" w:hAnsi="Arial" w:cs="Arial"/>
        </w:rPr>
        <w:t>conduits</w:t>
      </w:r>
      <w:r w:rsidRPr="00CB275A">
        <w:rPr>
          <w:rFonts w:ascii="Arial" w:hAnsi="Arial" w:cs="Arial"/>
        </w:rPr>
        <w:t xml:space="preserve"> </w:t>
      </w:r>
      <w:r w:rsidR="00ED7179" w:rsidRPr="00CB275A">
        <w:rPr>
          <w:rFonts w:ascii="Arial" w:hAnsi="Arial" w:cs="Arial"/>
        </w:rPr>
        <w:t>à</w:t>
      </w:r>
      <w:r w:rsidRPr="00CB275A">
        <w:rPr>
          <w:rFonts w:ascii="Arial" w:hAnsi="Arial" w:cs="Arial"/>
        </w:rPr>
        <w:t xml:space="preserve"> retenir 13 </w:t>
      </w:r>
      <w:r w:rsidR="00ED7179" w:rsidRPr="00CB275A">
        <w:rPr>
          <w:rFonts w:ascii="Arial" w:hAnsi="Arial" w:cs="Arial"/>
        </w:rPr>
        <w:t>indicateurs</w:t>
      </w:r>
      <w:r w:rsidRPr="00CB275A">
        <w:rPr>
          <w:rFonts w:ascii="Arial" w:hAnsi="Arial" w:cs="Arial"/>
        </w:rPr>
        <w:t xml:space="preserve"> historiques et 7 </w:t>
      </w:r>
      <w:r w:rsidR="00ED7179" w:rsidRPr="00CB275A">
        <w:rPr>
          <w:rFonts w:ascii="Arial" w:hAnsi="Arial" w:cs="Arial"/>
        </w:rPr>
        <w:t>indicateurs</w:t>
      </w:r>
      <w:r w:rsidRPr="00CB275A">
        <w:rPr>
          <w:rFonts w:ascii="Arial" w:hAnsi="Arial" w:cs="Arial"/>
        </w:rPr>
        <w:t xml:space="preserve"> prospectifs, </w:t>
      </w:r>
      <w:r w:rsidR="00ED7179" w:rsidRPr="00CB275A">
        <w:rPr>
          <w:rFonts w:ascii="Arial" w:hAnsi="Arial" w:cs="Arial"/>
        </w:rPr>
        <w:t>couvrant</w:t>
      </w:r>
      <w:r w:rsidR="00CD234F">
        <w:rPr>
          <w:rFonts w:ascii="Arial" w:hAnsi="Arial" w:cs="Arial"/>
        </w:rPr>
        <w:t xml:space="preserve"> donc</w:t>
      </w:r>
      <w:r w:rsidRPr="00CB275A">
        <w:rPr>
          <w:rFonts w:ascii="Arial" w:hAnsi="Arial" w:cs="Arial"/>
        </w:rPr>
        <w:t xml:space="preserve"> 10 </w:t>
      </w:r>
      <w:r w:rsidR="00ED7179" w:rsidRPr="00CB275A">
        <w:rPr>
          <w:rFonts w:ascii="Arial" w:hAnsi="Arial" w:cs="Arial"/>
        </w:rPr>
        <w:t>thèmes</w:t>
      </w:r>
      <w:r w:rsidRPr="00CB275A">
        <w:rPr>
          <w:rFonts w:ascii="Arial" w:hAnsi="Arial" w:cs="Arial"/>
        </w:rPr>
        <w:t xml:space="preserve"> au total.</w:t>
      </w:r>
    </w:p>
    <w:p w14:paraId="3BBA7F67" w14:textId="77777777" w:rsidR="001F3CD3" w:rsidRPr="00CB275A" w:rsidRDefault="001F3CD3" w:rsidP="00CB275A">
      <w:pPr>
        <w:spacing w:line="360" w:lineRule="auto"/>
        <w:jc w:val="both"/>
        <w:rPr>
          <w:rFonts w:ascii="Arial" w:hAnsi="Arial" w:cs="Arial"/>
        </w:rPr>
      </w:pPr>
    </w:p>
    <w:p w14:paraId="2265F121" w14:textId="77777777" w:rsidR="009F7970" w:rsidRPr="009F572A" w:rsidRDefault="009F7970" w:rsidP="00CB275A">
      <w:pPr>
        <w:spacing w:line="360" w:lineRule="auto"/>
        <w:jc w:val="both"/>
        <w:rPr>
          <w:rFonts w:ascii="Arial" w:hAnsi="Arial" w:cs="Arial"/>
          <w:b/>
          <w:bCs/>
        </w:rPr>
      </w:pPr>
      <w:r w:rsidRPr="009F572A">
        <w:rPr>
          <w:rFonts w:ascii="Arial" w:hAnsi="Arial" w:cs="Arial"/>
          <w:b/>
          <w:bCs/>
        </w:rPr>
        <w:t>[SLIDE 14]</w:t>
      </w:r>
    </w:p>
    <w:p w14:paraId="5B472A06" w14:textId="3DD10B8E" w:rsidR="001F3CD3" w:rsidRPr="00CB275A" w:rsidRDefault="00D17AD5" w:rsidP="00CB275A">
      <w:pPr>
        <w:spacing w:line="360" w:lineRule="auto"/>
        <w:jc w:val="both"/>
        <w:rPr>
          <w:rFonts w:ascii="Arial" w:hAnsi="Arial" w:cs="Arial"/>
        </w:rPr>
      </w:pPr>
      <w:r w:rsidRPr="00CB275A">
        <w:rPr>
          <w:rFonts w:ascii="Arial" w:hAnsi="Arial" w:cs="Arial"/>
        </w:rPr>
        <w:t xml:space="preserve">La table sur cette diapositive </w:t>
      </w:r>
      <w:r w:rsidR="00ED7179" w:rsidRPr="00CB275A">
        <w:rPr>
          <w:rFonts w:ascii="Arial" w:hAnsi="Arial" w:cs="Arial"/>
        </w:rPr>
        <w:t>résume</w:t>
      </w:r>
      <w:r w:rsidRPr="00CB275A">
        <w:rPr>
          <w:rFonts w:ascii="Arial" w:hAnsi="Arial" w:cs="Arial"/>
        </w:rPr>
        <w:t xml:space="preserve"> les </w:t>
      </w:r>
      <w:r w:rsidR="00ED7179" w:rsidRPr="00CB275A">
        <w:rPr>
          <w:rFonts w:ascii="Arial" w:hAnsi="Arial" w:cs="Arial"/>
        </w:rPr>
        <w:t>définitions</w:t>
      </w:r>
      <w:r w:rsidRPr="00CB275A">
        <w:rPr>
          <w:rFonts w:ascii="Arial" w:hAnsi="Arial" w:cs="Arial"/>
        </w:rPr>
        <w:t xml:space="preserve"> des indicateurs historiques retenus, </w:t>
      </w:r>
      <w:r w:rsidR="005C0E9D">
        <w:rPr>
          <w:rFonts w:ascii="Arial" w:hAnsi="Arial" w:cs="Arial"/>
        </w:rPr>
        <w:t>et</w:t>
      </w:r>
      <w:r w:rsidRPr="00CB275A">
        <w:rPr>
          <w:rFonts w:ascii="Arial" w:hAnsi="Arial" w:cs="Arial"/>
        </w:rPr>
        <w:t xml:space="preserve"> est </w:t>
      </w:r>
      <w:r w:rsidR="005C0E9D" w:rsidRPr="00CB275A">
        <w:rPr>
          <w:rFonts w:ascii="Arial" w:hAnsi="Arial" w:cs="Arial"/>
        </w:rPr>
        <w:t>compl</w:t>
      </w:r>
      <w:r w:rsidR="005C0E9D">
        <w:rPr>
          <w:rFonts w:ascii="Arial" w:hAnsi="Arial" w:cs="Arial"/>
        </w:rPr>
        <w:t>étée</w:t>
      </w:r>
      <w:r w:rsidRPr="00CB275A">
        <w:rPr>
          <w:rFonts w:ascii="Arial" w:hAnsi="Arial" w:cs="Arial"/>
        </w:rPr>
        <w:t xml:space="preserve"> comme on l’a </w:t>
      </w:r>
      <w:r w:rsidR="00ED7179" w:rsidRPr="00CB275A">
        <w:rPr>
          <w:rFonts w:ascii="Arial" w:hAnsi="Arial" w:cs="Arial"/>
        </w:rPr>
        <w:t>dit</w:t>
      </w:r>
      <w:r w:rsidRPr="00CB275A">
        <w:rPr>
          <w:rFonts w:ascii="Arial" w:hAnsi="Arial" w:cs="Arial"/>
        </w:rPr>
        <w:t xml:space="preserve"> par …</w:t>
      </w:r>
    </w:p>
    <w:p w14:paraId="056B401D" w14:textId="755969B5" w:rsidR="000744C6" w:rsidRDefault="000744C6">
      <w:pPr>
        <w:rPr>
          <w:rFonts w:ascii="Arial" w:hAnsi="Arial" w:cs="Arial"/>
        </w:rPr>
      </w:pPr>
    </w:p>
    <w:p w14:paraId="6DFBDFCF" w14:textId="77777777" w:rsidR="009F7970" w:rsidRPr="009F572A" w:rsidRDefault="009F7970" w:rsidP="00CB275A">
      <w:pPr>
        <w:spacing w:line="360" w:lineRule="auto"/>
        <w:jc w:val="both"/>
        <w:rPr>
          <w:rFonts w:ascii="Arial" w:hAnsi="Arial" w:cs="Arial"/>
          <w:b/>
          <w:bCs/>
        </w:rPr>
      </w:pPr>
      <w:r w:rsidRPr="009F572A">
        <w:rPr>
          <w:rFonts w:ascii="Arial" w:hAnsi="Arial" w:cs="Arial"/>
          <w:b/>
          <w:bCs/>
        </w:rPr>
        <w:t>[SLIDE 15]</w:t>
      </w:r>
    </w:p>
    <w:p w14:paraId="39E482AE" w14:textId="6E358C58" w:rsidR="001F3CD3" w:rsidRPr="00CB275A" w:rsidRDefault="00D17AD5" w:rsidP="00CB275A">
      <w:pPr>
        <w:spacing w:line="360" w:lineRule="auto"/>
        <w:jc w:val="both"/>
        <w:rPr>
          <w:rFonts w:ascii="Arial" w:hAnsi="Arial" w:cs="Arial"/>
        </w:rPr>
      </w:pPr>
      <w:r w:rsidRPr="00CB275A">
        <w:rPr>
          <w:rFonts w:ascii="Arial" w:hAnsi="Arial" w:cs="Arial"/>
        </w:rPr>
        <w:t xml:space="preserve">… </w:t>
      </w:r>
      <w:r w:rsidR="005C0E9D">
        <w:rPr>
          <w:rFonts w:ascii="Arial" w:hAnsi="Arial" w:cs="Arial"/>
        </w:rPr>
        <w:t xml:space="preserve">les </w:t>
      </w:r>
      <w:r w:rsidRPr="00CB275A">
        <w:rPr>
          <w:rFonts w:ascii="Arial" w:hAnsi="Arial" w:cs="Arial"/>
        </w:rPr>
        <w:t xml:space="preserve">4 indicateurs </w:t>
      </w:r>
      <w:r w:rsidR="00ED7179" w:rsidRPr="00CB275A">
        <w:rPr>
          <w:rFonts w:ascii="Arial" w:hAnsi="Arial" w:cs="Arial"/>
        </w:rPr>
        <w:t>sélectionn</w:t>
      </w:r>
      <w:r w:rsidR="005C0E9D">
        <w:rPr>
          <w:rFonts w:ascii="Arial" w:hAnsi="Arial" w:cs="Arial"/>
        </w:rPr>
        <w:t xml:space="preserve">és </w:t>
      </w:r>
      <w:r w:rsidR="00ED7179" w:rsidRPr="00CB275A">
        <w:rPr>
          <w:rFonts w:ascii="Arial" w:hAnsi="Arial" w:cs="Arial"/>
        </w:rPr>
        <w:t>précédemment</w:t>
      </w:r>
      <w:r w:rsidRPr="00CB275A">
        <w:rPr>
          <w:rFonts w:ascii="Arial" w:hAnsi="Arial" w:cs="Arial"/>
        </w:rPr>
        <w:t xml:space="preserve"> </w:t>
      </w:r>
      <w:r w:rsidR="00ED7179" w:rsidRPr="00CB275A">
        <w:rPr>
          <w:rFonts w:ascii="Arial" w:hAnsi="Arial" w:cs="Arial"/>
        </w:rPr>
        <w:t>à</w:t>
      </w:r>
      <w:r w:rsidRPr="00CB275A">
        <w:rPr>
          <w:rFonts w:ascii="Arial" w:hAnsi="Arial" w:cs="Arial"/>
        </w:rPr>
        <w:t xml:space="preserve"> la </w:t>
      </w:r>
      <w:r w:rsidR="00ED7179" w:rsidRPr="00CB275A">
        <w:rPr>
          <w:rFonts w:ascii="Arial" w:hAnsi="Arial" w:cs="Arial"/>
        </w:rPr>
        <w:t>section</w:t>
      </w:r>
      <w:r w:rsidRPr="00CB275A">
        <w:rPr>
          <w:rFonts w:ascii="Arial" w:hAnsi="Arial" w:cs="Arial"/>
        </w:rPr>
        <w:t xml:space="preserve"> 1.2</w:t>
      </w:r>
      <w:r w:rsidR="005C0E9D">
        <w:rPr>
          <w:rFonts w:ascii="Arial" w:hAnsi="Arial" w:cs="Arial"/>
        </w:rPr>
        <w:t xml:space="preserve"> et qui couvrent, eux, les thèmes du PNB et du PIB par habitant ainsi que la population totale et </w:t>
      </w:r>
      <w:r w:rsidR="004141DC">
        <w:rPr>
          <w:rFonts w:ascii="Arial" w:hAnsi="Arial" w:cs="Arial"/>
        </w:rPr>
        <w:t>son</w:t>
      </w:r>
      <w:r w:rsidR="005C0E9D">
        <w:rPr>
          <w:rFonts w:ascii="Arial" w:hAnsi="Arial" w:cs="Arial"/>
        </w:rPr>
        <w:t xml:space="preserve"> </w:t>
      </w:r>
      <w:r w:rsidR="00C0397B">
        <w:rPr>
          <w:rFonts w:ascii="Arial" w:hAnsi="Arial" w:cs="Arial"/>
        </w:rPr>
        <w:t>t</w:t>
      </w:r>
      <w:r w:rsidR="005C0E9D">
        <w:rPr>
          <w:rFonts w:ascii="Arial" w:hAnsi="Arial" w:cs="Arial"/>
        </w:rPr>
        <w:t>aux de croissance.</w:t>
      </w:r>
      <w:r w:rsidRPr="00CB275A">
        <w:rPr>
          <w:rFonts w:ascii="Arial" w:hAnsi="Arial" w:cs="Arial"/>
        </w:rPr>
        <w:t xml:space="preserve"> En pratique, nos analyses </w:t>
      </w:r>
      <w:r w:rsidR="00ED7179" w:rsidRPr="00CB275A">
        <w:rPr>
          <w:rFonts w:ascii="Arial" w:hAnsi="Arial" w:cs="Arial"/>
        </w:rPr>
        <w:t>graphiques</w:t>
      </w:r>
      <w:r w:rsidRPr="00CB275A">
        <w:rPr>
          <w:rFonts w:ascii="Arial" w:hAnsi="Arial" w:cs="Arial"/>
        </w:rPr>
        <w:t xml:space="preserve"> exploratoires </w:t>
      </w:r>
      <w:r w:rsidR="00ED7179" w:rsidRPr="00CB275A">
        <w:rPr>
          <w:rFonts w:ascii="Arial" w:hAnsi="Arial" w:cs="Arial"/>
        </w:rPr>
        <w:t>révéleront</w:t>
      </w:r>
      <w:r w:rsidRPr="00CB275A">
        <w:rPr>
          <w:rFonts w:ascii="Arial" w:hAnsi="Arial" w:cs="Arial"/>
        </w:rPr>
        <w:t xml:space="preserve"> un taux de remplissage très </w:t>
      </w:r>
      <w:r w:rsidR="00ED7179" w:rsidRPr="00CB275A">
        <w:rPr>
          <w:rFonts w:ascii="Arial" w:hAnsi="Arial" w:cs="Arial"/>
        </w:rPr>
        <w:t>inégal</w:t>
      </w:r>
      <w:r w:rsidRPr="00CB275A">
        <w:rPr>
          <w:rFonts w:ascii="Arial" w:hAnsi="Arial" w:cs="Arial"/>
        </w:rPr>
        <w:t xml:space="preserve"> pour </w:t>
      </w:r>
      <w:r w:rsidR="005C0E9D">
        <w:rPr>
          <w:rFonts w:ascii="Arial" w:hAnsi="Arial" w:cs="Arial"/>
        </w:rPr>
        <w:t>ces</w:t>
      </w:r>
      <w:r w:rsidRPr="00CB275A">
        <w:rPr>
          <w:rFonts w:ascii="Arial" w:hAnsi="Arial" w:cs="Arial"/>
        </w:rPr>
        <w:t xml:space="preserve"> indicateurs, qui nous obligera </w:t>
      </w:r>
      <w:r w:rsidR="00ED7179" w:rsidRPr="00CB275A">
        <w:rPr>
          <w:rFonts w:ascii="Arial" w:hAnsi="Arial" w:cs="Arial"/>
        </w:rPr>
        <w:t>à</w:t>
      </w:r>
      <w:r w:rsidRPr="00CB275A">
        <w:rPr>
          <w:rFonts w:ascii="Arial" w:hAnsi="Arial" w:cs="Arial"/>
        </w:rPr>
        <w:t xml:space="preserve"> en éliminer certains au fur et </w:t>
      </w:r>
      <w:r w:rsidR="005C0E9D">
        <w:rPr>
          <w:rFonts w:ascii="Arial" w:hAnsi="Arial" w:cs="Arial"/>
        </w:rPr>
        <w:t>à</w:t>
      </w:r>
      <w:r w:rsidRPr="00CB275A">
        <w:rPr>
          <w:rFonts w:ascii="Arial" w:hAnsi="Arial" w:cs="Arial"/>
        </w:rPr>
        <w:t xml:space="preserve"> mesure de la progression de notre analyse</w:t>
      </w:r>
      <w:r w:rsidR="005C0E9D">
        <w:rPr>
          <w:rFonts w:ascii="Arial" w:hAnsi="Arial" w:cs="Arial"/>
        </w:rPr>
        <w:t>, et nous passerons donc progressivement de 17 à 5 indicateurs historiques pertinents et suffisamment denses en information pour être utilisables dans notre processus de décision</w:t>
      </w:r>
      <w:r w:rsidRPr="00CB275A">
        <w:rPr>
          <w:rFonts w:ascii="Arial" w:hAnsi="Arial" w:cs="Arial"/>
        </w:rPr>
        <w:t>.</w:t>
      </w:r>
    </w:p>
    <w:p w14:paraId="62669631" w14:textId="77777777" w:rsidR="001F3CD3" w:rsidRPr="00CB275A" w:rsidRDefault="001F3CD3" w:rsidP="00CB275A">
      <w:pPr>
        <w:spacing w:line="360" w:lineRule="auto"/>
        <w:jc w:val="both"/>
        <w:rPr>
          <w:rFonts w:ascii="Arial" w:hAnsi="Arial" w:cs="Arial"/>
        </w:rPr>
      </w:pPr>
    </w:p>
    <w:p w14:paraId="0369BC20" w14:textId="77777777" w:rsidR="009F7970" w:rsidRPr="009F572A" w:rsidRDefault="009F7970" w:rsidP="00CB275A">
      <w:pPr>
        <w:spacing w:line="360" w:lineRule="auto"/>
        <w:jc w:val="both"/>
        <w:rPr>
          <w:rFonts w:ascii="Arial" w:hAnsi="Arial" w:cs="Arial"/>
          <w:b/>
          <w:bCs/>
        </w:rPr>
      </w:pPr>
      <w:r w:rsidRPr="009F572A">
        <w:rPr>
          <w:rFonts w:ascii="Arial" w:hAnsi="Arial" w:cs="Arial"/>
          <w:b/>
          <w:bCs/>
        </w:rPr>
        <w:t>[SLIDE 16]</w:t>
      </w:r>
    </w:p>
    <w:p w14:paraId="5E431F4E" w14:textId="5876A3DE" w:rsidR="001F3CD3" w:rsidRPr="00CB275A" w:rsidRDefault="00AC0EFF" w:rsidP="00CB275A">
      <w:pPr>
        <w:spacing w:line="360" w:lineRule="auto"/>
        <w:jc w:val="both"/>
        <w:rPr>
          <w:rFonts w:ascii="Arial" w:hAnsi="Arial" w:cs="Arial"/>
        </w:rPr>
      </w:pPr>
      <w:r w:rsidRPr="00CB275A">
        <w:rPr>
          <w:rFonts w:ascii="Arial" w:hAnsi="Arial" w:cs="Arial"/>
        </w:rPr>
        <w:t xml:space="preserve">L’analyse </w:t>
      </w:r>
      <w:r w:rsidR="00ED7179" w:rsidRPr="00CB275A">
        <w:rPr>
          <w:rFonts w:ascii="Arial" w:hAnsi="Arial" w:cs="Arial"/>
        </w:rPr>
        <w:t>préalable</w:t>
      </w:r>
      <w:r w:rsidRPr="00CB275A">
        <w:rPr>
          <w:rFonts w:ascii="Arial" w:hAnsi="Arial" w:cs="Arial"/>
        </w:rPr>
        <w:t xml:space="preserve"> de </w:t>
      </w:r>
      <w:r w:rsidR="004B7499">
        <w:rPr>
          <w:rFonts w:ascii="Arial" w:hAnsi="Arial" w:cs="Arial"/>
        </w:rPr>
        <w:t xml:space="preserve">ces </w:t>
      </w:r>
      <w:r w:rsidR="00ED7179" w:rsidRPr="00CB275A">
        <w:rPr>
          <w:rFonts w:ascii="Arial" w:hAnsi="Arial" w:cs="Arial"/>
        </w:rPr>
        <w:t>indicateurs</w:t>
      </w:r>
      <w:r w:rsidRPr="00CB275A">
        <w:rPr>
          <w:rFonts w:ascii="Arial" w:hAnsi="Arial" w:cs="Arial"/>
        </w:rPr>
        <w:t xml:space="preserve"> sur des radar charts fait appara</w:t>
      </w:r>
      <w:r w:rsidR="004B7499">
        <w:rPr>
          <w:rFonts w:ascii="Arial" w:hAnsi="Arial" w:cs="Arial"/>
        </w:rPr>
        <w:t>î</w:t>
      </w:r>
      <w:r w:rsidRPr="00CB275A">
        <w:rPr>
          <w:rFonts w:ascii="Arial" w:hAnsi="Arial" w:cs="Arial"/>
        </w:rPr>
        <w:t xml:space="preserve">tre </w:t>
      </w:r>
      <w:r w:rsidR="00ED7179" w:rsidRPr="00CB275A">
        <w:rPr>
          <w:rFonts w:ascii="Arial" w:hAnsi="Arial" w:cs="Arial"/>
        </w:rPr>
        <w:t>l’Asie</w:t>
      </w:r>
      <w:r w:rsidRPr="00CB275A">
        <w:rPr>
          <w:rFonts w:ascii="Arial" w:hAnsi="Arial" w:cs="Arial"/>
        </w:rPr>
        <w:t xml:space="preserve"> </w:t>
      </w:r>
      <w:r w:rsidR="00C0397B">
        <w:rPr>
          <w:rFonts w:ascii="Arial" w:hAnsi="Arial" w:cs="Arial"/>
        </w:rPr>
        <w:t>O</w:t>
      </w:r>
      <w:r w:rsidRPr="00CB275A">
        <w:rPr>
          <w:rFonts w:ascii="Arial" w:hAnsi="Arial" w:cs="Arial"/>
        </w:rPr>
        <w:t xml:space="preserve">rientale </w:t>
      </w:r>
      <w:r w:rsidR="004B7499">
        <w:rPr>
          <w:rFonts w:ascii="Arial" w:hAnsi="Arial" w:cs="Arial"/>
        </w:rPr>
        <w:t>ainsi que</w:t>
      </w:r>
      <w:r w:rsidRPr="00CB275A">
        <w:rPr>
          <w:rFonts w:ascii="Arial" w:hAnsi="Arial" w:cs="Arial"/>
        </w:rPr>
        <w:t xml:space="preserve"> </w:t>
      </w:r>
      <w:r w:rsidR="00ED7179" w:rsidRPr="00CB275A">
        <w:rPr>
          <w:rFonts w:ascii="Arial" w:hAnsi="Arial" w:cs="Arial"/>
        </w:rPr>
        <w:t>l’Europe</w:t>
      </w:r>
      <w:r w:rsidRPr="00CB275A">
        <w:rPr>
          <w:rFonts w:ascii="Arial" w:hAnsi="Arial" w:cs="Arial"/>
        </w:rPr>
        <w:t xml:space="preserve"> et </w:t>
      </w:r>
      <w:r w:rsidR="00ED7179" w:rsidRPr="00CB275A">
        <w:rPr>
          <w:rFonts w:ascii="Arial" w:hAnsi="Arial" w:cs="Arial"/>
        </w:rPr>
        <w:t>l’Asie</w:t>
      </w:r>
      <w:r w:rsidRPr="00CB275A">
        <w:rPr>
          <w:rFonts w:ascii="Arial" w:hAnsi="Arial" w:cs="Arial"/>
        </w:rPr>
        <w:t xml:space="preserve"> </w:t>
      </w:r>
      <w:r w:rsidR="00C0397B">
        <w:rPr>
          <w:rFonts w:ascii="Arial" w:hAnsi="Arial" w:cs="Arial"/>
        </w:rPr>
        <w:t>C</w:t>
      </w:r>
      <w:r w:rsidRPr="00CB275A">
        <w:rPr>
          <w:rFonts w:ascii="Arial" w:hAnsi="Arial" w:cs="Arial"/>
        </w:rPr>
        <w:t xml:space="preserve">entrale comme des </w:t>
      </w:r>
      <w:r w:rsidR="00ED7179" w:rsidRPr="00CB275A">
        <w:rPr>
          <w:rFonts w:ascii="Arial" w:hAnsi="Arial" w:cs="Arial"/>
        </w:rPr>
        <w:t>régions</w:t>
      </w:r>
      <w:r w:rsidRPr="00CB275A">
        <w:rPr>
          <w:rFonts w:ascii="Arial" w:hAnsi="Arial" w:cs="Arial"/>
        </w:rPr>
        <w:t xml:space="preserve"> d’</w:t>
      </w:r>
      <w:r w:rsidR="00ED7179" w:rsidRPr="00CB275A">
        <w:rPr>
          <w:rFonts w:ascii="Arial" w:hAnsi="Arial" w:cs="Arial"/>
        </w:rPr>
        <w:t>intérêt</w:t>
      </w:r>
      <w:r w:rsidRPr="00CB275A">
        <w:rPr>
          <w:rFonts w:ascii="Arial" w:hAnsi="Arial" w:cs="Arial"/>
        </w:rPr>
        <w:t xml:space="preserve"> </w:t>
      </w:r>
      <w:r w:rsidR="00ED7179" w:rsidRPr="00CB275A">
        <w:rPr>
          <w:rFonts w:ascii="Arial" w:hAnsi="Arial" w:cs="Arial"/>
        </w:rPr>
        <w:t>particulier</w:t>
      </w:r>
      <w:r w:rsidRPr="00CB275A">
        <w:rPr>
          <w:rFonts w:ascii="Arial" w:hAnsi="Arial" w:cs="Arial"/>
        </w:rPr>
        <w:t xml:space="preserve"> sur la période 2000-2015, suivies par l’</w:t>
      </w:r>
      <w:r w:rsidR="00ED7179" w:rsidRPr="00CB275A">
        <w:rPr>
          <w:rFonts w:ascii="Arial" w:hAnsi="Arial" w:cs="Arial"/>
        </w:rPr>
        <w:t>Amérique</w:t>
      </w:r>
      <w:r w:rsidRPr="00CB275A">
        <w:rPr>
          <w:rFonts w:ascii="Arial" w:hAnsi="Arial" w:cs="Arial"/>
        </w:rPr>
        <w:t xml:space="preserve"> </w:t>
      </w:r>
      <w:r w:rsidR="00C0397B">
        <w:rPr>
          <w:rFonts w:ascii="Arial" w:hAnsi="Arial" w:cs="Arial"/>
        </w:rPr>
        <w:t>L</w:t>
      </w:r>
      <w:r w:rsidRPr="00CB275A">
        <w:rPr>
          <w:rFonts w:ascii="Arial" w:hAnsi="Arial" w:cs="Arial"/>
        </w:rPr>
        <w:t xml:space="preserve">atine, qui comble son </w:t>
      </w:r>
      <w:r w:rsidR="00ED7179" w:rsidRPr="00CB275A">
        <w:rPr>
          <w:rFonts w:ascii="Arial" w:hAnsi="Arial" w:cs="Arial"/>
        </w:rPr>
        <w:t>écart</w:t>
      </w:r>
      <w:r w:rsidRPr="00CB275A">
        <w:rPr>
          <w:rFonts w:ascii="Arial" w:hAnsi="Arial" w:cs="Arial"/>
        </w:rPr>
        <w:t xml:space="preserve"> de façon </w:t>
      </w:r>
      <w:r w:rsidRPr="00CB275A">
        <w:rPr>
          <w:rFonts w:ascii="Arial" w:hAnsi="Arial" w:cs="Arial"/>
        </w:rPr>
        <w:lastRenderedPageBreak/>
        <w:t>notable sur cette période du point de vue des indicateurs retenus ici, qui sont le nombre de PC pour 100 habitants, le taux d’</w:t>
      </w:r>
      <w:r w:rsidR="00ED7179" w:rsidRPr="00CB275A">
        <w:rPr>
          <w:rFonts w:ascii="Arial" w:hAnsi="Arial" w:cs="Arial"/>
        </w:rPr>
        <w:t>accès</w:t>
      </w:r>
      <w:r w:rsidRPr="00CB275A">
        <w:rPr>
          <w:rFonts w:ascii="Arial" w:hAnsi="Arial" w:cs="Arial"/>
        </w:rPr>
        <w:t xml:space="preserve"> </w:t>
      </w:r>
      <w:r w:rsidR="00ED7179" w:rsidRPr="00CB275A">
        <w:rPr>
          <w:rFonts w:ascii="Arial" w:hAnsi="Arial" w:cs="Arial"/>
        </w:rPr>
        <w:t>à</w:t>
      </w:r>
      <w:r w:rsidRPr="00CB275A">
        <w:rPr>
          <w:rFonts w:ascii="Arial" w:hAnsi="Arial" w:cs="Arial"/>
        </w:rPr>
        <w:t xml:space="preserve"> internet, les taux de scolarisation dans l’enseignement secondaire et universitaire et le taux d’</w:t>
      </w:r>
      <w:r w:rsidR="00ED7179" w:rsidRPr="00CB275A">
        <w:rPr>
          <w:rFonts w:ascii="Arial" w:hAnsi="Arial" w:cs="Arial"/>
        </w:rPr>
        <w:t>alphabétisation</w:t>
      </w:r>
      <w:r w:rsidRPr="00CB275A">
        <w:rPr>
          <w:rFonts w:ascii="Arial" w:hAnsi="Arial" w:cs="Arial"/>
        </w:rPr>
        <w:t xml:space="preserve">. On voit bien ici comme la </w:t>
      </w:r>
      <w:r w:rsidR="00ED7179" w:rsidRPr="00CB275A">
        <w:rPr>
          <w:rFonts w:ascii="Arial" w:hAnsi="Arial" w:cs="Arial"/>
        </w:rPr>
        <w:t>disponibilité</w:t>
      </w:r>
      <w:r w:rsidRPr="00CB275A">
        <w:rPr>
          <w:rFonts w:ascii="Arial" w:hAnsi="Arial" w:cs="Arial"/>
        </w:rPr>
        <w:t xml:space="preserve"> des </w:t>
      </w:r>
      <w:r w:rsidR="00ED7179" w:rsidRPr="00CB275A">
        <w:rPr>
          <w:rFonts w:ascii="Arial" w:hAnsi="Arial" w:cs="Arial"/>
        </w:rPr>
        <w:t>données</w:t>
      </w:r>
      <w:r w:rsidRPr="00CB275A">
        <w:rPr>
          <w:rFonts w:ascii="Arial" w:hAnsi="Arial" w:cs="Arial"/>
        </w:rPr>
        <w:t xml:space="preserve"> est un </w:t>
      </w:r>
      <w:r w:rsidR="00ED7179" w:rsidRPr="00CB275A">
        <w:rPr>
          <w:rFonts w:ascii="Arial" w:hAnsi="Arial" w:cs="Arial"/>
        </w:rPr>
        <w:t>problème</w:t>
      </w:r>
      <w:r w:rsidRPr="00CB275A">
        <w:rPr>
          <w:rFonts w:ascii="Arial" w:hAnsi="Arial" w:cs="Arial"/>
        </w:rPr>
        <w:t xml:space="preserve"> pour certains </w:t>
      </w:r>
      <w:r w:rsidR="00ED7179" w:rsidRPr="00CB275A">
        <w:rPr>
          <w:rFonts w:ascii="Arial" w:hAnsi="Arial" w:cs="Arial"/>
        </w:rPr>
        <w:t>indicateurs</w:t>
      </w:r>
      <w:r w:rsidRPr="00CB275A">
        <w:rPr>
          <w:rFonts w:ascii="Arial" w:hAnsi="Arial" w:cs="Arial"/>
        </w:rPr>
        <w:t xml:space="preserve">, avec le nombre de PC pour 100 habitants qui n’existe plus </w:t>
      </w:r>
      <w:r w:rsidR="00ED7179" w:rsidRPr="00CB275A">
        <w:rPr>
          <w:rFonts w:ascii="Arial" w:hAnsi="Arial" w:cs="Arial"/>
        </w:rPr>
        <w:t>après</w:t>
      </w:r>
      <w:r w:rsidRPr="00CB275A">
        <w:rPr>
          <w:rFonts w:ascii="Arial" w:hAnsi="Arial" w:cs="Arial"/>
        </w:rPr>
        <w:t xml:space="preserve"> 2010 et qui se </w:t>
      </w:r>
      <w:r w:rsidR="00ED7179" w:rsidRPr="00CB275A">
        <w:rPr>
          <w:rFonts w:ascii="Arial" w:hAnsi="Arial" w:cs="Arial"/>
        </w:rPr>
        <w:t>matérialise</w:t>
      </w:r>
      <w:r w:rsidRPr="00CB275A">
        <w:rPr>
          <w:rFonts w:ascii="Arial" w:hAnsi="Arial" w:cs="Arial"/>
        </w:rPr>
        <w:t xml:space="preserve"> par une ligne droite sur </w:t>
      </w:r>
      <w:r w:rsidR="00ED7179" w:rsidRPr="00CB275A">
        <w:rPr>
          <w:rFonts w:ascii="Arial" w:hAnsi="Arial" w:cs="Arial"/>
        </w:rPr>
        <w:t>le radar</w:t>
      </w:r>
      <w:r w:rsidRPr="00CB275A">
        <w:rPr>
          <w:rFonts w:ascii="Arial" w:hAnsi="Arial" w:cs="Arial"/>
        </w:rPr>
        <w:t xml:space="preserve"> chart</w:t>
      </w:r>
      <w:r w:rsidR="00C0397B">
        <w:rPr>
          <w:rFonts w:ascii="Arial" w:hAnsi="Arial" w:cs="Arial"/>
        </w:rPr>
        <w:t xml:space="preserve"> de l’année 2015</w:t>
      </w:r>
      <w:r w:rsidRPr="00CB275A">
        <w:rPr>
          <w:rFonts w:ascii="Arial" w:hAnsi="Arial" w:cs="Arial"/>
        </w:rPr>
        <w:t xml:space="preserve">. </w:t>
      </w:r>
      <w:r w:rsidR="00CC295B" w:rsidRPr="00CB275A">
        <w:rPr>
          <w:rFonts w:ascii="Arial" w:hAnsi="Arial" w:cs="Arial"/>
        </w:rPr>
        <w:t>Un focus sur l’</w:t>
      </w:r>
      <w:r w:rsidR="00ED7179" w:rsidRPr="00CB275A">
        <w:rPr>
          <w:rFonts w:ascii="Arial" w:hAnsi="Arial" w:cs="Arial"/>
        </w:rPr>
        <w:t>année</w:t>
      </w:r>
      <w:r w:rsidR="00CC295B" w:rsidRPr="00CB275A">
        <w:rPr>
          <w:rFonts w:ascii="Arial" w:hAnsi="Arial" w:cs="Arial"/>
        </w:rPr>
        <w:t xml:space="preserve"> 2015 </w:t>
      </w:r>
      <w:r w:rsidR="00C0397B">
        <w:rPr>
          <w:rFonts w:ascii="Arial" w:hAnsi="Arial" w:cs="Arial"/>
        </w:rPr>
        <w:t xml:space="preserve">sur le graphique du milieu en bas </w:t>
      </w:r>
      <w:r w:rsidR="00CC295B" w:rsidRPr="00CB275A">
        <w:rPr>
          <w:rFonts w:ascii="Arial" w:hAnsi="Arial" w:cs="Arial"/>
        </w:rPr>
        <w:t xml:space="preserve">montre que </w:t>
      </w:r>
      <w:r w:rsidR="00ED7179" w:rsidRPr="00CB275A">
        <w:rPr>
          <w:rFonts w:ascii="Arial" w:hAnsi="Arial" w:cs="Arial"/>
        </w:rPr>
        <w:t>l’Asie</w:t>
      </w:r>
      <w:r w:rsidR="00CC295B" w:rsidRPr="00CB275A">
        <w:rPr>
          <w:rFonts w:ascii="Arial" w:hAnsi="Arial" w:cs="Arial"/>
        </w:rPr>
        <w:t xml:space="preserve"> </w:t>
      </w:r>
      <w:r w:rsidR="00C0397B">
        <w:rPr>
          <w:rFonts w:ascii="Arial" w:hAnsi="Arial" w:cs="Arial"/>
        </w:rPr>
        <w:t>O</w:t>
      </w:r>
      <w:r w:rsidR="00CC295B" w:rsidRPr="00CB275A">
        <w:rPr>
          <w:rFonts w:ascii="Arial" w:hAnsi="Arial" w:cs="Arial"/>
        </w:rPr>
        <w:t xml:space="preserve">rientale et </w:t>
      </w:r>
      <w:r w:rsidR="00C0397B">
        <w:rPr>
          <w:rFonts w:ascii="Arial" w:hAnsi="Arial" w:cs="Arial"/>
        </w:rPr>
        <w:t>M</w:t>
      </w:r>
      <w:r w:rsidR="00ED7179" w:rsidRPr="00CB275A">
        <w:rPr>
          <w:rFonts w:ascii="Arial" w:hAnsi="Arial" w:cs="Arial"/>
        </w:rPr>
        <w:t>éridionale</w:t>
      </w:r>
      <w:r w:rsidR="00CC295B" w:rsidRPr="00CB275A">
        <w:rPr>
          <w:rFonts w:ascii="Arial" w:hAnsi="Arial" w:cs="Arial"/>
        </w:rPr>
        <w:t xml:space="preserve"> </w:t>
      </w:r>
      <w:r w:rsidR="00C0397B">
        <w:rPr>
          <w:rFonts w:ascii="Arial" w:hAnsi="Arial" w:cs="Arial"/>
        </w:rPr>
        <w:t>ont</w:t>
      </w:r>
      <w:r w:rsidR="00CC295B" w:rsidRPr="00CB275A">
        <w:rPr>
          <w:rFonts w:ascii="Arial" w:hAnsi="Arial" w:cs="Arial"/>
        </w:rPr>
        <w:t xml:space="preserve"> </w:t>
      </w:r>
      <w:r w:rsidR="00ED7179" w:rsidRPr="00CB275A">
        <w:rPr>
          <w:rFonts w:ascii="Arial" w:hAnsi="Arial" w:cs="Arial"/>
        </w:rPr>
        <w:t>les plus fortes populations totales</w:t>
      </w:r>
      <w:r w:rsidR="00CC295B" w:rsidRPr="00CB275A">
        <w:rPr>
          <w:rFonts w:ascii="Arial" w:hAnsi="Arial" w:cs="Arial"/>
        </w:rPr>
        <w:t xml:space="preserve">, et que la </w:t>
      </w:r>
      <w:r w:rsidR="00ED7179" w:rsidRPr="00CB275A">
        <w:rPr>
          <w:rFonts w:ascii="Arial" w:hAnsi="Arial" w:cs="Arial"/>
        </w:rPr>
        <w:t>croissance</w:t>
      </w:r>
      <w:r w:rsidR="00CC295B" w:rsidRPr="00CB275A">
        <w:rPr>
          <w:rFonts w:ascii="Arial" w:hAnsi="Arial" w:cs="Arial"/>
        </w:rPr>
        <w:t xml:space="preserve"> de la population la plus forte est </w:t>
      </w:r>
      <w:r w:rsidR="00ED7179" w:rsidRPr="00CB275A">
        <w:rPr>
          <w:rFonts w:ascii="Arial" w:hAnsi="Arial" w:cs="Arial"/>
        </w:rPr>
        <w:t>observée</w:t>
      </w:r>
      <w:r w:rsidR="00CC295B" w:rsidRPr="00CB275A">
        <w:rPr>
          <w:rFonts w:ascii="Arial" w:hAnsi="Arial" w:cs="Arial"/>
        </w:rPr>
        <w:t xml:space="preserve"> sur la </w:t>
      </w:r>
      <w:r w:rsidR="00ED7179" w:rsidRPr="00CB275A">
        <w:rPr>
          <w:rFonts w:ascii="Arial" w:hAnsi="Arial" w:cs="Arial"/>
        </w:rPr>
        <w:t>région</w:t>
      </w:r>
      <w:r w:rsidR="00CC295B" w:rsidRPr="00CB275A">
        <w:rPr>
          <w:rFonts w:ascii="Arial" w:hAnsi="Arial" w:cs="Arial"/>
        </w:rPr>
        <w:t xml:space="preserve"> </w:t>
      </w:r>
      <w:r w:rsidR="004B7499">
        <w:rPr>
          <w:rFonts w:ascii="Arial" w:hAnsi="Arial" w:cs="Arial"/>
        </w:rPr>
        <w:t>M</w:t>
      </w:r>
      <w:r w:rsidR="00CC295B" w:rsidRPr="00CB275A">
        <w:rPr>
          <w:rFonts w:ascii="Arial" w:hAnsi="Arial" w:cs="Arial"/>
        </w:rPr>
        <w:t xml:space="preserve">iddle </w:t>
      </w:r>
      <w:r w:rsidR="00ED7179" w:rsidRPr="00CB275A">
        <w:rPr>
          <w:rFonts w:ascii="Arial" w:hAnsi="Arial" w:cs="Arial"/>
        </w:rPr>
        <w:t>East</w:t>
      </w:r>
      <w:r w:rsidR="00CC295B" w:rsidRPr="00CB275A">
        <w:rPr>
          <w:rFonts w:ascii="Arial" w:hAnsi="Arial" w:cs="Arial"/>
        </w:rPr>
        <w:t xml:space="preserve"> </w:t>
      </w:r>
      <w:r w:rsidR="004B7499">
        <w:rPr>
          <w:rFonts w:ascii="Arial" w:hAnsi="Arial" w:cs="Arial"/>
        </w:rPr>
        <w:t>&amp;</w:t>
      </w:r>
      <w:r w:rsidR="00CC295B" w:rsidRPr="00CB275A">
        <w:rPr>
          <w:rFonts w:ascii="Arial" w:hAnsi="Arial" w:cs="Arial"/>
        </w:rPr>
        <w:t xml:space="preserve"> </w:t>
      </w:r>
      <w:r w:rsidR="00ED7179" w:rsidRPr="00CB275A">
        <w:rPr>
          <w:rFonts w:ascii="Arial" w:hAnsi="Arial" w:cs="Arial"/>
        </w:rPr>
        <w:t>Nort</w:t>
      </w:r>
      <w:r w:rsidR="00C0397B">
        <w:rPr>
          <w:rFonts w:ascii="Arial" w:hAnsi="Arial" w:cs="Arial"/>
        </w:rPr>
        <w:t>h</w:t>
      </w:r>
      <w:r w:rsidR="00CC295B" w:rsidRPr="00CB275A">
        <w:rPr>
          <w:rFonts w:ascii="Arial" w:hAnsi="Arial" w:cs="Arial"/>
        </w:rPr>
        <w:t xml:space="preserve"> </w:t>
      </w:r>
      <w:proofErr w:type="spellStart"/>
      <w:r w:rsidR="004B7499">
        <w:rPr>
          <w:rFonts w:ascii="Arial" w:hAnsi="Arial" w:cs="Arial"/>
        </w:rPr>
        <w:t>Africa</w:t>
      </w:r>
      <w:proofErr w:type="spellEnd"/>
      <w:r w:rsidR="00CC295B" w:rsidRPr="00CB275A">
        <w:rPr>
          <w:rFonts w:ascii="Arial" w:hAnsi="Arial" w:cs="Arial"/>
        </w:rPr>
        <w:t>.</w:t>
      </w:r>
    </w:p>
    <w:p w14:paraId="12EE6790" w14:textId="77777777" w:rsidR="00AC0EFF" w:rsidRPr="00CB275A" w:rsidRDefault="00AC0EFF" w:rsidP="00CB275A">
      <w:pPr>
        <w:spacing w:line="360" w:lineRule="auto"/>
        <w:jc w:val="both"/>
        <w:rPr>
          <w:rFonts w:ascii="Arial" w:hAnsi="Arial" w:cs="Arial"/>
        </w:rPr>
      </w:pPr>
    </w:p>
    <w:p w14:paraId="0A364035" w14:textId="77777777" w:rsidR="009F7970" w:rsidRPr="009F572A" w:rsidRDefault="009F7970" w:rsidP="00CB275A">
      <w:pPr>
        <w:spacing w:line="360" w:lineRule="auto"/>
        <w:jc w:val="both"/>
        <w:rPr>
          <w:rFonts w:ascii="Arial" w:hAnsi="Arial" w:cs="Arial"/>
          <w:b/>
          <w:bCs/>
        </w:rPr>
      </w:pPr>
      <w:r w:rsidRPr="009F572A">
        <w:rPr>
          <w:rFonts w:ascii="Arial" w:hAnsi="Arial" w:cs="Arial"/>
          <w:b/>
          <w:bCs/>
        </w:rPr>
        <w:t>[SLIDE 17]</w:t>
      </w:r>
    </w:p>
    <w:p w14:paraId="55F5134B" w14:textId="0C39EFBF" w:rsidR="009F7970" w:rsidRPr="00CB275A" w:rsidRDefault="00FB04ED" w:rsidP="00CB275A">
      <w:pPr>
        <w:spacing w:line="360" w:lineRule="auto"/>
        <w:jc w:val="both"/>
        <w:rPr>
          <w:rFonts w:ascii="Arial" w:hAnsi="Arial" w:cs="Arial"/>
        </w:rPr>
      </w:pPr>
      <w:r w:rsidRPr="00CB275A">
        <w:rPr>
          <w:rFonts w:ascii="Arial" w:hAnsi="Arial" w:cs="Arial"/>
        </w:rPr>
        <w:t xml:space="preserve">Concernant </w:t>
      </w:r>
      <w:r w:rsidR="00ED7179" w:rsidRPr="00CB275A">
        <w:rPr>
          <w:rFonts w:ascii="Arial" w:hAnsi="Arial" w:cs="Arial"/>
        </w:rPr>
        <w:t>à</w:t>
      </w:r>
      <w:r w:rsidRPr="00CB275A">
        <w:rPr>
          <w:rFonts w:ascii="Arial" w:hAnsi="Arial" w:cs="Arial"/>
        </w:rPr>
        <w:t xml:space="preserve"> </w:t>
      </w:r>
      <w:r w:rsidR="00ED7179" w:rsidRPr="00CB275A">
        <w:rPr>
          <w:rFonts w:ascii="Arial" w:hAnsi="Arial" w:cs="Arial"/>
        </w:rPr>
        <w:t>présent</w:t>
      </w:r>
      <w:r w:rsidRPr="00CB275A">
        <w:rPr>
          <w:rFonts w:ascii="Arial" w:hAnsi="Arial" w:cs="Arial"/>
        </w:rPr>
        <w:t xml:space="preserve"> les indicateurs prospectifs, nous en avons retenus 7, qui couvrent le </w:t>
      </w:r>
      <w:r w:rsidR="00ED7179" w:rsidRPr="00CB275A">
        <w:rPr>
          <w:rFonts w:ascii="Arial" w:hAnsi="Arial" w:cs="Arial"/>
        </w:rPr>
        <w:t>thème</w:t>
      </w:r>
      <w:r w:rsidRPr="00CB275A">
        <w:rPr>
          <w:rFonts w:ascii="Arial" w:hAnsi="Arial" w:cs="Arial"/>
        </w:rPr>
        <w:t xml:space="preserve"> du niveau scolaire le plus haut </w:t>
      </w:r>
      <w:r w:rsidR="007C38FA" w:rsidRPr="00CB275A">
        <w:rPr>
          <w:rFonts w:ascii="Arial" w:hAnsi="Arial" w:cs="Arial"/>
        </w:rPr>
        <w:t>atteint</w:t>
      </w:r>
      <w:r w:rsidRPr="00CB275A">
        <w:rPr>
          <w:rFonts w:ascii="Arial" w:hAnsi="Arial" w:cs="Arial"/>
        </w:rPr>
        <w:t xml:space="preserve"> par tranche </w:t>
      </w:r>
      <w:r w:rsidR="00ED7179" w:rsidRPr="00CB275A">
        <w:rPr>
          <w:rFonts w:ascii="Arial" w:hAnsi="Arial" w:cs="Arial"/>
        </w:rPr>
        <w:t>d’</w:t>
      </w:r>
      <w:r w:rsidR="00ED7179">
        <w:rPr>
          <w:rFonts w:ascii="Arial" w:hAnsi="Arial" w:cs="Arial"/>
        </w:rPr>
        <w:t>â</w:t>
      </w:r>
      <w:r w:rsidR="00ED7179" w:rsidRPr="00CB275A">
        <w:rPr>
          <w:rFonts w:ascii="Arial" w:hAnsi="Arial" w:cs="Arial"/>
        </w:rPr>
        <w:t>ge</w:t>
      </w:r>
      <w:r w:rsidRPr="00CB275A">
        <w:rPr>
          <w:rFonts w:ascii="Arial" w:hAnsi="Arial" w:cs="Arial"/>
        </w:rPr>
        <w:t>.</w:t>
      </w:r>
      <w:r w:rsidR="007C38FA" w:rsidRPr="00CB275A">
        <w:rPr>
          <w:rFonts w:ascii="Arial" w:hAnsi="Arial" w:cs="Arial"/>
        </w:rPr>
        <w:t xml:space="preserve"> </w:t>
      </w:r>
    </w:p>
    <w:p w14:paraId="1E7CB160" w14:textId="02393035" w:rsidR="000744C6" w:rsidRDefault="000744C6">
      <w:pPr>
        <w:rPr>
          <w:rFonts w:ascii="Arial" w:hAnsi="Arial" w:cs="Arial"/>
        </w:rPr>
      </w:pPr>
    </w:p>
    <w:p w14:paraId="5398A34A" w14:textId="77777777" w:rsidR="009F7970" w:rsidRPr="009F572A" w:rsidRDefault="009F7970" w:rsidP="00CB275A">
      <w:pPr>
        <w:spacing w:line="360" w:lineRule="auto"/>
        <w:jc w:val="both"/>
        <w:rPr>
          <w:rFonts w:ascii="Arial" w:hAnsi="Arial" w:cs="Arial"/>
          <w:b/>
          <w:bCs/>
        </w:rPr>
      </w:pPr>
      <w:r w:rsidRPr="009F572A">
        <w:rPr>
          <w:rFonts w:ascii="Arial" w:hAnsi="Arial" w:cs="Arial"/>
          <w:b/>
          <w:bCs/>
        </w:rPr>
        <w:t>[SLIDE 18]</w:t>
      </w:r>
    </w:p>
    <w:p w14:paraId="70B5355C" w14:textId="75CCFD06" w:rsidR="009F7970" w:rsidRPr="00CB275A" w:rsidRDefault="007C38FA" w:rsidP="00CB275A">
      <w:pPr>
        <w:spacing w:line="360" w:lineRule="auto"/>
        <w:jc w:val="both"/>
        <w:rPr>
          <w:rFonts w:ascii="Arial" w:hAnsi="Arial" w:cs="Arial"/>
        </w:rPr>
      </w:pPr>
      <w:r w:rsidRPr="00CB275A">
        <w:rPr>
          <w:rFonts w:ascii="Arial" w:hAnsi="Arial" w:cs="Arial"/>
        </w:rPr>
        <w:t xml:space="preserve">L’analyse graphique de ces indicateurs </w:t>
      </w:r>
      <w:r w:rsidR="004B7499">
        <w:rPr>
          <w:rFonts w:ascii="Arial" w:hAnsi="Arial" w:cs="Arial"/>
        </w:rPr>
        <w:t xml:space="preserve">sur la période 2020-2100 </w:t>
      </w:r>
      <w:r w:rsidRPr="00CB275A">
        <w:rPr>
          <w:rFonts w:ascii="Arial" w:hAnsi="Arial" w:cs="Arial"/>
        </w:rPr>
        <w:t xml:space="preserve">met en </w:t>
      </w:r>
      <w:r w:rsidR="00ED7179" w:rsidRPr="00CB275A">
        <w:rPr>
          <w:rFonts w:ascii="Arial" w:hAnsi="Arial" w:cs="Arial"/>
        </w:rPr>
        <w:t>évidence</w:t>
      </w:r>
      <w:r w:rsidRPr="00CB275A">
        <w:rPr>
          <w:rFonts w:ascii="Arial" w:hAnsi="Arial" w:cs="Arial"/>
        </w:rPr>
        <w:t xml:space="preserve"> plusieurs tendances, </w:t>
      </w:r>
      <w:r w:rsidR="009964E4" w:rsidRPr="00CB275A">
        <w:rPr>
          <w:rFonts w:ascii="Arial" w:hAnsi="Arial" w:cs="Arial"/>
        </w:rPr>
        <w:t xml:space="preserve">en particulier une tendance de long terme </w:t>
      </w:r>
      <w:r w:rsidR="00ED7179" w:rsidRPr="00CB275A">
        <w:rPr>
          <w:rFonts w:ascii="Arial" w:hAnsi="Arial" w:cs="Arial"/>
        </w:rPr>
        <w:t>à</w:t>
      </w:r>
      <w:r w:rsidR="009964E4" w:rsidRPr="00CB275A">
        <w:rPr>
          <w:rFonts w:ascii="Arial" w:hAnsi="Arial" w:cs="Arial"/>
        </w:rPr>
        <w:t xml:space="preserve"> la forte </w:t>
      </w:r>
      <w:r w:rsidR="00ED7179" w:rsidRPr="00CB275A">
        <w:rPr>
          <w:rFonts w:ascii="Arial" w:hAnsi="Arial" w:cs="Arial"/>
        </w:rPr>
        <w:t>décroissance</w:t>
      </w:r>
      <w:r w:rsidR="009964E4" w:rsidRPr="00CB275A">
        <w:rPr>
          <w:rFonts w:ascii="Arial" w:hAnsi="Arial" w:cs="Arial"/>
        </w:rPr>
        <w:t xml:space="preserve"> de la population qui ne finit pas le </w:t>
      </w:r>
      <w:r w:rsidR="00ED7179" w:rsidRPr="00CB275A">
        <w:rPr>
          <w:rFonts w:ascii="Arial" w:hAnsi="Arial" w:cs="Arial"/>
        </w:rPr>
        <w:t>lycée</w:t>
      </w:r>
      <w:r w:rsidR="009964E4" w:rsidRPr="00CB275A">
        <w:rPr>
          <w:rFonts w:ascii="Arial" w:hAnsi="Arial" w:cs="Arial"/>
        </w:rPr>
        <w:t xml:space="preserve"> chez les 15</w:t>
      </w:r>
      <w:r w:rsidR="004B7499">
        <w:rPr>
          <w:rFonts w:ascii="Arial" w:hAnsi="Arial" w:cs="Arial"/>
        </w:rPr>
        <w:t>-</w:t>
      </w:r>
      <w:r w:rsidR="009964E4" w:rsidRPr="00CB275A">
        <w:rPr>
          <w:rFonts w:ascii="Arial" w:hAnsi="Arial" w:cs="Arial"/>
        </w:rPr>
        <w:t xml:space="preserve">24 ans de toutes </w:t>
      </w:r>
      <w:r w:rsidR="00ED7179" w:rsidRPr="00CB275A">
        <w:rPr>
          <w:rFonts w:ascii="Arial" w:hAnsi="Arial" w:cs="Arial"/>
        </w:rPr>
        <w:t>régions</w:t>
      </w:r>
      <w:r w:rsidR="009964E4" w:rsidRPr="00CB275A">
        <w:rPr>
          <w:rFonts w:ascii="Arial" w:hAnsi="Arial" w:cs="Arial"/>
        </w:rPr>
        <w:t xml:space="preserve">, sauf en Afrique </w:t>
      </w:r>
      <w:r w:rsidR="004B7499">
        <w:rPr>
          <w:rFonts w:ascii="Arial" w:hAnsi="Arial" w:cs="Arial"/>
        </w:rPr>
        <w:t>S</w:t>
      </w:r>
      <w:r w:rsidR="009964E4" w:rsidRPr="00CB275A">
        <w:rPr>
          <w:rFonts w:ascii="Arial" w:hAnsi="Arial" w:cs="Arial"/>
        </w:rPr>
        <w:t>ub-</w:t>
      </w:r>
      <w:r w:rsidR="004B7499">
        <w:rPr>
          <w:rFonts w:ascii="Arial" w:hAnsi="Arial" w:cs="Arial"/>
        </w:rPr>
        <w:t>S</w:t>
      </w:r>
      <w:r w:rsidR="009964E4" w:rsidRPr="00CB275A">
        <w:rPr>
          <w:rFonts w:ascii="Arial" w:hAnsi="Arial" w:cs="Arial"/>
        </w:rPr>
        <w:t>aharienne o</w:t>
      </w:r>
      <w:r w:rsidR="004B7499">
        <w:rPr>
          <w:rFonts w:ascii="Arial" w:hAnsi="Arial" w:cs="Arial"/>
        </w:rPr>
        <w:t>ù</w:t>
      </w:r>
      <w:r w:rsidR="009964E4" w:rsidRPr="00CB275A">
        <w:rPr>
          <w:rFonts w:ascii="Arial" w:hAnsi="Arial" w:cs="Arial"/>
        </w:rPr>
        <w:t xml:space="preserve"> l’</w:t>
      </w:r>
      <w:r w:rsidR="00ED7179" w:rsidRPr="00CB275A">
        <w:rPr>
          <w:rFonts w:ascii="Arial" w:hAnsi="Arial" w:cs="Arial"/>
        </w:rPr>
        <w:t>illettrisme</w:t>
      </w:r>
      <w:r w:rsidR="009964E4" w:rsidRPr="00CB275A">
        <w:rPr>
          <w:rFonts w:ascii="Arial" w:hAnsi="Arial" w:cs="Arial"/>
        </w:rPr>
        <w:t xml:space="preserve"> augmente fortement</w:t>
      </w:r>
      <w:r w:rsidR="004B7499">
        <w:rPr>
          <w:rFonts w:ascii="Arial" w:hAnsi="Arial" w:cs="Arial"/>
        </w:rPr>
        <w:t xml:space="preserve"> pendant cette période</w:t>
      </w:r>
      <w:r w:rsidR="009964E4" w:rsidRPr="00CB275A">
        <w:rPr>
          <w:rFonts w:ascii="Arial" w:hAnsi="Arial" w:cs="Arial"/>
        </w:rPr>
        <w:t xml:space="preserve">. La population 15-24 ans finissant le </w:t>
      </w:r>
      <w:r w:rsidR="00ED7179" w:rsidRPr="00CB275A">
        <w:rPr>
          <w:rFonts w:ascii="Arial" w:hAnsi="Arial" w:cs="Arial"/>
        </w:rPr>
        <w:t>lycée</w:t>
      </w:r>
      <w:r w:rsidR="009964E4" w:rsidRPr="00CB275A">
        <w:rPr>
          <w:rFonts w:ascii="Arial" w:hAnsi="Arial" w:cs="Arial"/>
        </w:rPr>
        <w:t xml:space="preserve"> reste relativement stable dans toutes les </w:t>
      </w:r>
      <w:r w:rsidR="00ED7179" w:rsidRPr="00CB275A">
        <w:rPr>
          <w:rFonts w:ascii="Arial" w:hAnsi="Arial" w:cs="Arial"/>
        </w:rPr>
        <w:t>régions</w:t>
      </w:r>
      <w:r w:rsidR="009964E4" w:rsidRPr="00CB275A">
        <w:rPr>
          <w:rFonts w:ascii="Arial" w:hAnsi="Arial" w:cs="Arial"/>
        </w:rPr>
        <w:t xml:space="preserve">, sauf en </w:t>
      </w:r>
      <w:r w:rsidR="00ED7179" w:rsidRPr="00CB275A">
        <w:rPr>
          <w:rFonts w:ascii="Arial" w:hAnsi="Arial" w:cs="Arial"/>
        </w:rPr>
        <w:t>Asie</w:t>
      </w:r>
      <w:r w:rsidR="009964E4" w:rsidRPr="00CB275A">
        <w:rPr>
          <w:rFonts w:ascii="Arial" w:hAnsi="Arial" w:cs="Arial"/>
        </w:rPr>
        <w:t xml:space="preserve"> </w:t>
      </w:r>
      <w:r w:rsidR="004B7499">
        <w:rPr>
          <w:rFonts w:ascii="Arial" w:hAnsi="Arial" w:cs="Arial"/>
        </w:rPr>
        <w:t>M</w:t>
      </w:r>
      <w:r w:rsidR="00ED7179" w:rsidRPr="00CB275A">
        <w:rPr>
          <w:rFonts w:ascii="Arial" w:hAnsi="Arial" w:cs="Arial"/>
        </w:rPr>
        <w:t>éridionale</w:t>
      </w:r>
      <w:r w:rsidR="009964E4" w:rsidRPr="00CB275A">
        <w:rPr>
          <w:rFonts w:ascii="Arial" w:hAnsi="Arial" w:cs="Arial"/>
        </w:rPr>
        <w:t xml:space="preserve"> </w:t>
      </w:r>
      <w:r w:rsidR="004B7499">
        <w:rPr>
          <w:rFonts w:ascii="Arial" w:hAnsi="Arial" w:cs="Arial"/>
        </w:rPr>
        <w:t>(en jaune</w:t>
      </w:r>
      <w:r w:rsidR="00C0397B">
        <w:rPr>
          <w:rFonts w:ascii="Arial" w:hAnsi="Arial" w:cs="Arial"/>
        </w:rPr>
        <w:t xml:space="preserve"> ici en haut</w:t>
      </w:r>
      <w:r w:rsidR="004B7499">
        <w:rPr>
          <w:rFonts w:ascii="Arial" w:hAnsi="Arial" w:cs="Arial"/>
        </w:rPr>
        <w:t xml:space="preserve">) </w:t>
      </w:r>
      <w:r w:rsidR="009964E4" w:rsidRPr="00CB275A">
        <w:rPr>
          <w:rFonts w:ascii="Arial" w:hAnsi="Arial" w:cs="Arial"/>
        </w:rPr>
        <w:t>o</w:t>
      </w:r>
      <w:r w:rsidR="00C0397B">
        <w:rPr>
          <w:rFonts w:ascii="Arial" w:hAnsi="Arial" w:cs="Arial"/>
        </w:rPr>
        <w:t>ù</w:t>
      </w:r>
      <w:r w:rsidR="009964E4" w:rsidRPr="00CB275A">
        <w:rPr>
          <w:rFonts w:ascii="Arial" w:hAnsi="Arial" w:cs="Arial"/>
        </w:rPr>
        <w:t xml:space="preserve"> elle augmente fortement avant de se </w:t>
      </w:r>
      <w:r w:rsidR="00ED7179" w:rsidRPr="00CB275A">
        <w:rPr>
          <w:rFonts w:ascii="Arial" w:hAnsi="Arial" w:cs="Arial"/>
        </w:rPr>
        <w:t>stabiliser</w:t>
      </w:r>
      <w:r w:rsidR="009964E4" w:rsidRPr="00CB275A">
        <w:rPr>
          <w:rFonts w:ascii="Arial" w:hAnsi="Arial" w:cs="Arial"/>
        </w:rPr>
        <w:t xml:space="preserve">, et en </w:t>
      </w:r>
      <w:r w:rsidR="00ED7179" w:rsidRPr="00CB275A">
        <w:rPr>
          <w:rFonts w:ascii="Arial" w:hAnsi="Arial" w:cs="Arial"/>
        </w:rPr>
        <w:t>Asie</w:t>
      </w:r>
      <w:r w:rsidR="009964E4" w:rsidRPr="00CB275A">
        <w:rPr>
          <w:rFonts w:ascii="Arial" w:hAnsi="Arial" w:cs="Arial"/>
        </w:rPr>
        <w:t xml:space="preserve"> </w:t>
      </w:r>
      <w:r w:rsidR="00C0397B">
        <w:rPr>
          <w:rFonts w:ascii="Arial" w:hAnsi="Arial" w:cs="Arial"/>
        </w:rPr>
        <w:t>O</w:t>
      </w:r>
      <w:r w:rsidR="00ED7179" w:rsidRPr="00CB275A">
        <w:rPr>
          <w:rFonts w:ascii="Arial" w:hAnsi="Arial" w:cs="Arial"/>
        </w:rPr>
        <w:t>rientale</w:t>
      </w:r>
      <w:r w:rsidR="009964E4" w:rsidRPr="00CB275A">
        <w:rPr>
          <w:rFonts w:ascii="Arial" w:hAnsi="Arial" w:cs="Arial"/>
        </w:rPr>
        <w:t xml:space="preserve"> et </w:t>
      </w:r>
      <w:r w:rsidR="00ED7179" w:rsidRPr="00CB275A">
        <w:rPr>
          <w:rFonts w:ascii="Arial" w:hAnsi="Arial" w:cs="Arial"/>
        </w:rPr>
        <w:t>Pacific</w:t>
      </w:r>
      <w:r w:rsidR="004B7499">
        <w:rPr>
          <w:rFonts w:ascii="Arial" w:hAnsi="Arial" w:cs="Arial"/>
        </w:rPr>
        <w:t xml:space="preserve"> (en orange</w:t>
      </w:r>
      <w:r w:rsidR="00C0397B">
        <w:rPr>
          <w:rFonts w:ascii="Arial" w:hAnsi="Arial" w:cs="Arial"/>
        </w:rPr>
        <w:t xml:space="preserve"> en haut</w:t>
      </w:r>
      <w:r w:rsidR="004B7499">
        <w:rPr>
          <w:rFonts w:ascii="Arial" w:hAnsi="Arial" w:cs="Arial"/>
        </w:rPr>
        <w:t>)</w:t>
      </w:r>
      <w:r w:rsidR="009964E4" w:rsidRPr="00CB275A">
        <w:rPr>
          <w:rFonts w:ascii="Arial" w:hAnsi="Arial" w:cs="Arial"/>
        </w:rPr>
        <w:t>, o</w:t>
      </w:r>
      <w:r w:rsidR="004B7499">
        <w:rPr>
          <w:rFonts w:ascii="Arial" w:hAnsi="Arial" w:cs="Arial"/>
        </w:rPr>
        <w:t>ù</w:t>
      </w:r>
      <w:r w:rsidR="009964E4" w:rsidRPr="00CB275A">
        <w:rPr>
          <w:rFonts w:ascii="Arial" w:hAnsi="Arial" w:cs="Arial"/>
        </w:rPr>
        <w:t xml:space="preserve"> elle </w:t>
      </w:r>
      <w:r w:rsidR="00ED7179" w:rsidRPr="00CB275A">
        <w:rPr>
          <w:rFonts w:ascii="Arial" w:hAnsi="Arial" w:cs="Arial"/>
        </w:rPr>
        <w:t>décline</w:t>
      </w:r>
      <w:r w:rsidR="009964E4" w:rsidRPr="00CB275A">
        <w:rPr>
          <w:rFonts w:ascii="Arial" w:hAnsi="Arial" w:cs="Arial"/>
        </w:rPr>
        <w:t xml:space="preserve"> </w:t>
      </w:r>
      <w:r w:rsidR="00ED7179" w:rsidRPr="00CB275A">
        <w:rPr>
          <w:rFonts w:ascii="Arial" w:hAnsi="Arial" w:cs="Arial"/>
        </w:rPr>
        <w:t>constamment</w:t>
      </w:r>
      <w:r w:rsidR="009964E4" w:rsidRPr="00CB275A">
        <w:rPr>
          <w:rFonts w:ascii="Arial" w:hAnsi="Arial" w:cs="Arial"/>
        </w:rPr>
        <w:t xml:space="preserve">. </w:t>
      </w:r>
    </w:p>
    <w:p w14:paraId="3C93CB1A" w14:textId="77777777" w:rsidR="009F7970" w:rsidRPr="00CB275A" w:rsidRDefault="009F7970" w:rsidP="00CB275A">
      <w:pPr>
        <w:spacing w:line="360" w:lineRule="auto"/>
        <w:jc w:val="both"/>
        <w:rPr>
          <w:rFonts w:ascii="Arial" w:hAnsi="Arial" w:cs="Arial"/>
        </w:rPr>
      </w:pPr>
    </w:p>
    <w:p w14:paraId="316261D9" w14:textId="77777777" w:rsidR="009F7970" w:rsidRPr="009F572A" w:rsidRDefault="009F7970" w:rsidP="00CB275A">
      <w:pPr>
        <w:spacing w:line="360" w:lineRule="auto"/>
        <w:jc w:val="both"/>
        <w:rPr>
          <w:rFonts w:ascii="Arial" w:hAnsi="Arial" w:cs="Arial"/>
          <w:b/>
          <w:bCs/>
        </w:rPr>
      </w:pPr>
      <w:r w:rsidRPr="009F572A">
        <w:rPr>
          <w:rFonts w:ascii="Arial" w:hAnsi="Arial" w:cs="Arial"/>
          <w:b/>
          <w:bCs/>
        </w:rPr>
        <w:t>[SLIDE 19]</w:t>
      </w:r>
    </w:p>
    <w:p w14:paraId="68AE9A56" w14:textId="2B052717" w:rsidR="001F3CD3" w:rsidRPr="00CB275A" w:rsidRDefault="009964E4" w:rsidP="00CB275A">
      <w:pPr>
        <w:spacing w:line="360" w:lineRule="auto"/>
        <w:jc w:val="both"/>
        <w:rPr>
          <w:rFonts w:ascii="Arial" w:hAnsi="Arial" w:cs="Arial"/>
        </w:rPr>
      </w:pPr>
      <w:r w:rsidRPr="00CB275A">
        <w:rPr>
          <w:rFonts w:ascii="Arial" w:hAnsi="Arial" w:cs="Arial"/>
        </w:rPr>
        <w:t xml:space="preserve">Sur la même période de 2020 </w:t>
      </w:r>
      <w:r w:rsidR="00ED7179" w:rsidRPr="00CB275A">
        <w:rPr>
          <w:rFonts w:ascii="Arial" w:hAnsi="Arial" w:cs="Arial"/>
        </w:rPr>
        <w:t>à</w:t>
      </w:r>
      <w:r w:rsidRPr="00CB275A">
        <w:rPr>
          <w:rFonts w:ascii="Arial" w:hAnsi="Arial" w:cs="Arial"/>
        </w:rPr>
        <w:t xml:space="preserve"> 2100, on note un recul de l’</w:t>
      </w:r>
      <w:r w:rsidR="00ED7179" w:rsidRPr="00CB275A">
        <w:rPr>
          <w:rFonts w:ascii="Arial" w:hAnsi="Arial" w:cs="Arial"/>
        </w:rPr>
        <w:t>illettrisme</w:t>
      </w:r>
      <w:r w:rsidRPr="00CB275A">
        <w:rPr>
          <w:rFonts w:ascii="Arial" w:hAnsi="Arial" w:cs="Arial"/>
        </w:rPr>
        <w:t xml:space="preserve"> très fort en </w:t>
      </w:r>
      <w:r w:rsidR="00ED7179" w:rsidRPr="00CB275A">
        <w:rPr>
          <w:rFonts w:ascii="Arial" w:hAnsi="Arial" w:cs="Arial"/>
        </w:rPr>
        <w:t>Asie</w:t>
      </w:r>
      <w:r w:rsidRPr="00CB275A">
        <w:rPr>
          <w:rFonts w:ascii="Arial" w:hAnsi="Arial" w:cs="Arial"/>
        </w:rPr>
        <w:t xml:space="preserve"> </w:t>
      </w:r>
      <w:r w:rsidR="00F11D1D">
        <w:rPr>
          <w:rFonts w:ascii="Arial" w:hAnsi="Arial" w:cs="Arial"/>
        </w:rPr>
        <w:t>M</w:t>
      </w:r>
      <w:r w:rsidR="00ED7179" w:rsidRPr="00CB275A">
        <w:rPr>
          <w:rFonts w:ascii="Arial" w:hAnsi="Arial" w:cs="Arial"/>
        </w:rPr>
        <w:t>éridionale</w:t>
      </w:r>
      <w:r w:rsidR="00F11D1D">
        <w:rPr>
          <w:rFonts w:ascii="Arial" w:hAnsi="Arial" w:cs="Arial"/>
        </w:rPr>
        <w:t xml:space="preserve"> (en jaune</w:t>
      </w:r>
      <w:r w:rsidR="00C0397B">
        <w:rPr>
          <w:rFonts w:ascii="Arial" w:hAnsi="Arial" w:cs="Arial"/>
        </w:rPr>
        <w:t xml:space="preserve"> sur les graphiques du haut</w:t>
      </w:r>
      <w:r w:rsidR="00F11D1D">
        <w:rPr>
          <w:rFonts w:ascii="Arial" w:hAnsi="Arial" w:cs="Arial"/>
        </w:rPr>
        <w:t>)</w:t>
      </w:r>
      <w:r w:rsidRPr="00CB275A">
        <w:rPr>
          <w:rFonts w:ascii="Arial" w:hAnsi="Arial" w:cs="Arial"/>
        </w:rPr>
        <w:t xml:space="preserve"> et en Afrique </w:t>
      </w:r>
      <w:r w:rsidR="00F11D1D">
        <w:rPr>
          <w:rFonts w:ascii="Arial" w:hAnsi="Arial" w:cs="Arial"/>
        </w:rPr>
        <w:t>S</w:t>
      </w:r>
      <w:r w:rsidR="00ED7179" w:rsidRPr="00CB275A">
        <w:rPr>
          <w:rFonts w:ascii="Arial" w:hAnsi="Arial" w:cs="Arial"/>
        </w:rPr>
        <w:t>ub-</w:t>
      </w:r>
      <w:r w:rsidR="00F11D1D">
        <w:rPr>
          <w:rFonts w:ascii="Arial" w:hAnsi="Arial" w:cs="Arial"/>
        </w:rPr>
        <w:t>S</w:t>
      </w:r>
      <w:r w:rsidR="00ED7179" w:rsidRPr="00CB275A">
        <w:rPr>
          <w:rFonts w:ascii="Arial" w:hAnsi="Arial" w:cs="Arial"/>
        </w:rPr>
        <w:t>aharienne</w:t>
      </w:r>
      <w:r w:rsidR="00F11D1D">
        <w:rPr>
          <w:rFonts w:ascii="Arial" w:hAnsi="Arial" w:cs="Arial"/>
        </w:rPr>
        <w:t xml:space="preserve"> (en beige</w:t>
      </w:r>
      <w:r w:rsidR="00C0397B">
        <w:rPr>
          <w:rFonts w:ascii="Arial" w:hAnsi="Arial" w:cs="Arial"/>
        </w:rPr>
        <w:t xml:space="preserve"> sur ces mêmes graphiques</w:t>
      </w:r>
      <w:r w:rsidR="00F11D1D">
        <w:rPr>
          <w:rFonts w:ascii="Arial" w:hAnsi="Arial" w:cs="Arial"/>
        </w:rPr>
        <w:t>)</w:t>
      </w:r>
      <w:r w:rsidR="00ED7179" w:rsidRPr="00CB275A">
        <w:rPr>
          <w:rFonts w:ascii="Arial" w:hAnsi="Arial" w:cs="Arial"/>
        </w:rPr>
        <w:t>, tandis</w:t>
      </w:r>
      <w:r w:rsidRPr="00CB275A">
        <w:rPr>
          <w:rFonts w:ascii="Arial" w:hAnsi="Arial" w:cs="Arial"/>
        </w:rPr>
        <w:t xml:space="preserve"> que l’augmentation de la population ayant un niveau d’</w:t>
      </w:r>
      <w:r w:rsidR="00ED7179" w:rsidRPr="00CB275A">
        <w:rPr>
          <w:rFonts w:ascii="Arial" w:hAnsi="Arial" w:cs="Arial"/>
        </w:rPr>
        <w:t>éducation</w:t>
      </w:r>
      <w:r w:rsidRPr="00CB275A">
        <w:rPr>
          <w:rFonts w:ascii="Arial" w:hAnsi="Arial" w:cs="Arial"/>
        </w:rPr>
        <w:t xml:space="preserve"> universitaire </w:t>
      </w:r>
      <w:r w:rsidR="00C0397B">
        <w:rPr>
          <w:rFonts w:ascii="Arial" w:hAnsi="Arial" w:cs="Arial"/>
        </w:rPr>
        <w:t xml:space="preserve">(représentée sur le graphique du bas) </w:t>
      </w:r>
      <w:r w:rsidRPr="00CB275A">
        <w:rPr>
          <w:rFonts w:ascii="Arial" w:hAnsi="Arial" w:cs="Arial"/>
        </w:rPr>
        <w:t xml:space="preserve">augmente fortement </w:t>
      </w:r>
      <w:r w:rsidR="005E4BB9" w:rsidRPr="00CB275A">
        <w:rPr>
          <w:rFonts w:ascii="Arial" w:hAnsi="Arial" w:cs="Arial"/>
        </w:rPr>
        <w:t xml:space="preserve">dans ces mêmes </w:t>
      </w:r>
      <w:r w:rsidR="00ED7179" w:rsidRPr="00CB275A">
        <w:rPr>
          <w:rFonts w:ascii="Arial" w:hAnsi="Arial" w:cs="Arial"/>
        </w:rPr>
        <w:t>régions</w:t>
      </w:r>
      <w:r w:rsidR="009F7970" w:rsidRPr="00B22A86">
        <w:rPr>
          <w:rFonts w:ascii="Arial" w:hAnsi="Arial" w:cs="Arial"/>
        </w:rPr>
        <w:t>.</w:t>
      </w:r>
      <w:r w:rsidR="00B22A86" w:rsidRPr="00B22A86">
        <w:rPr>
          <w:rFonts w:ascii="Arial" w:hAnsi="Arial" w:cs="Arial"/>
        </w:rPr>
        <w:t xml:space="preserve"> </w:t>
      </w:r>
      <w:r w:rsidR="005E4BB9" w:rsidRPr="00B22A86">
        <w:rPr>
          <w:rFonts w:ascii="Arial" w:hAnsi="Arial" w:cs="Arial"/>
        </w:rPr>
        <w:t xml:space="preserve">Il conviendrait de vérifier par ailleurs </w:t>
      </w:r>
      <w:r w:rsidR="009F7970" w:rsidRPr="00B22A86">
        <w:rPr>
          <w:rFonts w:ascii="Arial" w:hAnsi="Arial" w:cs="Arial"/>
        </w:rPr>
        <w:t xml:space="preserve">ces chiffres, </w:t>
      </w:r>
      <w:r w:rsidR="009F7970" w:rsidRPr="00B22A86">
        <w:rPr>
          <w:rFonts w:ascii="Arial" w:hAnsi="Arial" w:cs="Arial"/>
        </w:rPr>
        <w:lastRenderedPageBreak/>
        <w:t>l’augmentation relativement forte du nombre d’</w:t>
      </w:r>
      <w:r w:rsidR="00ED7179" w:rsidRPr="00B22A86">
        <w:rPr>
          <w:rFonts w:ascii="Arial" w:hAnsi="Arial" w:cs="Arial"/>
        </w:rPr>
        <w:t>étudiants</w:t>
      </w:r>
      <w:r w:rsidR="009F7970" w:rsidRPr="00B22A86">
        <w:rPr>
          <w:rFonts w:ascii="Arial" w:hAnsi="Arial" w:cs="Arial"/>
        </w:rPr>
        <w:t xml:space="preserve"> ayant </w:t>
      </w:r>
      <w:r w:rsidR="00F11D1D" w:rsidRPr="00B22A86">
        <w:rPr>
          <w:rFonts w:ascii="Arial" w:hAnsi="Arial" w:cs="Arial"/>
        </w:rPr>
        <w:t xml:space="preserve">une éducation </w:t>
      </w:r>
      <w:r w:rsidR="00ED7179" w:rsidRPr="00B22A86">
        <w:rPr>
          <w:rFonts w:ascii="Arial" w:hAnsi="Arial" w:cs="Arial"/>
        </w:rPr>
        <w:t>universit</w:t>
      </w:r>
      <w:r w:rsidR="00F11D1D" w:rsidRPr="00B22A86">
        <w:rPr>
          <w:rFonts w:ascii="Arial" w:hAnsi="Arial" w:cs="Arial"/>
        </w:rPr>
        <w:t>aire</w:t>
      </w:r>
      <w:r w:rsidR="009F7970" w:rsidRPr="00B22A86">
        <w:rPr>
          <w:rFonts w:ascii="Arial" w:hAnsi="Arial" w:cs="Arial"/>
        </w:rPr>
        <w:t xml:space="preserve"> en Afrique </w:t>
      </w:r>
      <w:r w:rsidR="00637DA8" w:rsidRPr="00B22A86">
        <w:rPr>
          <w:rFonts w:ascii="Arial" w:hAnsi="Arial" w:cs="Arial"/>
        </w:rPr>
        <w:t>S</w:t>
      </w:r>
      <w:r w:rsidR="009F7970" w:rsidRPr="00B22A86">
        <w:rPr>
          <w:rFonts w:ascii="Arial" w:hAnsi="Arial" w:cs="Arial"/>
        </w:rPr>
        <w:t>ub-</w:t>
      </w:r>
      <w:r w:rsidR="00637DA8" w:rsidRPr="00B22A86">
        <w:rPr>
          <w:rFonts w:ascii="Arial" w:hAnsi="Arial" w:cs="Arial"/>
        </w:rPr>
        <w:t>S</w:t>
      </w:r>
      <w:r w:rsidR="009F7970" w:rsidRPr="00B22A86">
        <w:rPr>
          <w:rFonts w:ascii="Arial" w:hAnsi="Arial" w:cs="Arial"/>
        </w:rPr>
        <w:t xml:space="preserve">aharienne semblant </w:t>
      </w:r>
      <w:r w:rsidR="009F7970" w:rsidRPr="00B22A86">
        <w:rPr>
          <w:rFonts w:ascii="Arial" w:hAnsi="Arial" w:cs="Arial"/>
          <w:i/>
          <w:iCs/>
        </w:rPr>
        <w:t>a</w:t>
      </w:r>
      <w:r w:rsidR="00F11D1D" w:rsidRPr="00B22A86">
        <w:rPr>
          <w:rFonts w:ascii="Arial" w:hAnsi="Arial" w:cs="Arial"/>
          <w:i/>
          <w:iCs/>
        </w:rPr>
        <w:t xml:space="preserve"> </w:t>
      </w:r>
      <w:r w:rsidR="009F7970" w:rsidRPr="00B22A86">
        <w:rPr>
          <w:rFonts w:ascii="Arial" w:hAnsi="Arial" w:cs="Arial"/>
          <w:i/>
          <w:iCs/>
        </w:rPr>
        <w:t>priori</w:t>
      </w:r>
      <w:r w:rsidR="009F7970" w:rsidRPr="00B22A86">
        <w:rPr>
          <w:rFonts w:ascii="Arial" w:hAnsi="Arial" w:cs="Arial"/>
        </w:rPr>
        <w:t xml:space="preserve"> contradictoire avec le fait que sur la même période la population </w:t>
      </w:r>
      <w:r w:rsidR="00F11D1D" w:rsidRPr="00B22A86">
        <w:rPr>
          <w:rFonts w:ascii="Arial" w:hAnsi="Arial" w:cs="Arial"/>
        </w:rPr>
        <w:t xml:space="preserve">de </w:t>
      </w:r>
      <w:r w:rsidR="009F7970" w:rsidRPr="00B22A86">
        <w:rPr>
          <w:rFonts w:ascii="Arial" w:hAnsi="Arial" w:cs="Arial"/>
        </w:rPr>
        <w:t xml:space="preserve">15-24 qui ne finit pas le </w:t>
      </w:r>
      <w:r w:rsidR="00ED7179" w:rsidRPr="00B22A86">
        <w:rPr>
          <w:rFonts w:ascii="Arial" w:hAnsi="Arial" w:cs="Arial"/>
        </w:rPr>
        <w:t>lycée</w:t>
      </w:r>
      <w:r w:rsidR="009F7970" w:rsidRPr="00B22A86">
        <w:rPr>
          <w:rFonts w:ascii="Arial" w:hAnsi="Arial" w:cs="Arial"/>
        </w:rPr>
        <w:t xml:space="preserve"> est également en forte augmentation</w:t>
      </w:r>
      <w:r w:rsidR="00F11D1D" w:rsidRPr="00B22A86">
        <w:rPr>
          <w:rFonts w:ascii="Arial" w:hAnsi="Arial" w:cs="Arial"/>
        </w:rPr>
        <w:t xml:space="preserve"> pour cette région. La table de données </w:t>
      </w:r>
      <w:r w:rsidR="00637DA8" w:rsidRPr="00B22A86">
        <w:rPr>
          <w:rFonts w:ascii="Arial" w:hAnsi="Arial" w:cs="Arial"/>
        </w:rPr>
        <w:t>méthodologiques</w:t>
      </w:r>
      <w:r w:rsidR="00F11D1D" w:rsidRPr="00B22A86">
        <w:rPr>
          <w:rFonts w:ascii="Arial" w:hAnsi="Arial" w:cs="Arial"/>
        </w:rPr>
        <w:t xml:space="preserve"> ne contenant pas d’informations suffisantes </w:t>
      </w:r>
      <w:r w:rsidR="00B22A86" w:rsidRPr="00B22A86">
        <w:rPr>
          <w:rFonts w:ascii="Arial" w:hAnsi="Arial" w:cs="Arial"/>
        </w:rPr>
        <w:t>à</w:t>
      </w:r>
      <w:r w:rsidR="00F11D1D" w:rsidRPr="00B22A86">
        <w:rPr>
          <w:rFonts w:ascii="Arial" w:hAnsi="Arial" w:cs="Arial"/>
        </w:rPr>
        <w:t xml:space="preserve"> cet égard, nous n’avons pas pu </w:t>
      </w:r>
      <w:r w:rsidR="00637DA8" w:rsidRPr="00B22A86">
        <w:rPr>
          <w:rFonts w:ascii="Arial" w:hAnsi="Arial" w:cs="Arial"/>
        </w:rPr>
        <w:t>élucider</w:t>
      </w:r>
      <w:r w:rsidR="00F11D1D" w:rsidRPr="00B22A86">
        <w:rPr>
          <w:rFonts w:ascii="Arial" w:hAnsi="Arial" w:cs="Arial"/>
        </w:rPr>
        <w:t xml:space="preserve"> cette </w:t>
      </w:r>
      <w:r w:rsidR="00637DA8" w:rsidRPr="00B22A86">
        <w:rPr>
          <w:rFonts w:ascii="Arial" w:hAnsi="Arial" w:cs="Arial"/>
        </w:rPr>
        <w:t>contradiction</w:t>
      </w:r>
      <w:r w:rsidR="00F11D1D" w:rsidRPr="00B22A86">
        <w:rPr>
          <w:rFonts w:ascii="Arial" w:hAnsi="Arial" w:cs="Arial"/>
        </w:rPr>
        <w:t xml:space="preserve"> apparente</w:t>
      </w:r>
      <w:r w:rsidR="009F7970" w:rsidRPr="00B22A86">
        <w:rPr>
          <w:rFonts w:ascii="Arial" w:hAnsi="Arial" w:cs="Arial"/>
        </w:rPr>
        <w:t>.</w:t>
      </w:r>
    </w:p>
    <w:p w14:paraId="586E46F8" w14:textId="77777777" w:rsidR="001F3CD3" w:rsidRPr="00F11D1D" w:rsidRDefault="001F3CD3" w:rsidP="00CB275A">
      <w:pPr>
        <w:spacing w:line="360" w:lineRule="auto"/>
        <w:jc w:val="both"/>
        <w:rPr>
          <w:rFonts w:ascii="Arial" w:hAnsi="Arial" w:cs="Arial"/>
        </w:rPr>
      </w:pPr>
    </w:p>
    <w:p w14:paraId="6359B83D" w14:textId="4D801CBD" w:rsidR="001F3CD3" w:rsidRPr="009F572A" w:rsidRDefault="001F3CD3" w:rsidP="00CB275A">
      <w:pPr>
        <w:spacing w:line="360" w:lineRule="auto"/>
        <w:jc w:val="both"/>
        <w:rPr>
          <w:rFonts w:ascii="Arial" w:hAnsi="Arial" w:cs="Arial"/>
          <w:b/>
          <w:bCs/>
        </w:rPr>
      </w:pPr>
      <w:r w:rsidRPr="009F572A">
        <w:rPr>
          <w:rFonts w:ascii="Arial" w:hAnsi="Arial" w:cs="Arial"/>
          <w:b/>
          <w:bCs/>
        </w:rPr>
        <w:t>[SLIDE 20]</w:t>
      </w:r>
    </w:p>
    <w:p w14:paraId="5625C047" w14:textId="7F053716" w:rsidR="008E3079" w:rsidRPr="00CB275A" w:rsidRDefault="009F7970" w:rsidP="00CB275A">
      <w:pPr>
        <w:spacing w:line="360" w:lineRule="auto"/>
        <w:jc w:val="both"/>
        <w:rPr>
          <w:rFonts w:ascii="Arial" w:hAnsi="Arial" w:cs="Arial"/>
        </w:rPr>
      </w:pPr>
      <w:r w:rsidRPr="00CB275A">
        <w:rPr>
          <w:rFonts w:ascii="Arial" w:hAnsi="Arial" w:cs="Arial"/>
        </w:rPr>
        <w:t xml:space="preserve">Afin de </w:t>
      </w:r>
      <w:r w:rsidR="00ED7179" w:rsidRPr="00CB275A">
        <w:rPr>
          <w:rFonts w:ascii="Arial" w:hAnsi="Arial" w:cs="Arial"/>
        </w:rPr>
        <w:t>décider</w:t>
      </w:r>
      <w:r w:rsidRPr="00CB275A">
        <w:rPr>
          <w:rFonts w:ascii="Arial" w:hAnsi="Arial" w:cs="Arial"/>
        </w:rPr>
        <w:t xml:space="preserve"> </w:t>
      </w:r>
      <w:r w:rsidR="00ED7179" w:rsidRPr="00CB275A">
        <w:rPr>
          <w:rFonts w:ascii="Arial" w:hAnsi="Arial" w:cs="Arial"/>
        </w:rPr>
        <w:t>quel</w:t>
      </w:r>
      <w:r w:rsidR="00C0397B">
        <w:rPr>
          <w:rFonts w:ascii="Arial" w:hAnsi="Arial" w:cs="Arial"/>
        </w:rPr>
        <w:t>s</w:t>
      </w:r>
      <w:r w:rsidRPr="00CB275A">
        <w:rPr>
          <w:rFonts w:ascii="Arial" w:hAnsi="Arial" w:cs="Arial"/>
        </w:rPr>
        <w:t xml:space="preserve"> pays cibler pour notre expansion internationale, nous avons choisi d’</w:t>
      </w:r>
      <w:r w:rsidR="00ED7179" w:rsidRPr="00CB275A">
        <w:rPr>
          <w:rFonts w:ascii="Arial" w:hAnsi="Arial" w:cs="Arial"/>
        </w:rPr>
        <w:t>établir</w:t>
      </w:r>
      <w:r w:rsidRPr="00CB275A">
        <w:rPr>
          <w:rFonts w:ascii="Arial" w:hAnsi="Arial" w:cs="Arial"/>
        </w:rPr>
        <w:t xml:space="preserve"> un classement de notre </w:t>
      </w:r>
      <w:r w:rsidR="00ED7179" w:rsidRPr="00CB275A">
        <w:rPr>
          <w:rFonts w:ascii="Arial" w:hAnsi="Arial" w:cs="Arial"/>
        </w:rPr>
        <w:t>échantillon</w:t>
      </w:r>
      <w:r w:rsidRPr="00CB275A">
        <w:rPr>
          <w:rFonts w:ascii="Arial" w:hAnsi="Arial" w:cs="Arial"/>
        </w:rPr>
        <w:t xml:space="preserve"> de pays en fonction de 6 </w:t>
      </w:r>
      <w:r w:rsidR="00ED7179" w:rsidRPr="00CB275A">
        <w:rPr>
          <w:rFonts w:ascii="Arial" w:hAnsi="Arial" w:cs="Arial"/>
        </w:rPr>
        <w:t>critères</w:t>
      </w:r>
      <w:r w:rsidRPr="00CB275A">
        <w:rPr>
          <w:rFonts w:ascii="Arial" w:hAnsi="Arial" w:cs="Arial"/>
        </w:rPr>
        <w:t xml:space="preserve"> historiques</w:t>
      </w:r>
      <w:r w:rsidR="00573E0C">
        <w:rPr>
          <w:rFonts w:ascii="Arial" w:hAnsi="Arial" w:cs="Arial"/>
        </w:rPr>
        <w:t>, à savoir :</w:t>
      </w:r>
      <w:r w:rsidRPr="00CB275A">
        <w:rPr>
          <w:rFonts w:ascii="Arial" w:hAnsi="Arial" w:cs="Arial"/>
        </w:rPr>
        <w:t xml:space="preserve"> </w:t>
      </w:r>
      <w:r w:rsidR="00C0397B">
        <w:rPr>
          <w:rFonts w:ascii="Arial" w:hAnsi="Arial" w:cs="Arial"/>
        </w:rPr>
        <w:t xml:space="preserve">le </w:t>
      </w:r>
      <w:r w:rsidRPr="00CB275A">
        <w:rPr>
          <w:rFonts w:ascii="Arial" w:hAnsi="Arial" w:cs="Arial"/>
        </w:rPr>
        <w:t>taux d’</w:t>
      </w:r>
      <w:r w:rsidR="00ED7179" w:rsidRPr="00CB275A">
        <w:rPr>
          <w:rFonts w:ascii="Arial" w:hAnsi="Arial" w:cs="Arial"/>
        </w:rPr>
        <w:t>accès</w:t>
      </w:r>
      <w:r w:rsidRPr="00CB275A">
        <w:rPr>
          <w:rFonts w:ascii="Arial" w:hAnsi="Arial" w:cs="Arial"/>
        </w:rPr>
        <w:t xml:space="preserve"> </w:t>
      </w:r>
      <w:r w:rsidR="00573E0C" w:rsidRPr="00CB275A">
        <w:rPr>
          <w:rFonts w:ascii="Arial" w:hAnsi="Arial" w:cs="Arial"/>
        </w:rPr>
        <w:t>à</w:t>
      </w:r>
      <w:r w:rsidRPr="00CB275A">
        <w:rPr>
          <w:rFonts w:ascii="Arial" w:hAnsi="Arial" w:cs="Arial"/>
        </w:rPr>
        <w:t xml:space="preserve"> internet, </w:t>
      </w:r>
      <w:r w:rsidR="00C0397B">
        <w:rPr>
          <w:rFonts w:ascii="Arial" w:hAnsi="Arial" w:cs="Arial"/>
        </w:rPr>
        <w:t xml:space="preserve">le </w:t>
      </w:r>
      <w:r w:rsidRPr="00CB275A">
        <w:rPr>
          <w:rFonts w:ascii="Arial" w:hAnsi="Arial" w:cs="Arial"/>
        </w:rPr>
        <w:t>taux d’</w:t>
      </w:r>
      <w:r w:rsidR="00ED7179" w:rsidRPr="00CB275A">
        <w:rPr>
          <w:rFonts w:ascii="Arial" w:hAnsi="Arial" w:cs="Arial"/>
        </w:rPr>
        <w:t>inscri</w:t>
      </w:r>
      <w:r w:rsidR="00573E0C">
        <w:rPr>
          <w:rFonts w:ascii="Arial" w:hAnsi="Arial" w:cs="Arial"/>
        </w:rPr>
        <w:t>ption</w:t>
      </w:r>
      <w:r w:rsidR="008E3079" w:rsidRPr="00CB275A">
        <w:rPr>
          <w:rFonts w:ascii="Arial" w:hAnsi="Arial" w:cs="Arial"/>
        </w:rPr>
        <w:t xml:space="preserve"> dans l’enseignement secondaire et </w:t>
      </w:r>
      <w:r w:rsidR="00573E0C">
        <w:rPr>
          <w:rFonts w:ascii="Arial" w:hAnsi="Arial" w:cs="Arial"/>
        </w:rPr>
        <w:t>universitaire</w:t>
      </w:r>
      <w:r w:rsidR="008E3079" w:rsidRPr="00CB275A">
        <w:rPr>
          <w:rFonts w:ascii="Arial" w:hAnsi="Arial" w:cs="Arial"/>
        </w:rPr>
        <w:t xml:space="preserve">, </w:t>
      </w:r>
      <w:r w:rsidR="00C0397B">
        <w:rPr>
          <w:rFonts w:ascii="Arial" w:hAnsi="Arial" w:cs="Arial"/>
        </w:rPr>
        <w:t xml:space="preserve">la </w:t>
      </w:r>
      <w:r w:rsidR="008E3079" w:rsidRPr="00CB275A">
        <w:rPr>
          <w:rFonts w:ascii="Arial" w:hAnsi="Arial" w:cs="Arial"/>
        </w:rPr>
        <w:t xml:space="preserve">population </w:t>
      </w:r>
      <w:r w:rsidR="00C0397B">
        <w:rPr>
          <w:rFonts w:ascii="Arial" w:hAnsi="Arial" w:cs="Arial"/>
        </w:rPr>
        <w:t xml:space="preserve">de </w:t>
      </w:r>
      <w:r w:rsidR="008E3079" w:rsidRPr="00CB275A">
        <w:rPr>
          <w:rFonts w:ascii="Arial" w:hAnsi="Arial" w:cs="Arial"/>
        </w:rPr>
        <w:t>15</w:t>
      </w:r>
      <w:r w:rsidR="00C0397B">
        <w:rPr>
          <w:rFonts w:ascii="Arial" w:hAnsi="Arial" w:cs="Arial"/>
        </w:rPr>
        <w:t xml:space="preserve"> à </w:t>
      </w:r>
      <w:r w:rsidR="008E3079" w:rsidRPr="00CB275A">
        <w:rPr>
          <w:rFonts w:ascii="Arial" w:hAnsi="Arial" w:cs="Arial"/>
        </w:rPr>
        <w:t xml:space="preserve">24 ans, </w:t>
      </w:r>
      <w:r w:rsidR="00C0397B">
        <w:rPr>
          <w:rFonts w:ascii="Arial" w:hAnsi="Arial" w:cs="Arial"/>
        </w:rPr>
        <w:t xml:space="preserve">le </w:t>
      </w:r>
      <w:r w:rsidR="008E3079" w:rsidRPr="00CB275A">
        <w:rPr>
          <w:rFonts w:ascii="Arial" w:hAnsi="Arial" w:cs="Arial"/>
        </w:rPr>
        <w:t xml:space="preserve">taux de croissance moyen de la population et </w:t>
      </w:r>
      <w:r w:rsidR="00C0397B">
        <w:rPr>
          <w:rFonts w:ascii="Arial" w:hAnsi="Arial" w:cs="Arial"/>
        </w:rPr>
        <w:t xml:space="preserve">le </w:t>
      </w:r>
      <w:r w:rsidR="008E3079" w:rsidRPr="00CB275A">
        <w:rPr>
          <w:rFonts w:ascii="Arial" w:hAnsi="Arial" w:cs="Arial"/>
        </w:rPr>
        <w:t>PIB par habitant</w:t>
      </w:r>
      <w:r w:rsidR="00ED7179" w:rsidRPr="00CB275A">
        <w:rPr>
          <w:rFonts w:ascii="Arial" w:hAnsi="Arial" w:cs="Arial"/>
        </w:rPr>
        <w:t>. Afin</w:t>
      </w:r>
      <w:r w:rsidR="008E3079" w:rsidRPr="00CB275A">
        <w:rPr>
          <w:rFonts w:ascii="Arial" w:hAnsi="Arial" w:cs="Arial"/>
        </w:rPr>
        <w:t xml:space="preserve"> d’</w:t>
      </w:r>
      <w:r w:rsidR="00ED7179" w:rsidRPr="00CB275A">
        <w:rPr>
          <w:rFonts w:ascii="Arial" w:hAnsi="Arial" w:cs="Arial"/>
        </w:rPr>
        <w:t>améliorer</w:t>
      </w:r>
      <w:r w:rsidR="008E3079" w:rsidRPr="00CB275A">
        <w:rPr>
          <w:rFonts w:ascii="Arial" w:hAnsi="Arial" w:cs="Arial"/>
        </w:rPr>
        <w:t xml:space="preserve"> la </w:t>
      </w:r>
      <w:r w:rsidR="00ED7179" w:rsidRPr="00CB275A">
        <w:rPr>
          <w:rFonts w:ascii="Arial" w:hAnsi="Arial" w:cs="Arial"/>
        </w:rPr>
        <w:t>qualité</w:t>
      </w:r>
      <w:r w:rsidR="008E3079" w:rsidRPr="00CB275A">
        <w:rPr>
          <w:rFonts w:ascii="Arial" w:hAnsi="Arial" w:cs="Arial"/>
        </w:rPr>
        <w:t xml:space="preserve"> des résultats, il convient </w:t>
      </w:r>
      <w:r w:rsidR="00573E0C">
        <w:rPr>
          <w:rFonts w:ascii="Arial" w:hAnsi="Arial" w:cs="Arial"/>
        </w:rPr>
        <w:t xml:space="preserve">donc </w:t>
      </w:r>
      <w:r w:rsidR="008E3079" w:rsidRPr="00CB275A">
        <w:rPr>
          <w:rFonts w:ascii="Arial" w:hAnsi="Arial" w:cs="Arial"/>
        </w:rPr>
        <w:t xml:space="preserve">de retraiter les valeurs manquantes. Les supprimer reviendrait </w:t>
      </w:r>
      <w:r w:rsidR="00ED7179" w:rsidRPr="00CB275A">
        <w:rPr>
          <w:rFonts w:ascii="Arial" w:hAnsi="Arial" w:cs="Arial"/>
        </w:rPr>
        <w:t>à</w:t>
      </w:r>
      <w:r w:rsidR="008E3079" w:rsidRPr="00CB275A">
        <w:rPr>
          <w:rFonts w:ascii="Arial" w:hAnsi="Arial" w:cs="Arial"/>
        </w:rPr>
        <w:t xml:space="preserve"> éliminer trop de pays de notre </w:t>
      </w:r>
      <w:r w:rsidR="00ED7179" w:rsidRPr="00CB275A">
        <w:rPr>
          <w:rFonts w:ascii="Arial" w:hAnsi="Arial" w:cs="Arial"/>
        </w:rPr>
        <w:t>échantillon</w:t>
      </w:r>
      <w:r w:rsidR="008E3079" w:rsidRPr="00CB275A">
        <w:rPr>
          <w:rFonts w:ascii="Arial" w:hAnsi="Arial" w:cs="Arial"/>
        </w:rPr>
        <w:t xml:space="preserve">, donc nous avons choisi de procéder </w:t>
      </w:r>
      <w:r w:rsidR="00573E0C">
        <w:rPr>
          <w:rFonts w:ascii="Arial" w:hAnsi="Arial" w:cs="Arial"/>
        </w:rPr>
        <w:t>à</w:t>
      </w:r>
      <w:r w:rsidR="008E3079" w:rsidRPr="00CB275A">
        <w:rPr>
          <w:rFonts w:ascii="Arial" w:hAnsi="Arial" w:cs="Arial"/>
        </w:rPr>
        <w:t xml:space="preserve"> des imputations. </w:t>
      </w:r>
    </w:p>
    <w:p w14:paraId="352E7887" w14:textId="061F4720" w:rsidR="00B22A86" w:rsidRDefault="00B22A86">
      <w:pPr>
        <w:rPr>
          <w:rFonts w:ascii="Arial" w:hAnsi="Arial" w:cs="Arial"/>
        </w:rPr>
      </w:pPr>
    </w:p>
    <w:p w14:paraId="5404C379" w14:textId="77777777" w:rsidR="008E3079" w:rsidRPr="009F572A" w:rsidRDefault="008E3079" w:rsidP="00CB275A">
      <w:pPr>
        <w:spacing w:line="360" w:lineRule="auto"/>
        <w:jc w:val="both"/>
        <w:rPr>
          <w:rFonts w:ascii="Arial" w:hAnsi="Arial" w:cs="Arial"/>
          <w:b/>
          <w:bCs/>
        </w:rPr>
      </w:pPr>
      <w:r w:rsidRPr="009F572A">
        <w:rPr>
          <w:rFonts w:ascii="Arial" w:hAnsi="Arial" w:cs="Arial"/>
          <w:b/>
          <w:bCs/>
        </w:rPr>
        <w:t>[SLIDE 21]</w:t>
      </w:r>
    </w:p>
    <w:p w14:paraId="76E05B8A" w14:textId="1C6FC40C" w:rsidR="008E3079" w:rsidRDefault="000744C6" w:rsidP="00CB275A">
      <w:pPr>
        <w:spacing w:line="360" w:lineRule="auto"/>
        <w:jc w:val="both"/>
        <w:rPr>
          <w:rFonts w:ascii="Arial" w:hAnsi="Arial" w:cs="Arial"/>
        </w:rPr>
      </w:pPr>
      <w:r>
        <w:rPr>
          <w:rFonts w:ascii="Arial" w:hAnsi="Arial" w:cs="Arial"/>
        </w:rPr>
        <w:t>A</w:t>
      </w:r>
      <w:r w:rsidRPr="000744C6">
        <w:rPr>
          <w:rFonts w:ascii="Arial" w:hAnsi="Arial" w:cs="Arial"/>
        </w:rPr>
        <w:t xml:space="preserve">vant d'appliquer un </w:t>
      </w:r>
      <w:proofErr w:type="spellStart"/>
      <w:r w:rsidRPr="000744C6">
        <w:rPr>
          <w:rFonts w:ascii="Arial" w:hAnsi="Arial" w:cs="Arial"/>
        </w:rPr>
        <w:t>ranking</w:t>
      </w:r>
      <w:proofErr w:type="spellEnd"/>
      <w:r w:rsidRPr="000744C6">
        <w:rPr>
          <w:rFonts w:ascii="Arial" w:hAnsi="Arial" w:cs="Arial"/>
        </w:rPr>
        <w:t xml:space="preserve"> aux diff</w:t>
      </w:r>
      <w:r>
        <w:rPr>
          <w:rFonts w:ascii="Arial" w:hAnsi="Arial" w:cs="Arial"/>
        </w:rPr>
        <w:t>é</w:t>
      </w:r>
      <w:r w:rsidRPr="000744C6">
        <w:rPr>
          <w:rFonts w:ascii="Arial" w:hAnsi="Arial" w:cs="Arial"/>
        </w:rPr>
        <w:t>rent</w:t>
      </w:r>
      <w:r>
        <w:rPr>
          <w:rFonts w:ascii="Arial" w:hAnsi="Arial" w:cs="Arial"/>
        </w:rPr>
        <w:t>s</w:t>
      </w:r>
      <w:r w:rsidRPr="000744C6">
        <w:rPr>
          <w:rFonts w:ascii="Arial" w:hAnsi="Arial" w:cs="Arial"/>
        </w:rPr>
        <w:t xml:space="preserve"> pays sur chacun des indicateurs, nous avons décidé de procéder au remplissage des valeurs manquantes par la valeur médiane pour cet indicateur pour </w:t>
      </w:r>
      <w:r>
        <w:rPr>
          <w:rFonts w:ascii="Arial" w:hAnsi="Arial" w:cs="Arial"/>
        </w:rPr>
        <w:t>le groupe de revenus</w:t>
      </w:r>
      <w:r w:rsidRPr="000744C6">
        <w:rPr>
          <w:rFonts w:ascii="Arial" w:hAnsi="Arial" w:cs="Arial"/>
        </w:rPr>
        <w:t xml:space="preserve"> auquel le pays appartient. Notre cible principale étant les pays à </w:t>
      </w:r>
      <w:r>
        <w:rPr>
          <w:rFonts w:ascii="Arial" w:hAnsi="Arial" w:cs="Arial"/>
        </w:rPr>
        <w:t>haut</w:t>
      </w:r>
      <w:r w:rsidR="00772254">
        <w:rPr>
          <w:rFonts w:ascii="Arial" w:hAnsi="Arial" w:cs="Arial"/>
        </w:rPr>
        <w:t xml:space="preserve"> revenu</w:t>
      </w:r>
      <w:r>
        <w:rPr>
          <w:rFonts w:ascii="Arial" w:hAnsi="Arial" w:cs="Arial"/>
        </w:rPr>
        <w:t xml:space="preserve"> et</w:t>
      </w:r>
      <w:r w:rsidR="00772254">
        <w:rPr>
          <w:rFonts w:ascii="Arial" w:hAnsi="Arial" w:cs="Arial"/>
        </w:rPr>
        <w:t xml:space="preserve"> à revenu</w:t>
      </w:r>
      <w:r>
        <w:rPr>
          <w:rFonts w:ascii="Arial" w:hAnsi="Arial" w:cs="Arial"/>
        </w:rPr>
        <w:t xml:space="preserve"> moyen supérieur</w:t>
      </w:r>
      <w:r w:rsidRPr="000744C6">
        <w:rPr>
          <w:rFonts w:ascii="Arial" w:hAnsi="Arial" w:cs="Arial"/>
        </w:rPr>
        <w:t xml:space="preserve">, </w:t>
      </w:r>
      <w:r>
        <w:rPr>
          <w:rFonts w:ascii="Arial" w:hAnsi="Arial" w:cs="Arial"/>
        </w:rPr>
        <w:t xml:space="preserve">le niveau de développement de ces pays porte à penser que </w:t>
      </w:r>
      <w:r w:rsidRPr="000744C6">
        <w:rPr>
          <w:rFonts w:ascii="Arial" w:hAnsi="Arial" w:cs="Arial"/>
        </w:rPr>
        <w:t xml:space="preserve">les valeurs manquantes </w:t>
      </w:r>
      <w:r>
        <w:rPr>
          <w:rFonts w:ascii="Arial" w:hAnsi="Arial" w:cs="Arial"/>
        </w:rPr>
        <w:t>y</w:t>
      </w:r>
      <w:r w:rsidRPr="000744C6">
        <w:rPr>
          <w:rFonts w:ascii="Arial" w:hAnsi="Arial" w:cs="Arial"/>
        </w:rPr>
        <w:t xml:space="preserve"> sont très certainement dues à un problème de collecte et/ou de retraitement, plutôt qu'a l'absence de ces indicateurs ou</w:t>
      </w:r>
      <w:r w:rsidR="00772254">
        <w:rPr>
          <w:rFonts w:ascii="Arial" w:hAnsi="Arial" w:cs="Arial"/>
        </w:rPr>
        <w:t xml:space="preserve"> à</w:t>
      </w:r>
      <w:r w:rsidRPr="000744C6">
        <w:rPr>
          <w:rFonts w:ascii="Arial" w:hAnsi="Arial" w:cs="Arial"/>
        </w:rPr>
        <w:t xml:space="preserve"> leur nullité, et l'imputation par la médiane permet donc de ne pas défavoriser ces pays intéressants pour notre stratégie pour un manque relatif de certaines données. L'imputation par la médiane appara</w:t>
      </w:r>
      <w:r>
        <w:rPr>
          <w:rFonts w:ascii="Arial" w:hAnsi="Arial" w:cs="Arial"/>
        </w:rPr>
        <w:t>î</w:t>
      </w:r>
      <w:r w:rsidRPr="000744C6">
        <w:rPr>
          <w:rFonts w:ascii="Arial" w:hAnsi="Arial" w:cs="Arial"/>
        </w:rPr>
        <w:t>t comme une mesure raisonnable dans notre cas en raison de la présence d'</w:t>
      </w:r>
      <w:proofErr w:type="spellStart"/>
      <w:r w:rsidRPr="000744C6">
        <w:rPr>
          <w:rFonts w:ascii="Arial" w:hAnsi="Arial" w:cs="Arial"/>
        </w:rPr>
        <w:t>outliers</w:t>
      </w:r>
      <w:proofErr w:type="spellEnd"/>
      <w:r w:rsidRPr="000744C6">
        <w:rPr>
          <w:rFonts w:ascii="Arial" w:hAnsi="Arial" w:cs="Arial"/>
        </w:rPr>
        <w:t xml:space="preserve"> dans les </w:t>
      </w:r>
      <w:r>
        <w:rPr>
          <w:rFonts w:ascii="Arial" w:hAnsi="Arial" w:cs="Arial"/>
        </w:rPr>
        <w:t>groupes de revenus</w:t>
      </w:r>
      <w:r w:rsidRPr="000744C6">
        <w:rPr>
          <w:rFonts w:ascii="Arial" w:hAnsi="Arial" w:cs="Arial"/>
        </w:rPr>
        <w:t xml:space="preserve"> au niveau de certains indicateurs, </w:t>
      </w:r>
      <w:r>
        <w:rPr>
          <w:rFonts w:ascii="Arial" w:hAnsi="Arial" w:cs="Arial"/>
        </w:rPr>
        <w:t xml:space="preserve">et de la </w:t>
      </w:r>
      <w:r w:rsidRPr="00CB275A">
        <w:rPr>
          <w:rFonts w:ascii="Arial" w:hAnsi="Arial" w:cs="Arial"/>
        </w:rPr>
        <w:t>distribution relativement aléatoire des valeurs manquantes,</w:t>
      </w:r>
      <w:r>
        <w:rPr>
          <w:rFonts w:ascii="Arial" w:hAnsi="Arial" w:cs="Arial"/>
        </w:rPr>
        <w:t xml:space="preserve"> </w:t>
      </w:r>
      <w:r w:rsidRPr="000744C6">
        <w:rPr>
          <w:rFonts w:ascii="Arial" w:hAnsi="Arial" w:cs="Arial"/>
        </w:rPr>
        <w:t>et constitue une des imputations les plus neutres au vu des données disponibles, permettant comme on l'a dit de ne pas défavoriser certains pays tout en n'introduisant pas de biais dans l'analyse des rangs.</w:t>
      </w:r>
    </w:p>
    <w:p w14:paraId="68F8C4D2" w14:textId="77777777" w:rsidR="001F3CD3" w:rsidRPr="00573E0C" w:rsidRDefault="001F3CD3" w:rsidP="00CB275A">
      <w:pPr>
        <w:spacing w:line="360" w:lineRule="auto"/>
        <w:jc w:val="both"/>
        <w:rPr>
          <w:rFonts w:ascii="Arial" w:hAnsi="Arial" w:cs="Arial"/>
        </w:rPr>
      </w:pPr>
    </w:p>
    <w:p w14:paraId="12ADB99F" w14:textId="3A235B2D" w:rsidR="001F3CD3" w:rsidRPr="009F572A" w:rsidRDefault="001F3CD3" w:rsidP="00CB275A">
      <w:pPr>
        <w:spacing w:line="360" w:lineRule="auto"/>
        <w:jc w:val="both"/>
        <w:rPr>
          <w:rFonts w:ascii="Arial" w:hAnsi="Arial" w:cs="Arial"/>
          <w:b/>
          <w:bCs/>
        </w:rPr>
      </w:pPr>
      <w:r w:rsidRPr="009F572A">
        <w:rPr>
          <w:rFonts w:ascii="Arial" w:hAnsi="Arial" w:cs="Arial"/>
          <w:b/>
          <w:bCs/>
        </w:rPr>
        <w:t>[SLIDE 22]</w:t>
      </w:r>
    </w:p>
    <w:p w14:paraId="6E5FE8F8" w14:textId="5B834D98" w:rsidR="001F3CD3" w:rsidRPr="00CB275A" w:rsidRDefault="008E3079" w:rsidP="00CB275A">
      <w:pPr>
        <w:spacing w:line="360" w:lineRule="auto"/>
        <w:jc w:val="both"/>
        <w:rPr>
          <w:rFonts w:ascii="Arial" w:hAnsi="Arial" w:cs="Arial"/>
        </w:rPr>
      </w:pPr>
      <w:r w:rsidRPr="00CB275A">
        <w:rPr>
          <w:rFonts w:ascii="Arial" w:hAnsi="Arial" w:cs="Arial"/>
        </w:rPr>
        <w:t xml:space="preserve">Cette </w:t>
      </w:r>
      <w:r w:rsidR="00ED7179" w:rsidRPr="00CB275A">
        <w:rPr>
          <w:rFonts w:ascii="Arial" w:hAnsi="Arial" w:cs="Arial"/>
        </w:rPr>
        <w:t>décision</w:t>
      </w:r>
      <w:r w:rsidRPr="00CB275A">
        <w:rPr>
          <w:rFonts w:ascii="Arial" w:hAnsi="Arial" w:cs="Arial"/>
        </w:rPr>
        <w:t xml:space="preserve"> est par ailleurs également soutenue par la </w:t>
      </w:r>
      <w:r w:rsidR="00ED7179" w:rsidRPr="00CB275A">
        <w:rPr>
          <w:rFonts w:ascii="Arial" w:hAnsi="Arial" w:cs="Arial"/>
        </w:rPr>
        <w:t>présence</w:t>
      </w:r>
      <w:r w:rsidRPr="00CB275A">
        <w:rPr>
          <w:rFonts w:ascii="Arial" w:hAnsi="Arial" w:cs="Arial"/>
        </w:rPr>
        <w:t xml:space="preserve"> d’</w:t>
      </w:r>
      <w:proofErr w:type="spellStart"/>
      <w:r w:rsidR="00ED7179" w:rsidRPr="00CB275A">
        <w:rPr>
          <w:rFonts w:ascii="Arial" w:hAnsi="Arial" w:cs="Arial"/>
        </w:rPr>
        <w:t>out</w:t>
      </w:r>
      <w:r w:rsidR="00772254">
        <w:rPr>
          <w:rFonts w:ascii="Arial" w:hAnsi="Arial" w:cs="Arial"/>
        </w:rPr>
        <w:t>li</w:t>
      </w:r>
      <w:r w:rsidR="00ED7179" w:rsidRPr="00CB275A">
        <w:rPr>
          <w:rFonts w:ascii="Arial" w:hAnsi="Arial" w:cs="Arial"/>
        </w:rPr>
        <w:t>ers</w:t>
      </w:r>
      <w:proofErr w:type="spellEnd"/>
      <w:r w:rsidRPr="00CB275A">
        <w:rPr>
          <w:rFonts w:ascii="Arial" w:hAnsi="Arial" w:cs="Arial"/>
        </w:rPr>
        <w:t xml:space="preserve"> pour </w:t>
      </w:r>
      <w:r w:rsidR="00ED7179" w:rsidRPr="00CB275A">
        <w:rPr>
          <w:rFonts w:ascii="Arial" w:hAnsi="Arial" w:cs="Arial"/>
        </w:rPr>
        <w:t>presque</w:t>
      </w:r>
      <w:r w:rsidRPr="00CB275A">
        <w:rPr>
          <w:rFonts w:ascii="Arial" w:hAnsi="Arial" w:cs="Arial"/>
        </w:rPr>
        <w:t xml:space="preserve"> tous les indicateurs et les </w:t>
      </w:r>
      <w:r w:rsidR="00AE79C4">
        <w:rPr>
          <w:rFonts w:ascii="Arial" w:hAnsi="Arial" w:cs="Arial"/>
        </w:rPr>
        <w:t>groupes de revenus</w:t>
      </w:r>
      <w:r w:rsidRPr="00CB275A">
        <w:rPr>
          <w:rFonts w:ascii="Arial" w:hAnsi="Arial" w:cs="Arial"/>
        </w:rPr>
        <w:t xml:space="preserve">, </w:t>
      </w:r>
      <w:r w:rsidR="00ED7179" w:rsidRPr="00CB275A">
        <w:rPr>
          <w:rFonts w:ascii="Arial" w:hAnsi="Arial" w:cs="Arial"/>
        </w:rPr>
        <w:t>matérialis</w:t>
      </w:r>
      <w:r w:rsidR="00AE79C4">
        <w:rPr>
          <w:rFonts w:ascii="Arial" w:hAnsi="Arial" w:cs="Arial"/>
        </w:rPr>
        <w:t>é</w:t>
      </w:r>
      <w:r w:rsidR="00ED7179" w:rsidRPr="00CB275A">
        <w:rPr>
          <w:rFonts w:ascii="Arial" w:hAnsi="Arial" w:cs="Arial"/>
        </w:rPr>
        <w:t>s</w:t>
      </w:r>
      <w:r w:rsidRPr="00CB275A">
        <w:rPr>
          <w:rFonts w:ascii="Arial" w:hAnsi="Arial" w:cs="Arial"/>
        </w:rPr>
        <w:t xml:space="preserve"> ici par les cercles rouges</w:t>
      </w:r>
      <w:r w:rsidR="00794E06" w:rsidRPr="00CB275A">
        <w:rPr>
          <w:rFonts w:ascii="Arial" w:hAnsi="Arial" w:cs="Arial"/>
        </w:rPr>
        <w:t xml:space="preserve"> </w:t>
      </w:r>
      <w:r w:rsidR="00ED7179" w:rsidRPr="00CB275A">
        <w:rPr>
          <w:rFonts w:ascii="Arial" w:hAnsi="Arial" w:cs="Arial"/>
        </w:rPr>
        <w:t>au-dessus</w:t>
      </w:r>
      <w:r w:rsidR="00794E06" w:rsidRPr="00CB275A">
        <w:rPr>
          <w:rFonts w:ascii="Arial" w:hAnsi="Arial" w:cs="Arial"/>
        </w:rPr>
        <w:t xml:space="preserve"> </w:t>
      </w:r>
      <w:r w:rsidR="00772254">
        <w:rPr>
          <w:rFonts w:ascii="Arial" w:hAnsi="Arial" w:cs="Arial"/>
        </w:rPr>
        <w:t xml:space="preserve">ou en dessous </w:t>
      </w:r>
      <w:r w:rsidR="00794E06" w:rsidRPr="00CB275A">
        <w:rPr>
          <w:rFonts w:ascii="Arial" w:hAnsi="Arial" w:cs="Arial"/>
        </w:rPr>
        <w:t xml:space="preserve">des moustaches de nos </w:t>
      </w:r>
      <w:proofErr w:type="spellStart"/>
      <w:r w:rsidR="00AE79C4">
        <w:rPr>
          <w:rFonts w:ascii="Arial" w:hAnsi="Arial" w:cs="Arial"/>
        </w:rPr>
        <w:t>boxplo</w:t>
      </w:r>
      <w:r w:rsidR="00ED7179" w:rsidRPr="00CB275A">
        <w:rPr>
          <w:rFonts w:ascii="Arial" w:hAnsi="Arial" w:cs="Arial"/>
        </w:rPr>
        <w:t>ts</w:t>
      </w:r>
      <w:proofErr w:type="spellEnd"/>
      <w:r w:rsidR="00794E06" w:rsidRPr="00CB275A">
        <w:rPr>
          <w:rFonts w:ascii="Arial" w:hAnsi="Arial" w:cs="Arial"/>
        </w:rPr>
        <w:t xml:space="preserve">. Au vu des valeurs manquantes et des </w:t>
      </w:r>
      <w:proofErr w:type="spellStart"/>
      <w:r w:rsidR="00ED7179" w:rsidRPr="00CB275A">
        <w:rPr>
          <w:rFonts w:ascii="Arial" w:hAnsi="Arial" w:cs="Arial"/>
        </w:rPr>
        <w:t>out</w:t>
      </w:r>
      <w:r w:rsidR="00772254">
        <w:rPr>
          <w:rFonts w:ascii="Arial" w:hAnsi="Arial" w:cs="Arial"/>
        </w:rPr>
        <w:t>li</w:t>
      </w:r>
      <w:r w:rsidR="00ED7179" w:rsidRPr="00CB275A">
        <w:rPr>
          <w:rFonts w:ascii="Arial" w:hAnsi="Arial" w:cs="Arial"/>
        </w:rPr>
        <w:t>ers</w:t>
      </w:r>
      <w:proofErr w:type="spellEnd"/>
      <w:r w:rsidR="00794E06" w:rsidRPr="00CB275A">
        <w:rPr>
          <w:rFonts w:ascii="Arial" w:hAnsi="Arial" w:cs="Arial"/>
        </w:rPr>
        <w:t xml:space="preserve"> par </w:t>
      </w:r>
      <w:r w:rsidR="00AE79C4">
        <w:rPr>
          <w:rFonts w:ascii="Arial" w:hAnsi="Arial" w:cs="Arial"/>
        </w:rPr>
        <w:t>groupe de revenus</w:t>
      </w:r>
      <w:r w:rsidR="00794E06" w:rsidRPr="00CB275A">
        <w:rPr>
          <w:rFonts w:ascii="Arial" w:hAnsi="Arial" w:cs="Arial"/>
        </w:rPr>
        <w:t>, la médiane est donc un paramètre satisfaisant pour l’imputation des valeurs manquantes par pays</w:t>
      </w:r>
      <w:r w:rsidR="00800B6B">
        <w:rPr>
          <w:rFonts w:ascii="Arial" w:hAnsi="Arial" w:cs="Arial"/>
        </w:rPr>
        <w:t>, car elle n’est pas affectée par la présence d’</w:t>
      </w:r>
      <w:proofErr w:type="spellStart"/>
      <w:r w:rsidR="00800B6B">
        <w:rPr>
          <w:rFonts w:ascii="Arial" w:hAnsi="Arial" w:cs="Arial"/>
        </w:rPr>
        <w:t>out</w:t>
      </w:r>
      <w:r w:rsidR="00772254">
        <w:rPr>
          <w:rFonts w:ascii="Arial" w:hAnsi="Arial" w:cs="Arial"/>
        </w:rPr>
        <w:t>li</w:t>
      </w:r>
      <w:r w:rsidR="00800B6B">
        <w:rPr>
          <w:rFonts w:ascii="Arial" w:hAnsi="Arial" w:cs="Arial"/>
        </w:rPr>
        <w:t>ers</w:t>
      </w:r>
      <w:proofErr w:type="spellEnd"/>
      <w:r w:rsidR="00800B6B">
        <w:rPr>
          <w:rFonts w:ascii="Arial" w:hAnsi="Arial" w:cs="Arial"/>
        </w:rPr>
        <w:t xml:space="preserve"> ni de valeurs manquantes.</w:t>
      </w:r>
    </w:p>
    <w:p w14:paraId="1DA3EBFC" w14:textId="66FB00A6" w:rsidR="00AB0EC0" w:rsidRDefault="00AB0EC0">
      <w:pPr>
        <w:rPr>
          <w:rFonts w:ascii="Arial" w:hAnsi="Arial" w:cs="Arial"/>
          <w:lang w:val="en-GB"/>
        </w:rPr>
      </w:pPr>
    </w:p>
    <w:p w14:paraId="2DB6D3C4" w14:textId="31085325" w:rsidR="001F3CD3" w:rsidRPr="009F572A" w:rsidRDefault="001F3CD3" w:rsidP="00CB275A">
      <w:pPr>
        <w:spacing w:line="360" w:lineRule="auto"/>
        <w:jc w:val="both"/>
        <w:rPr>
          <w:rFonts w:ascii="Arial" w:hAnsi="Arial" w:cs="Arial"/>
          <w:b/>
          <w:bCs/>
        </w:rPr>
      </w:pPr>
      <w:r w:rsidRPr="009F572A">
        <w:rPr>
          <w:rFonts w:ascii="Arial" w:hAnsi="Arial" w:cs="Arial"/>
          <w:b/>
          <w:bCs/>
        </w:rPr>
        <w:t>[SLIDE 23]</w:t>
      </w:r>
    </w:p>
    <w:p w14:paraId="260B2901" w14:textId="7F8371E0" w:rsidR="001F3CD3" w:rsidRPr="00CB275A" w:rsidRDefault="00EF3495" w:rsidP="00CB275A">
      <w:pPr>
        <w:spacing w:line="360" w:lineRule="auto"/>
        <w:jc w:val="both"/>
        <w:rPr>
          <w:rFonts w:ascii="Arial" w:hAnsi="Arial" w:cs="Arial"/>
        </w:rPr>
      </w:pPr>
      <w:r w:rsidRPr="00CB275A">
        <w:rPr>
          <w:rFonts w:ascii="Arial" w:hAnsi="Arial" w:cs="Arial"/>
        </w:rPr>
        <w:t xml:space="preserve">La </w:t>
      </w:r>
      <w:r w:rsidR="00ED7179" w:rsidRPr="00CB275A">
        <w:rPr>
          <w:rFonts w:ascii="Arial" w:hAnsi="Arial" w:cs="Arial"/>
        </w:rPr>
        <w:t>méthodologie</w:t>
      </w:r>
      <w:r w:rsidRPr="00CB275A">
        <w:rPr>
          <w:rFonts w:ascii="Arial" w:hAnsi="Arial" w:cs="Arial"/>
        </w:rPr>
        <w:t xml:space="preserve"> de classement que nous avons </w:t>
      </w:r>
      <w:r w:rsidR="00ED7179" w:rsidRPr="00CB275A">
        <w:rPr>
          <w:rFonts w:ascii="Arial" w:hAnsi="Arial" w:cs="Arial"/>
        </w:rPr>
        <w:t>appliquée</w:t>
      </w:r>
      <w:r w:rsidRPr="00CB275A">
        <w:rPr>
          <w:rFonts w:ascii="Arial" w:hAnsi="Arial" w:cs="Arial"/>
        </w:rPr>
        <w:t xml:space="preserve"> </w:t>
      </w:r>
      <w:r w:rsidR="00AB0EC0">
        <w:rPr>
          <w:rFonts w:ascii="Arial" w:hAnsi="Arial" w:cs="Arial"/>
        </w:rPr>
        <w:t xml:space="preserve">a donc </w:t>
      </w:r>
      <w:r w:rsidRPr="00CB275A">
        <w:rPr>
          <w:rFonts w:ascii="Arial" w:hAnsi="Arial" w:cs="Arial"/>
        </w:rPr>
        <w:t>consist</w:t>
      </w:r>
      <w:r w:rsidR="00AB0EC0">
        <w:rPr>
          <w:rFonts w:ascii="Arial" w:hAnsi="Arial" w:cs="Arial"/>
        </w:rPr>
        <w:t>é</w:t>
      </w:r>
      <w:r w:rsidRPr="00CB275A">
        <w:rPr>
          <w:rFonts w:ascii="Arial" w:hAnsi="Arial" w:cs="Arial"/>
        </w:rPr>
        <w:t xml:space="preserve"> </w:t>
      </w:r>
      <w:r w:rsidR="00ED7179" w:rsidRPr="00CB275A">
        <w:rPr>
          <w:rFonts w:ascii="Arial" w:hAnsi="Arial" w:cs="Arial"/>
        </w:rPr>
        <w:t>à</w:t>
      </w:r>
      <w:r w:rsidRPr="00CB275A">
        <w:rPr>
          <w:rFonts w:ascii="Arial" w:hAnsi="Arial" w:cs="Arial"/>
        </w:rPr>
        <w:t xml:space="preserve"> calculer le dense </w:t>
      </w:r>
      <w:proofErr w:type="spellStart"/>
      <w:r w:rsidR="00ED7179">
        <w:rPr>
          <w:rFonts w:ascii="Arial" w:hAnsi="Arial" w:cs="Arial"/>
        </w:rPr>
        <w:t>r</w:t>
      </w:r>
      <w:r w:rsidR="00ED7179" w:rsidRPr="00CB275A">
        <w:rPr>
          <w:rFonts w:ascii="Arial" w:hAnsi="Arial" w:cs="Arial"/>
        </w:rPr>
        <w:t>ank</w:t>
      </w:r>
      <w:proofErr w:type="spellEnd"/>
      <w:r w:rsidRPr="00CB275A">
        <w:rPr>
          <w:rFonts w:ascii="Arial" w:hAnsi="Arial" w:cs="Arial"/>
        </w:rPr>
        <w:t xml:space="preserve"> (sans </w:t>
      </w:r>
      <w:r w:rsidRPr="001D2D3E">
        <w:rPr>
          <w:rFonts w:ascii="Arial" w:hAnsi="Arial" w:cs="Arial"/>
          <w:i/>
          <w:iCs/>
        </w:rPr>
        <w:t>ex</w:t>
      </w:r>
      <w:r w:rsidR="001D2D3E" w:rsidRPr="001D2D3E">
        <w:rPr>
          <w:rFonts w:ascii="Arial" w:hAnsi="Arial" w:cs="Arial"/>
          <w:i/>
          <w:iCs/>
        </w:rPr>
        <w:t>-æ</w:t>
      </w:r>
      <w:r w:rsidRPr="001D2D3E">
        <w:rPr>
          <w:rFonts w:ascii="Arial" w:hAnsi="Arial" w:cs="Arial"/>
          <w:i/>
          <w:iCs/>
        </w:rPr>
        <w:t>quo</w:t>
      </w:r>
      <w:r w:rsidRPr="00CB275A">
        <w:rPr>
          <w:rFonts w:ascii="Arial" w:hAnsi="Arial" w:cs="Arial"/>
        </w:rPr>
        <w:t>) de chaque pays pour chacun des 6 indicateurs retenus pour l’</w:t>
      </w:r>
      <w:r w:rsidR="00ED7179" w:rsidRPr="00CB275A">
        <w:rPr>
          <w:rFonts w:ascii="Arial" w:hAnsi="Arial" w:cs="Arial"/>
        </w:rPr>
        <w:t>année</w:t>
      </w:r>
      <w:r w:rsidRPr="00CB275A">
        <w:rPr>
          <w:rFonts w:ascii="Arial" w:hAnsi="Arial" w:cs="Arial"/>
        </w:rPr>
        <w:t xml:space="preserve"> 2015, puis de </w:t>
      </w:r>
      <w:r w:rsidR="00ED7179" w:rsidRPr="00CB275A">
        <w:rPr>
          <w:rFonts w:ascii="Arial" w:hAnsi="Arial" w:cs="Arial"/>
        </w:rPr>
        <w:t>calculer</w:t>
      </w:r>
      <w:r w:rsidRPr="00CB275A">
        <w:rPr>
          <w:rFonts w:ascii="Arial" w:hAnsi="Arial" w:cs="Arial"/>
        </w:rPr>
        <w:t xml:space="preserve"> le rang moyen des pays avant de les classer et de regarder les 20 </w:t>
      </w:r>
      <w:r w:rsidR="00ED7179" w:rsidRPr="00CB275A">
        <w:rPr>
          <w:rFonts w:ascii="Arial" w:hAnsi="Arial" w:cs="Arial"/>
        </w:rPr>
        <w:t>premiers</w:t>
      </w:r>
      <w:r w:rsidRPr="00CB275A">
        <w:rPr>
          <w:rFonts w:ascii="Arial" w:hAnsi="Arial" w:cs="Arial"/>
        </w:rPr>
        <w:t xml:space="preserve">. Nous avons également </w:t>
      </w:r>
      <w:r w:rsidR="00ED7179" w:rsidRPr="00CB275A">
        <w:rPr>
          <w:rFonts w:ascii="Arial" w:hAnsi="Arial" w:cs="Arial"/>
        </w:rPr>
        <w:t>calculé</w:t>
      </w:r>
      <w:r w:rsidRPr="00CB275A">
        <w:rPr>
          <w:rFonts w:ascii="Arial" w:hAnsi="Arial" w:cs="Arial"/>
        </w:rPr>
        <w:t xml:space="preserve"> un percentile </w:t>
      </w:r>
      <w:proofErr w:type="spellStart"/>
      <w:r w:rsidR="001D2D3E">
        <w:rPr>
          <w:rFonts w:ascii="Arial" w:hAnsi="Arial" w:cs="Arial"/>
        </w:rPr>
        <w:t>r</w:t>
      </w:r>
      <w:r w:rsidR="00ED7179" w:rsidRPr="00CB275A">
        <w:rPr>
          <w:rFonts w:ascii="Arial" w:hAnsi="Arial" w:cs="Arial"/>
        </w:rPr>
        <w:t>ank</w:t>
      </w:r>
      <w:proofErr w:type="spellEnd"/>
      <w:r w:rsidRPr="00CB275A">
        <w:rPr>
          <w:rFonts w:ascii="Arial" w:hAnsi="Arial" w:cs="Arial"/>
        </w:rPr>
        <w:t xml:space="preserve"> pour chaque pays et chaque indicateur, pour évaluer l’importance</w:t>
      </w:r>
      <w:r w:rsidR="00AB0EC0">
        <w:rPr>
          <w:rFonts w:ascii="Arial" w:hAnsi="Arial" w:cs="Arial"/>
        </w:rPr>
        <w:t xml:space="preserve"> relative</w:t>
      </w:r>
      <w:r w:rsidRPr="00CB275A">
        <w:rPr>
          <w:rFonts w:ascii="Arial" w:hAnsi="Arial" w:cs="Arial"/>
        </w:rPr>
        <w:t xml:space="preserve"> de chacun des 6 </w:t>
      </w:r>
      <w:r w:rsidR="00ED7179" w:rsidRPr="00CB275A">
        <w:rPr>
          <w:rFonts w:ascii="Arial" w:hAnsi="Arial" w:cs="Arial"/>
        </w:rPr>
        <w:t>indicateurs</w:t>
      </w:r>
      <w:r w:rsidRPr="00CB275A">
        <w:rPr>
          <w:rFonts w:ascii="Arial" w:hAnsi="Arial" w:cs="Arial"/>
        </w:rPr>
        <w:t xml:space="preserve"> sous-jacents dans le classement final des pays.</w:t>
      </w:r>
    </w:p>
    <w:p w14:paraId="0B973E73" w14:textId="77777777" w:rsidR="001F3CD3" w:rsidRPr="00CB275A" w:rsidRDefault="001F3CD3" w:rsidP="00CB275A">
      <w:pPr>
        <w:spacing w:line="360" w:lineRule="auto"/>
        <w:jc w:val="both"/>
        <w:rPr>
          <w:rFonts w:ascii="Arial" w:hAnsi="Arial" w:cs="Arial"/>
        </w:rPr>
      </w:pPr>
    </w:p>
    <w:p w14:paraId="59E6D939" w14:textId="44F785A7" w:rsidR="001F3CD3" w:rsidRPr="009F572A" w:rsidRDefault="001F3CD3" w:rsidP="00CB275A">
      <w:pPr>
        <w:spacing w:line="360" w:lineRule="auto"/>
        <w:jc w:val="both"/>
        <w:rPr>
          <w:rFonts w:ascii="Arial" w:hAnsi="Arial" w:cs="Arial"/>
          <w:b/>
          <w:bCs/>
        </w:rPr>
      </w:pPr>
      <w:r w:rsidRPr="009F572A">
        <w:rPr>
          <w:rFonts w:ascii="Arial" w:hAnsi="Arial" w:cs="Arial"/>
          <w:b/>
          <w:bCs/>
        </w:rPr>
        <w:t>[SLIDE 24]</w:t>
      </w:r>
    </w:p>
    <w:p w14:paraId="52539BE6" w14:textId="02B862CF" w:rsidR="001F3CD3" w:rsidRPr="00CB275A" w:rsidRDefault="00EF3495" w:rsidP="00CB275A">
      <w:pPr>
        <w:spacing w:line="360" w:lineRule="auto"/>
        <w:jc w:val="both"/>
        <w:rPr>
          <w:rFonts w:ascii="Arial" w:hAnsi="Arial" w:cs="Arial"/>
        </w:rPr>
      </w:pPr>
      <w:r w:rsidRPr="00CB275A">
        <w:rPr>
          <w:rFonts w:ascii="Arial" w:hAnsi="Arial" w:cs="Arial"/>
        </w:rPr>
        <w:t xml:space="preserve">Cette </w:t>
      </w:r>
      <w:r w:rsidR="00ED7179" w:rsidRPr="00CB275A">
        <w:rPr>
          <w:rFonts w:ascii="Arial" w:hAnsi="Arial" w:cs="Arial"/>
        </w:rPr>
        <w:t>méthodologie</w:t>
      </w:r>
      <w:r w:rsidRPr="00CB275A">
        <w:rPr>
          <w:rFonts w:ascii="Arial" w:hAnsi="Arial" w:cs="Arial"/>
        </w:rPr>
        <w:t xml:space="preserve"> nous a permis d’arriver au classement suivant, o</w:t>
      </w:r>
      <w:r w:rsidR="001D2D3E">
        <w:rPr>
          <w:rFonts w:ascii="Arial" w:hAnsi="Arial" w:cs="Arial"/>
        </w:rPr>
        <w:t>ù</w:t>
      </w:r>
      <w:r w:rsidRPr="00CB275A">
        <w:rPr>
          <w:rFonts w:ascii="Arial" w:hAnsi="Arial" w:cs="Arial"/>
        </w:rPr>
        <w:t xml:space="preserve"> 5 pays parmi les 20 </w:t>
      </w:r>
      <w:r w:rsidR="00ED7179" w:rsidRPr="00CB275A">
        <w:rPr>
          <w:rFonts w:ascii="Arial" w:hAnsi="Arial" w:cs="Arial"/>
        </w:rPr>
        <w:t>premiers</w:t>
      </w:r>
      <w:r w:rsidRPr="00CB275A">
        <w:rPr>
          <w:rFonts w:ascii="Arial" w:hAnsi="Arial" w:cs="Arial"/>
        </w:rPr>
        <w:t xml:space="preserve"> sont </w:t>
      </w:r>
      <w:r w:rsidR="00ED7179" w:rsidRPr="00CB275A">
        <w:rPr>
          <w:rFonts w:ascii="Arial" w:hAnsi="Arial" w:cs="Arial"/>
        </w:rPr>
        <w:t>anglophones, et</w:t>
      </w:r>
      <w:r w:rsidRPr="00CB275A">
        <w:rPr>
          <w:rFonts w:ascii="Arial" w:hAnsi="Arial" w:cs="Arial"/>
        </w:rPr>
        <w:t xml:space="preserve"> 3 </w:t>
      </w:r>
      <w:r w:rsidR="00E72C91">
        <w:rPr>
          <w:rFonts w:ascii="Arial" w:hAnsi="Arial" w:cs="Arial"/>
        </w:rPr>
        <w:t xml:space="preserve">sont </w:t>
      </w:r>
      <w:r w:rsidRPr="00CB275A">
        <w:rPr>
          <w:rFonts w:ascii="Arial" w:hAnsi="Arial" w:cs="Arial"/>
        </w:rPr>
        <w:t xml:space="preserve">francophones. On voit que les pays </w:t>
      </w:r>
      <w:r w:rsidR="00ED7179" w:rsidRPr="00CB275A">
        <w:rPr>
          <w:rFonts w:ascii="Arial" w:hAnsi="Arial" w:cs="Arial"/>
        </w:rPr>
        <w:t>à</w:t>
      </w:r>
      <w:r w:rsidRPr="00CB275A">
        <w:rPr>
          <w:rFonts w:ascii="Arial" w:hAnsi="Arial" w:cs="Arial"/>
        </w:rPr>
        <w:t xml:space="preserve"> hauts revenus dominent largement le classement avec 19 pays sur 20</w:t>
      </w:r>
      <w:r w:rsidR="00E72C91">
        <w:rPr>
          <w:rFonts w:ascii="Arial" w:hAnsi="Arial" w:cs="Arial"/>
        </w:rPr>
        <w:t>, confirmant notre analyse initiale</w:t>
      </w:r>
      <w:r w:rsidRPr="00CB275A">
        <w:rPr>
          <w:rFonts w:ascii="Arial" w:hAnsi="Arial" w:cs="Arial"/>
        </w:rPr>
        <w:t xml:space="preserve">, ainsi que les pays </w:t>
      </w:r>
      <w:r w:rsidR="00ED7179" w:rsidRPr="00CB275A">
        <w:rPr>
          <w:rFonts w:ascii="Arial" w:hAnsi="Arial" w:cs="Arial"/>
        </w:rPr>
        <w:t>d’Europe</w:t>
      </w:r>
      <w:r w:rsidRPr="00CB275A">
        <w:rPr>
          <w:rFonts w:ascii="Arial" w:hAnsi="Arial" w:cs="Arial"/>
        </w:rPr>
        <w:t xml:space="preserve"> &amp; </w:t>
      </w:r>
      <w:r w:rsidR="00ED7179" w:rsidRPr="00CB275A">
        <w:rPr>
          <w:rFonts w:ascii="Arial" w:hAnsi="Arial" w:cs="Arial"/>
        </w:rPr>
        <w:t>Asie</w:t>
      </w:r>
      <w:r w:rsidRPr="00CB275A">
        <w:rPr>
          <w:rFonts w:ascii="Arial" w:hAnsi="Arial" w:cs="Arial"/>
        </w:rPr>
        <w:t xml:space="preserve"> centrale (</w:t>
      </w:r>
      <w:r w:rsidR="00E72C91">
        <w:rPr>
          <w:rFonts w:ascii="Arial" w:hAnsi="Arial" w:cs="Arial"/>
        </w:rPr>
        <w:t xml:space="preserve">avec </w:t>
      </w:r>
      <w:r w:rsidRPr="00CB275A">
        <w:rPr>
          <w:rFonts w:ascii="Arial" w:hAnsi="Arial" w:cs="Arial"/>
        </w:rPr>
        <w:t>10 pays sur 20)</w:t>
      </w:r>
      <w:r w:rsidR="001D2D3E">
        <w:rPr>
          <w:rFonts w:ascii="Arial" w:hAnsi="Arial" w:cs="Arial"/>
        </w:rPr>
        <w:t>,</w:t>
      </w:r>
      <w:r w:rsidRPr="00CB275A">
        <w:rPr>
          <w:rFonts w:ascii="Arial" w:hAnsi="Arial" w:cs="Arial"/>
        </w:rPr>
        <w:t xml:space="preserve"> suivis par </w:t>
      </w:r>
      <w:r w:rsidR="00ED7179" w:rsidRPr="00CB275A">
        <w:rPr>
          <w:rFonts w:ascii="Arial" w:hAnsi="Arial" w:cs="Arial"/>
        </w:rPr>
        <w:t>l’Asie</w:t>
      </w:r>
      <w:r w:rsidRPr="00CB275A">
        <w:rPr>
          <w:rFonts w:ascii="Arial" w:hAnsi="Arial" w:cs="Arial"/>
        </w:rPr>
        <w:t xml:space="preserve"> </w:t>
      </w:r>
      <w:r w:rsidR="001D2D3E">
        <w:rPr>
          <w:rFonts w:ascii="Arial" w:hAnsi="Arial" w:cs="Arial"/>
        </w:rPr>
        <w:t>O</w:t>
      </w:r>
      <w:r w:rsidRPr="00CB275A">
        <w:rPr>
          <w:rFonts w:ascii="Arial" w:hAnsi="Arial" w:cs="Arial"/>
        </w:rPr>
        <w:t xml:space="preserve">rientale et le </w:t>
      </w:r>
      <w:r w:rsidR="001D2D3E">
        <w:rPr>
          <w:rFonts w:ascii="Arial" w:hAnsi="Arial" w:cs="Arial"/>
        </w:rPr>
        <w:t>P</w:t>
      </w:r>
      <w:r w:rsidRPr="00CB275A">
        <w:rPr>
          <w:rFonts w:ascii="Arial" w:hAnsi="Arial" w:cs="Arial"/>
        </w:rPr>
        <w:t>acifique.</w:t>
      </w:r>
    </w:p>
    <w:p w14:paraId="055FFD9B" w14:textId="77777777" w:rsidR="001F3CD3" w:rsidRPr="00CB275A" w:rsidRDefault="001F3CD3" w:rsidP="00CB275A">
      <w:pPr>
        <w:spacing w:line="360" w:lineRule="auto"/>
        <w:jc w:val="both"/>
        <w:rPr>
          <w:rFonts w:ascii="Arial" w:hAnsi="Arial" w:cs="Arial"/>
        </w:rPr>
      </w:pPr>
    </w:p>
    <w:p w14:paraId="33639427" w14:textId="4C1C3FED" w:rsidR="001F3CD3" w:rsidRPr="009F572A" w:rsidRDefault="001F3CD3" w:rsidP="00CB275A">
      <w:pPr>
        <w:spacing w:line="360" w:lineRule="auto"/>
        <w:jc w:val="both"/>
        <w:rPr>
          <w:rFonts w:ascii="Arial" w:hAnsi="Arial" w:cs="Arial"/>
          <w:b/>
          <w:bCs/>
        </w:rPr>
      </w:pPr>
      <w:r w:rsidRPr="009F572A">
        <w:rPr>
          <w:rFonts w:ascii="Arial" w:hAnsi="Arial" w:cs="Arial"/>
          <w:b/>
          <w:bCs/>
        </w:rPr>
        <w:t>[SLIDE 25]</w:t>
      </w:r>
    </w:p>
    <w:p w14:paraId="77AE0B50" w14:textId="595D7E2D" w:rsidR="001F3CD3" w:rsidRPr="00CB275A" w:rsidRDefault="00EF3495" w:rsidP="00CB275A">
      <w:pPr>
        <w:spacing w:line="360" w:lineRule="auto"/>
        <w:jc w:val="both"/>
        <w:rPr>
          <w:rFonts w:ascii="Arial" w:hAnsi="Arial" w:cs="Arial"/>
        </w:rPr>
      </w:pPr>
      <w:r w:rsidRPr="00CB275A">
        <w:rPr>
          <w:rFonts w:ascii="Arial" w:hAnsi="Arial" w:cs="Arial"/>
        </w:rPr>
        <w:t xml:space="preserve">En termes de </w:t>
      </w:r>
      <w:r w:rsidR="00ED7179" w:rsidRPr="00CB275A">
        <w:rPr>
          <w:rFonts w:ascii="Arial" w:hAnsi="Arial" w:cs="Arial"/>
        </w:rPr>
        <w:t>stratégie</w:t>
      </w:r>
      <w:r w:rsidRPr="00CB275A">
        <w:rPr>
          <w:rFonts w:ascii="Arial" w:hAnsi="Arial" w:cs="Arial"/>
        </w:rPr>
        <w:t xml:space="preserve">, il conviendrait en 2024 de se concentrer sur une </w:t>
      </w:r>
      <w:r w:rsidR="001D2D3E">
        <w:rPr>
          <w:rFonts w:ascii="Arial" w:hAnsi="Arial" w:cs="Arial"/>
        </w:rPr>
        <w:t>é</w:t>
      </w:r>
      <w:r w:rsidR="001D2D3E" w:rsidRPr="00CB275A">
        <w:rPr>
          <w:rFonts w:ascii="Arial" w:hAnsi="Arial" w:cs="Arial"/>
        </w:rPr>
        <w:t>tude</w:t>
      </w:r>
      <w:r w:rsidRPr="00CB275A">
        <w:rPr>
          <w:rFonts w:ascii="Arial" w:hAnsi="Arial" w:cs="Arial"/>
        </w:rPr>
        <w:t xml:space="preserve"> de compétitivité-prix et une </w:t>
      </w:r>
      <w:r w:rsidR="001D2D3E">
        <w:rPr>
          <w:rFonts w:ascii="Arial" w:hAnsi="Arial" w:cs="Arial"/>
        </w:rPr>
        <w:t>é</w:t>
      </w:r>
      <w:r w:rsidR="001D2D3E" w:rsidRPr="00CB275A">
        <w:rPr>
          <w:rFonts w:ascii="Arial" w:hAnsi="Arial" w:cs="Arial"/>
        </w:rPr>
        <w:t>tude</w:t>
      </w:r>
      <w:r w:rsidRPr="00CB275A">
        <w:rPr>
          <w:rFonts w:ascii="Arial" w:hAnsi="Arial" w:cs="Arial"/>
        </w:rPr>
        <w:t xml:space="preserve"> des barrières à l’entrée sur les marchés hors</w:t>
      </w:r>
      <w:r w:rsidR="00E72C91">
        <w:rPr>
          <w:rFonts w:ascii="Arial" w:hAnsi="Arial" w:cs="Arial"/>
        </w:rPr>
        <w:t>-</w:t>
      </w:r>
      <w:r w:rsidRPr="00CB275A">
        <w:rPr>
          <w:rFonts w:ascii="Arial" w:hAnsi="Arial" w:cs="Arial"/>
        </w:rPr>
        <w:t xml:space="preserve">Europe avant en 2025 de commencer l’expansion vers les </w:t>
      </w:r>
      <w:r w:rsidR="001D2D3E">
        <w:rPr>
          <w:rFonts w:ascii="Arial" w:hAnsi="Arial" w:cs="Arial"/>
        </w:rPr>
        <w:t>p</w:t>
      </w:r>
      <w:r w:rsidRPr="00CB275A">
        <w:rPr>
          <w:rFonts w:ascii="Arial" w:hAnsi="Arial" w:cs="Arial"/>
        </w:rPr>
        <w:t xml:space="preserve">ays anglophones du top 5 (États-Unis, </w:t>
      </w:r>
      <w:r w:rsidR="001D2D3E">
        <w:rPr>
          <w:rFonts w:ascii="Arial" w:hAnsi="Arial" w:cs="Arial"/>
        </w:rPr>
        <w:t>Grande-Bretagne et</w:t>
      </w:r>
      <w:r w:rsidRPr="00CB275A">
        <w:rPr>
          <w:rFonts w:ascii="Arial" w:hAnsi="Arial" w:cs="Arial"/>
        </w:rPr>
        <w:t xml:space="preserve"> Australie)</w:t>
      </w:r>
      <w:r w:rsidR="001D2D3E">
        <w:rPr>
          <w:rFonts w:ascii="Arial" w:hAnsi="Arial" w:cs="Arial"/>
        </w:rPr>
        <w:t>,</w:t>
      </w:r>
      <w:r w:rsidRPr="00CB275A">
        <w:rPr>
          <w:rFonts w:ascii="Arial" w:hAnsi="Arial" w:cs="Arial"/>
        </w:rPr>
        <w:t xml:space="preserve"> tout en commençant </w:t>
      </w:r>
      <w:r w:rsidR="00ED7179" w:rsidRPr="00CB275A">
        <w:rPr>
          <w:rFonts w:ascii="Arial" w:hAnsi="Arial" w:cs="Arial"/>
        </w:rPr>
        <w:t>à</w:t>
      </w:r>
      <w:r w:rsidRPr="00CB275A">
        <w:rPr>
          <w:rFonts w:ascii="Arial" w:hAnsi="Arial" w:cs="Arial"/>
        </w:rPr>
        <w:t xml:space="preserve"> étudier la faisabilité </w:t>
      </w:r>
      <w:r w:rsidR="001D2D3E">
        <w:rPr>
          <w:rFonts w:ascii="Arial" w:hAnsi="Arial" w:cs="Arial"/>
        </w:rPr>
        <w:t>de</w:t>
      </w:r>
      <w:r w:rsidRPr="00CB275A">
        <w:rPr>
          <w:rFonts w:ascii="Arial" w:hAnsi="Arial" w:cs="Arial"/>
        </w:rPr>
        <w:t xml:space="preserve"> réorientation partielle vers le marché de la formation professionnelle &amp; diplômante </w:t>
      </w:r>
      <w:r w:rsidR="001D2D3E">
        <w:rPr>
          <w:rFonts w:ascii="Arial" w:hAnsi="Arial" w:cs="Arial"/>
        </w:rPr>
        <w:t xml:space="preserve">en </w:t>
      </w:r>
      <w:r w:rsidR="001D2D3E">
        <w:rPr>
          <w:rFonts w:ascii="Arial" w:hAnsi="Arial" w:cs="Arial"/>
        </w:rPr>
        <w:lastRenderedPageBreak/>
        <w:t xml:space="preserve">France </w:t>
      </w:r>
      <w:r w:rsidRPr="00CB275A">
        <w:rPr>
          <w:rFonts w:ascii="Arial" w:hAnsi="Arial" w:cs="Arial"/>
        </w:rPr>
        <w:t xml:space="preserve">(financements CPF). D’ici </w:t>
      </w:r>
      <w:r w:rsidR="00ED7179" w:rsidRPr="00CB275A">
        <w:rPr>
          <w:rFonts w:ascii="Arial" w:hAnsi="Arial" w:cs="Arial"/>
        </w:rPr>
        <w:t>à</w:t>
      </w:r>
      <w:r w:rsidRPr="00CB275A">
        <w:rPr>
          <w:rFonts w:ascii="Arial" w:hAnsi="Arial" w:cs="Arial"/>
        </w:rPr>
        <w:t xml:space="preserve"> fin 2027, l’accent devrait être mis sur les </w:t>
      </w:r>
      <w:r w:rsidR="001D2D3E">
        <w:rPr>
          <w:rFonts w:ascii="Arial" w:hAnsi="Arial" w:cs="Arial"/>
        </w:rPr>
        <w:t>p</w:t>
      </w:r>
      <w:r w:rsidRPr="00EF3495">
        <w:rPr>
          <w:rFonts w:ascii="Arial" w:hAnsi="Arial" w:cs="Arial"/>
        </w:rPr>
        <w:t xml:space="preserve">ays anglophones du top 20 (top 5 + Canada, </w:t>
      </w:r>
      <w:r w:rsidR="00ED7179" w:rsidRPr="00EF3495">
        <w:rPr>
          <w:rFonts w:ascii="Arial" w:hAnsi="Arial" w:cs="Arial"/>
        </w:rPr>
        <w:t>Nouvelle-Zélande</w:t>
      </w:r>
      <w:r w:rsidRPr="00EF3495">
        <w:rPr>
          <w:rFonts w:ascii="Arial" w:hAnsi="Arial" w:cs="Arial"/>
        </w:rPr>
        <w:t xml:space="preserve"> &amp; Irlande)</w:t>
      </w:r>
      <w:r w:rsidRPr="00CB275A">
        <w:rPr>
          <w:rFonts w:ascii="Arial" w:hAnsi="Arial" w:cs="Arial"/>
        </w:rPr>
        <w:t xml:space="preserve"> ainsi que tactiquement sur d’autres march</w:t>
      </w:r>
      <w:r w:rsidR="001D2D3E">
        <w:rPr>
          <w:rFonts w:ascii="Arial" w:hAnsi="Arial" w:cs="Arial"/>
        </w:rPr>
        <w:t>é</w:t>
      </w:r>
      <w:r w:rsidRPr="00CB275A">
        <w:rPr>
          <w:rFonts w:ascii="Arial" w:hAnsi="Arial" w:cs="Arial"/>
        </w:rPr>
        <w:t xml:space="preserve">s </w:t>
      </w:r>
      <w:r w:rsidRPr="00EF3495">
        <w:rPr>
          <w:rFonts w:ascii="Arial" w:hAnsi="Arial" w:cs="Arial"/>
        </w:rPr>
        <w:t xml:space="preserve">à forte valeur ajoutée </w:t>
      </w:r>
      <w:r w:rsidRPr="00CB275A">
        <w:rPr>
          <w:rFonts w:ascii="Arial" w:hAnsi="Arial" w:cs="Arial"/>
        </w:rPr>
        <w:t>comme l’</w:t>
      </w:r>
      <w:r w:rsidRPr="00EF3495">
        <w:rPr>
          <w:rFonts w:ascii="Arial" w:hAnsi="Arial" w:cs="Arial"/>
        </w:rPr>
        <w:t>Arabie Saoudite, Oman</w:t>
      </w:r>
      <w:r w:rsidRPr="00CB275A">
        <w:rPr>
          <w:rFonts w:ascii="Arial" w:hAnsi="Arial" w:cs="Arial"/>
        </w:rPr>
        <w:t xml:space="preserve"> et le K</w:t>
      </w:r>
      <w:r w:rsidRPr="00EF3495">
        <w:rPr>
          <w:rFonts w:ascii="Arial" w:hAnsi="Arial" w:cs="Arial"/>
        </w:rPr>
        <w:t>oweït</w:t>
      </w:r>
      <w:r w:rsidRPr="00CB275A">
        <w:rPr>
          <w:rFonts w:ascii="Arial" w:hAnsi="Arial" w:cs="Arial"/>
        </w:rPr>
        <w:t xml:space="preserve">, avant éventuellement d’envisager d’ici </w:t>
      </w:r>
      <w:r w:rsidR="00ED7179" w:rsidRPr="00CB275A">
        <w:rPr>
          <w:rFonts w:ascii="Arial" w:hAnsi="Arial" w:cs="Arial"/>
        </w:rPr>
        <w:t>à</w:t>
      </w:r>
      <w:r w:rsidRPr="00CB275A">
        <w:rPr>
          <w:rFonts w:ascii="Arial" w:hAnsi="Arial" w:cs="Arial"/>
        </w:rPr>
        <w:t xml:space="preserve"> 2030 une </w:t>
      </w:r>
      <w:r w:rsidR="001D2D3E">
        <w:rPr>
          <w:rFonts w:ascii="Arial" w:hAnsi="Arial" w:cs="Arial"/>
        </w:rPr>
        <w:t>d</w:t>
      </w:r>
      <w:r w:rsidRPr="00CB275A">
        <w:rPr>
          <w:rFonts w:ascii="Arial" w:hAnsi="Arial" w:cs="Arial"/>
        </w:rPr>
        <w:t xml:space="preserve">iversification plus </w:t>
      </w:r>
      <w:r w:rsidR="00ED7179" w:rsidRPr="00CB275A">
        <w:rPr>
          <w:rFonts w:ascii="Arial" w:hAnsi="Arial" w:cs="Arial"/>
        </w:rPr>
        <w:t>poussée</w:t>
      </w:r>
      <w:r w:rsidRPr="00CB275A">
        <w:rPr>
          <w:rFonts w:ascii="Arial" w:hAnsi="Arial" w:cs="Arial"/>
        </w:rPr>
        <w:t xml:space="preserve"> en Europe vers les pays non</w:t>
      </w:r>
      <w:r w:rsidR="001D2D3E">
        <w:rPr>
          <w:rFonts w:ascii="Arial" w:hAnsi="Arial" w:cs="Arial"/>
        </w:rPr>
        <w:t>-</w:t>
      </w:r>
      <w:r w:rsidRPr="00CB275A">
        <w:rPr>
          <w:rFonts w:ascii="Arial" w:hAnsi="Arial" w:cs="Arial"/>
        </w:rPr>
        <w:t>anglophones et non</w:t>
      </w:r>
      <w:r w:rsidR="001D2D3E">
        <w:rPr>
          <w:rFonts w:ascii="Arial" w:hAnsi="Arial" w:cs="Arial"/>
        </w:rPr>
        <w:t>-</w:t>
      </w:r>
      <w:r w:rsidRPr="00CB275A">
        <w:rPr>
          <w:rFonts w:ascii="Arial" w:hAnsi="Arial" w:cs="Arial"/>
        </w:rPr>
        <w:t xml:space="preserve">francophones de cette zone et d’envisager le </w:t>
      </w:r>
      <w:r w:rsidR="00ED7179" w:rsidRPr="00CB275A">
        <w:rPr>
          <w:rFonts w:ascii="Arial" w:hAnsi="Arial" w:cs="Arial"/>
        </w:rPr>
        <w:t>redéploiement</w:t>
      </w:r>
      <w:r w:rsidRPr="00CB275A">
        <w:rPr>
          <w:rFonts w:ascii="Arial" w:hAnsi="Arial" w:cs="Arial"/>
        </w:rPr>
        <w:t xml:space="preserve"> du catalogue </w:t>
      </w:r>
      <w:r w:rsidR="00ED7179" w:rsidRPr="00CB275A">
        <w:rPr>
          <w:rFonts w:ascii="Arial" w:hAnsi="Arial" w:cs="Arial"/>
        </w:rPr>
        <w:t>français</w:t>
      </w:r>
      <w:r w:rsidRPr="00CB275A">
        <w:rPr>
          <w:rFonts w:ascii="Arial" w:hAnsi="Arial" w:cs="Arial"/>
        </w:rPr>
        <w:t xml:space="preserve"> vers des formations professionnelles &amp; diplômantes</w:t>
      </w:r>
      <w:r w:rsidR="001D2D3E">
        <w:rPr>
          <w:rFonts w:ascii="Arial" w:hAnsi="Arial" w:cs="Arial"/>
        </w:rPr>
        <w:t>,</w:t>
      </w:r>
      <w:r w:rsidRPr="00CB275A">
        <w:rPr>
          <w:rFonts w:ascii="Arial" w:hAnsi="Arial" w:cs="Arial"/>
        </w:rPr>
        <w:t xml:space="preserve"> qui </w:t>
      </w:r>
      <w:r w:rsidR="00ED7179" w:rsidRPr="00CB275A">
        <w:rPr>
          <w:rFonts w:ascii="Arial" w:hAnsi="Arial" w:cs="Arial"/>
        </w:rPr>
        <w:t>serai</w:t>
      </w:r>
      <w:r w:rsidR="001D2D3E">
        <w:rPr>
          <w:rFonts w:ascii="Arial" w:hAnsi="Arial" w:cs="Arial"/>
        </w:rPr>
        <w:t>en</w:t>
      </w:r>
      <w:r w:rsidR="00ED7179" w:rsidRPr="00CB275A">
        <w:rPr>
          <w:rFonts w:ascii="Arial" w:hAnsi="Arial" w:cs="Arial"/>
        </w:rPr>
        <w:t>t</w:t>
      </w:r>
      <w:r w:rsidRPr="00CB275A">
        <w:rPr>
          <w:rFonts w:ascii="Arial" w:hAnsi="Arial" w:cs="Arial"/>
        </w:rPr>
        <w:t xml:space="preserve"> de fait </w:t>
      </w:r>
      <w:r w:rsidR="00ED7179" w:rsidRPr="00CB275A">
        <w:rPr>
          <w:rFonts w:ascii="Arial" w:hAnsi="Arial" w:cs="Arial"/>
        </w:rPr>
        <w:t>également</w:t>
      </w:r>
      <w:r w:rsidRPr="00CB275A">
        <w:rPr>
          <w:rFonts w:ascii="Arial" w:hAnsi="Arial" w:cs="Arial"/>
        </w:rPr>
        <w:t xml:space="preserve"> reconnues dans les </w:t>
      </w:r>
      <w:r w:rsidR="00ED7179" w:rsidRPr="00CB275A">
        <w:rPr>
          <w:rFonts w:ascii="Arial" w:hAnsi="Arial" w:cs="Arial"/>
        </w:rPr>
        <w:t>autres</w:t>
      </w:r>
      <w:r w:rsidRPr="00CB275A">
        <w:rPr>
          <w:rFonts w:ascii="Arial" w:hAnsi="Arial" w:cs="Arial"/>
        </w:rPr>
        <w:t xml:space="preserve"> pays européens en vertu de la </w:t>
      </w:r>
      <w:r w:rsidR="00ED7179" w:rsidRPr="00CB275A">
        <w:rPr>
          <w:rFonts w:ascii="Arial" w:hAnsi="Arial" w:cs="Arial"/>
        </w:rPr>
        <w:t>reconnaissance</w:t>
      </w:r>
      <w:r w:rsidRPr="00CB275A">
        <w:rPr>
          <w:rFonts w:ascii="Arial" w:hAnsi="Arial" w:cs="Arial"/>
        </w:rPr>
        <w:t xml:space="preserve"> des </w:t>
      </w:r>
      <w:r w:rsidR="00ED7179" w:rsidRPr="00CB275A">
        <w:rPr>
          <w:rFonts w:ascii="Arial" w:hAnsi="Arial" w:cs="Arial"/>
        </w:rPr>
        <w:t>dipl</w:t>
      </w:r>
      <w:r w:rsidR="00ED7179">
        <w:rPr>
          <w:rFonts w:ascii="Arial" w:hAnsi="Arial" w:cs="Arial"/>
        </w:rPr>
        <w:t>ôm</w:t>
      </w:r>
      <w:r w:rsidR="00ED7179" w:rsidRPr="00CB275A">
        <w:rPr>
          <w:rFonts w:ascii="Arial" w:hAnsi="Arial" w:cs="Arial"/>
        </w:rPr>
        <w:t>es</w:t>
      </w:r>
      <w:r w:rsidRPr="00CB275A">
        <w:rPr>
          <w:rFonts w:ascii="Arial" w:hAnsi="Arial" w:cs="Arial"/>
        </w:rPr>
        <w:t>.</w:t>
      </w:r>
    </w:p>
    <w:p w14:paraId="56A4BCC7" w14:textId="77777777" w:rsidR="00EF3495" w:rsidRPr="00CB275A" w:rsidRDefault="00EF3495" w:rsidP="00CB275A">
      <w:pPr>
        <w:spacing w:line="360" w:lineRule="auto"/>
        <w:jc w:val="both"/>
        <w:rPr>
          <w:rFonts w:ascii="Arial" w:hAnsi="Arial" w:cs="Arial"/>
        </w:rPr>
      </w:pPr>
    </w:p>
    <w:p w14:paraId="0E376E25" w14:textId="455E1E96" w:rsidR="001F3CD3" w:rsidRPr="009F572A" w:rsidRDefault="001F3CD3" w:rsidP="00CB275A">
      <w:pPr>
        <w:spacing w:line="360" w:lineRule="auto"/>
        <w:jc w:val="both"/>
        <w:rPr>
          <w:rFonts w:ascii="Arial" w:hAnsi="Arial" w:cs="Arial"/>
          <w:b/>
          <w:bCs/>
        </w:rPr>
      </w:pPr>
      <w:r w:rsidRPr="009F572A">
        <w:rPr>
          <w:rFonts w:ascii="Arial" w:hAnsi="Arial" w:cs="Arial"/>
          <w:b/>
          <w:bCs/>
        </w:rPr>
        <w:t>[SLIDE 26]</w:t>
      </w:r>
    </w:p>
    <w:p w14:paraId="4C10FD4A" w14:textId="073BE05A" w:rsidR="001F626A" w:rsidRPr="00E64019" w:rsidRDefault="00EF3495" w:rsidP="00CB275A">
      <w:pPr>
        <w:spacing w:line="360" w:lineRule="auto"/>
        <w:jc w:val="both"/>
        <w:rPr>
          <w:rFonts w:ascii="Arial" w:hAnsi="Arial" w:cs="Arial"/>
        </w:rPr>
      </w:pPr>
      <w:r w:rsidRPr="00CB275A">
        <w:rPr>
          <w:rFonts w:ascii="Arial" w:hAnsi="Arial" w:cs="Arial"/>
        </w:rPr>
        <w:t xml:space="preserve">En conclusion, </w:t>
      </w:r>
      <w:r w:rsidR="0046616E">
        <w:rPr>
          <w:rFonts w:ascii="Arial" w:hAnsi="Arial" w:cs="Arial"/>
        </w:rPr>
        <w:t xml:space="preserve">le </w:t>
      </w:r>
      <w:r w:rsidR="001F626A" w:rsidRPr="00CB275A">
        <w:rPr>
          <w:rFonts w:ascii="Arial" w:hAnsi="Arial" w:cs="Arial"/>
        </w:rPr>
        <w:t xml:space="preserve">jeu de données fourni peut </w:t>
      </w:r>
      <w:r w:rsidR="0046616E">
        <w:rPr>
          <w:rFonts w:ascii="Arial" w:hAnsi="Arial" w:cs="Arial"/>
        </w:rPr>
        <w:t>effectivement</w:t>
      </w:r>
      <w:r w:rsidR="001F626A" w:rsidRPr="00CB275A">
        <w:rPr>
          <w:rFonts w:ascii="Arial" w:hAnsi="Arial" w:cs="Arial"/>
        </w:rPr>
        <w:t xml:space="preserve">, </w:t>
      </w:r>
      <w:r w:rsidR="001F626A" w:rsidRPr="00E64019">
        <w:rPr>
          <w:rFonts w:ascii="Arial" w:hAnsi="Arial" w:cs="Arial"/>
        </w:rPr>
        <w:t xml:space="preserve">dans une certaine mesure, informer les décisions stratégiques d’expansion internationale de l’entreprise, mais il </w:t>
      </w:r>
      <w:r w:rsidR="00ED7179" w:rsidRPr="00E64019">
        <w:rPr>
          <w:rFonts w:ascii="Arial" w:hAnsi="Arial" w:cs="Arial"/>
        </w:rPr>
        <w:t>convient</w:t>
      </w:r>
      <w:r w:rsidR="001F626A" w:rsidRPr="00E64019">
        <w:rPr>
          <w:rFonts w:ascii="Arial" w:hAnsi="Arial" w:cs="Arial"/>
        </w:rPr>
        <w:t xml:space="preserve"> d’</w:t>
      </w:r>
      <w:r w:rsidR="00ED7179" w:rsidRPr="00E64019">
        <w:rPr>
          <w:rFonts w:ascii="Arial" w:hAnsi="Arial" w:cs="Arial"/>
        </w:rPr>
        <w:t>être</w:t>
      </w:r>
      <w:r w:rsidR="001F626A" w:rsidRPr="00E64019">
        <w:rPr>
          <w:rFonts w:ascii="Arial" w:hAnsi="Arial" w:cs="Arial"/>
        </w:rPr>
        <w:t xml:space="preserve"> prudent et de ne…</w:t>
      </w:r>
    </w:p>
    <w:p w14:paraId="42D1ED5A" w14:textId="487A9649" w:rsidR="001F626A" w:rsidRPr="001F626A" w:rsidRDefault="001F626A" w:rsidP="00CB275A">
      <w:pPr>
        <w:numPr>
          <w:ilvl w:val="0"/>
          <w:numId w:val="4"/>
        </w:numPr>
        <w:spacing w:line="360" w:lineRule="auto"/>
        <w:jc w:val="both"/>
        <w:rPr>
          <w:rFonts w:ascii="Arial" w:hAnsi="Arial" w:cs="Arial"/>
        </w:rPr>
      </w:pPr>
      <w:r w:rsidRPr="001F626A">
        <w:rPr>
          <w:rFonts w:ascii="Arial" w:hAnsi="Arial" w:cs="Arial"/>
        </w:rPr>
        <w:t xml:space="preserve">…pas </w:t>
      </w:r>
      <w:r w:rsidRPr="00E64019">
        <w:rPr>
          <w:rFonts w:ascii="Arial" w:hAnsi="Arial" w:cs="Arial"/>
        </w:rPr>
        <w:t xml:space="preserve">l’utiliser </w:t>
      </w:r>
      <w:r w:rsidRPr="001F626A">
        <w:rPr>
          <w:rFonts w:ascii="Arial" w:hAnsi="Arial" w:cs="Arial"/>
        </w:rPr>
        <w:t>en première analyse :</w:t>
      </w:r>
    </w:p>
    <w:p w14:paraId="0A8B7E00" w14:textId="2B52CDBD" w:rsidR="001F626A" w:rsidRPr="001F626A" w:rsidRDefault="0046616E" w:rsidP="00CB275A">
      <w:pPr>
        <w:numPr>
          <w:ilvl w:val="1"/>
          <w:numId w:val="4"/>
        </w:numPr>
        <w:spacing w:line="360" w:lineRule="auto"/>
        <w:jc w:val="both"/>
        <w:rPr>
          <w:rFonts w:ascii="Arial" w:hAnsi="Arial" w:cs="Arial"/>
        </w:rPr>
      </w:pPr>
      <w:r>
        <w:rPr>
          <w:rFonts w:ascii="Arial" w:hAnsi="Arial" w:cs="Arial"/>
        </w:rPr>
        <w:t>Il faut évaluer</w:t>
      </w:r>
      <w:r w:rsidR="001F626A" w:rsidRPr="001F626A">
        <w:rPr>
          <w:rFonts w:ascii="Arial" w:hAnsi="Arial" w:cs="Arial"/>
        </w:rPr>
        <w:t xml:space="preserve"> le positionnement concurrentiel prix-produit pour déterminer la stratégie en amont</w:t>
      </w:r>
    </w:p>
    <w:p w14:paraId="246D737C" w14:textId="0B3557FC" w:rsidR="001F626A" w:rsidRPr="001F626A" w:rsidRDefault="001F626A" w:rsidP="00CB275A">
      <w:pPr>
        <w:numPr>
          <w:ilvl w:val="1"/>
          <w:numId w:val="4"/>
        </w:numPr>
        <w:spacing w:line="360" w:lineRule="auto"/>
        <w:jc w:val="both"/>
        <w:rPr>
          <w:rFonts w:ascii="Arial" w:hAnsi="Arial" w:cs="Arial"/>
        </w:rPr>
      </w:pPr>
      <w:r w:rsidRPr="001F626A">
        <w:rPr>
          <w:rFonts w:ascii="Arial" w:hAnsi="Arial" w:cs="Arial"/>
        </w:rPr>
        <w:t>Et penser la gamme de produits dans un contexte international : où sont les besoins et quels sont-</w:t>
      </w:r>
      <w:r w:rsidR="00ED7179" w:rsidRPr="001F626A">
        <w:rPr>
          <w:rFonts w:ascii="Arial" w:hAnsi="Arial" w:cs="Arial"/>
        </w:rPr>
        <w:t>ils ?</w:t>
      </w:r>
      <w:r w:rsidRPr="001F626A">
        <w:rPr>
          <w:rFonts w:ascii="Arial" w:hAnsi="Arial" w:cs="Arial"/>
        </w:rPr>
        <w:t xml:space="preserve"> La gamme de cours</w:t>
      </w:r>
      <w:r w:rsidR="00E64019">
        <w:rPr>
          <w:rFonts w:ascii="Arial" w:hAnsi="Arial" w:cs="Arial"/>
        </w:rPr>
        <w:t xml:space="preserve"> en ligne</w:t>
      </w:r>
      <w:r w:rsidRPr="001F626A">
        <w:rPr>
          <w:rFonts w:ascii="Arial" w:hAnsi="Arial" w:cs="Arial"/>
        </w:rPr>
        <w:t xml:space="preserve"> actuelle y est-elle </w:t>
      </w:r>
      <w:r w:rsidR="00ED7179" w:rsidRPr="001F626A">
        <w:rPr>
          <w:rFonts w:ascii="Arial" w:hAnsi="Arial" w:cs="Arial"/>
        </w:rPr>
        <w:t>adaptée ?</w:t>
      </w:r>
    </w:p>
    <w:p w14:paraId="15F41957" w14:textId="137C6B46" w:rsidR="001F626A" w:rsidRPr="001F626A" w:rsidRDefault="0046616E" w:rsidP="00CB275A">
      <w:pPr>
        <w:numPr>
          <w:ilvl w:val="1"/>
          <w:numId w:val="4"/>
        </w:numPr>
        <w:spacing w:line="360" w:lineRule="auto"/>
        <w:jc w:val="both"/>
        <w:rPr>
          <w:rFonts w:ascii="Arial" w:hAnsi="Arial" w:cs="Arial"/>
        </w:rPr>
      </w:pPr>
      <w:r>
        <w:rPr>
          <w:rFonts w:ascii="Arial" w:hAnsi="Arial" w:cs="Arial"/>
        </w:rPr>
        <w:t>Il faut aussi</w:t>
      </w:r>
      <w:r w:rsidR="001F626A" w:rsidRPr="001F626A">
        <w:rPr>
          <w:rFonts w:ascii="Arial" w:hAnsi="Arial" w:cs="Arial"/>
        </w:rPr>
        <w:t xml:space="preserve"> repenser le marché domestique</w:t>
      </w:r>
      <w:r>
        <w:rPr>
          <w:rFonts w:ascii="Arial" w:hAnsi="Arial" w:cs="Arial"/>
        </w:rPr>
        <w:t> ;</w:t>
      </w:r>
    </w:p>
    <w:p w14:paraId="507CE869" w14:textId="63E620DC" w:rsidR="001F626A" w:rsidRPr="001F626A" w:rsidRDefault="001F626A" w:rsidP="00CB275A">
      <w:pPr>
        <w:numPr>
          <w:ilvl w:val="1"/>
          <w:numId w:val="4"/>
        </w:numPr>
        <w:spacing w:line="360" w:lineRule="auto"/>
        <w:jc w:val="both"/>
        <w:rPr>
          <w:rFonts w:ascii="Arial" w:hAnsi="Arial" w:cs="Arial"/>
        </w:rPr>
      </w:pPr>
      <w:r w:rsidRPr="001F626A">
        <w:rPr>
          <w:rFonts w:ascii="Arial" w:hAnsi="Arial" w:cs="Arial"/>
        </w:rPr>
        <w:t>Et évaluer les barrières à l’entrée réglementaires des différents marchés (l’éducation étant la prérogative des états</w:t>
      </w:r>
      <w:r w:rsidR="0046616E">
        <w:rPr>
          <w:rFonts w:ascii="Arial" w:hAnsi="Arial" w:cs="Arial"/>
        </w:rPr>
        <w:t>, les c</w:t>
      </w:r>
      <w:r w:rsidRPr="001F626A">
        <w:rPr>
          <w:rFonts w:ascii="Arial" w:hAnsi="Arial" w:cs="Arial"/>
        </w:rPr>
        <w:t xml:space="preserve">onditions de faisabilité </w:t>
      </w:r>
      <w:r w:rsidR="0046616E">
        <w:rPr>
          <w:rFonts w:ascii="Arial" w:hAnsi="Arial" w:cs="Arial"/>
        </w:rPr>
        <w:t xml:space="preserve">de l’expansion </w:t>
      </w:r>
      <w:proofErr w:type="spellStart"/>
      <w:r w:rsidR="00ED7179" w:rsidRPr="001F626A">
        <w:rPr>
          <w:rFonts w:ascii="Arial" w:hAnsi="Arial" w:cs="Arial"/>
        </w:rPr>
        <w:t>hors-</w:t>
      </w:r>
      <w:r w:rsidR="00E64019">
        <w:rPr>
          <w:rFonts w:ascii="Arial" w:hAnsi="Arial" w:cs="Arial"/>
        </w:rPr>
        <w:t>EU</w:t>
      </w:r>
      <w:proofErr w:type="spellEnd"/>
      <w:r w:rsidRPr="001F626A">
        <w:rPr>
          <w:rFonts w:ascii="Arial" w:hAnsi="Arial" w:cs="Arial"/>
        </w:rPr>
        <w:t xml:space="preserve"> </w:t>
      </w:r>
      <w:r w:rsidR="0046616E">
        <w:rPr>
          <w:rFonts w:ascii="Arial" w:hAnsi="Arial" w:cs="Arial"/>
        </w:rPr>
        <w:t xml:space="preserve">seront </w:t>
      </w:r>
      <w:r w:rsidRPr="001F626A">
        <w:rPr>
          <w:rFonts w:ascii="Arial" w:hAnsi="Arial" w:cs="Arial"/>
        </w:rPr>
        <w:t xml:space="preserve">à </w:t>
      </w:r>
      <w:r w:rsidR="00E64019">
        <w:rPr>
          <w:rFonts w:ascii="Arial" w:hAnsi="Arial" w:cs="Arial"/>
        </w:rPr>
        <w:t>étudier avec précision</w:t>
      </w:r>
      <w:r w:rsidRPr="001F626A">
        <w:rPr>
          <w:rFonts w:ascii="Arial" w:hAnsi="Arial" w:cs="Arial"/>
        </w:rPr>
        <w:t>)</w:t>
      </w:r>
      <w:r w:rsidR="0046616E">
        <w:rPr>
          <w:rFonts w:ascii="Arial" w:hAnsi="Arial" w:cs="Arial"/>
        </w:rPr>
        <w:t> ;</w:t>
      </w:r>
    </w:p>
    <w:p w14:paraId="62ECDAC3" w14:textId="1B6BF0E3" w:rsidR="001F626A" w:rsidRPr="001F626A" w:rsidRDefault="001F626A" w:rsidP="00CB275A">
      <w:pPr>
        <w:numPr>
          <w:ilvl w:val="0"/>
          <w:numId w:val="4"/>
        </w:numPr>
        <w:spacing w:line="360" w:lineRule="auto"/>
        <w:jc w:val="both"/>
        <w:rPr>
          <w:rFonts w:ascii="Arial" w:hAnsi="Arial" w:cs="Arial"/>
        </w:rPr>
      </w:pPr>
      <w:r w:rsidRPr="001F626A">
        <w:rPr>
          <w:rFonts w:ascii="Arial" w:hAnsi="Arial" w:cs="Arial"/>
        </w:rPr>
        <w:t>…</w:t>
      </w:r>
      <w:r w:rsidR="0046616E" w:rsidRPr="0046616E">
        <w:rPr>
          <w:rFonts w:ascii="Arial" w:hAnsi="Arial" w:cs="Arial"/>
        </w:rPr>
        <w:t xml:space="preserve">et il ne faut </w:t>
      </w:r>
      <w:r w:rsidRPr="001F626A">
        <w:rPr>
          <w:rFonts w:ascii="Arial" w:hAnsi="Arial" w:cs="Arial"/>
        </w:rPr>
        <w:t xml:space="preserve">pas </w:t>
      </w:r>
      <w:r w:rsidRPr="0046616E">
        <w:rPr>
          <w:rFonts w:ascii="Arial" w:hAnsi="Arial" w:cs="Arial"/>
        </w:rPr>
        <w:t>l’utiliser</w:t>
      </w:r>
      <w:r w:rsidRPr="00E64019">
        <w:rPr>
          <w:rFonts w:ascii="Arial" w:hAnsi="Arial" w:cs="Arial"/>
        </w:rPr>
        <w:t xml:space="preserve"> </w:t>
      </w:r>
      <w:r w:rsidRPr="001F626A">
        <w:rPr>
          <w:rFonts w:ascii="Arial" w:hAnsi="Arial" w:cs="Arial"/>
        </w:rPr>
        <w:t>en unique source de données chiffrées :</w:t>
      </w:r>
    </w:p>
    <w:p w14:paraId="339143C8" w14:textId="42A0EF78" w:rsidR="001F626A" w:rsidRPr="001F626A" w:rsidRDefault="0046616E" w:rsidP="00CB275A">
      <w:pPr>
        <w:numPr>
          <w:ilvl w:val="1"/>
          <w:numId w:val="4"/>
        </w:numPr>
        <w:spacing w:line="360" w:lineRule="auto"/>
        <w:jc w:val="both"/>
        <w:rPr>
          <w:rFonts w:ascii="Arial" w:hAnsi="Arial" w:cs="Arial"/>
        </w:rPr>
      </w:pPr>
      <w:r>
        <w:rPr>
          <w:rFonts w:ascii="Arial" w:hAnsi="Arial" w:cs="Arial"/>
        </w:rPr>
        <w:t xml:space="preserve">Il faudrait </w:t>
      </w:r>
      <w:r w:rsidR="001F626A" w:rsidRPr="001F626A">
        <w:rPr>
          <w:rFonts w:ascii="Arial" w:hAnsi="Arial" w:cs="Arial"/>
        </w:rPr>
        <w:t xml:space="preserve">intégrer d’autres indicateurs comme les classements PISA et les pratiques éducatives extra-scolaires (cf. Singapour par exemple), ainsi que </w:t>
      </w:r>
      <w:r w:rsidR="00ED7179" w:rsidRPr="00E64019">
        <w:rPr>
          <w:rFonts w:ascii="Arial" w:hAnsi="Arial" w:cs="Arial"/>
        </w:rPr>
        <w:t>d’évaluer</w:t>
      </w:r>
      <w:r>
        <w:rPr>
          <w:rFonts w:ascii="Arial" w:hAnsi="Arial" w:cs="Arial"/>
        </w:rPr>
        <w:t xml:space="preserve"> </w:t>
      </w:r>
      <w:r w:rsidR="00E64019">
        <w:rPr>
          <w:rFonts w:ascii="Arial" w:hAnsi="Arial" w:cs="Arial"/>
        </w:rPr>
        <w:t xml:space="preserve">au mieux </w:t>
      </w:r>
      <w:r w:rsidR="001F626A" w:rsidRPr="001F626A">
        <w:rPr>
          <w:rFonts w:ascii="Arial" w:hAnsi="Arial" w:cs="Arial"/>
        </w:rPr>
        <w:t>le champ concurrentiel domestique &amp; international</w:t>
      </w:r>
      <w:r>
        <w:rPr>
          <w:rFonts w:ascii="Arial" w:hAnsi="Arial" w:cs="Arial"/>
        </w:rPr>
        <w:t> ;</w:t>
      </w:r>
    </w:p>
    <w:p w14:paraId="0B1CF8CE" w14:textId="7AB5D148" w:rsidR="001F626A" w:rsidRPr="001F626A" w:rsidRDefault="001F626A" w:rsidP="00876F7A">
      <w:pPr>
        <w:numPr>
          <w:ilvl w:val="1"/>
          <w:numId w:val="4"/>
        </w:numPr>
        <w:spacing w:line="360" w:lineRule="auto"/>
        <w:jc w:val="both"/>
        <w:rPr>
          <w:rFonts w:ascii="Arial" w:hAnsi="Arial" w:cs="Arial"/>
        </w:rPr>
      </w:pPr>
      <w:r w:rsidRPr="001F626A">
        <w:rPr>
          <w:rFonts w:ascii="Arial" w:hAnsi="Arial" w:cs="Arial"/>
        </w:rPr>
        <w:lastRenderedPageBreak/>
        <w:t>…</w:t>
      </w:r>
      <w:r w:rsidR="0046616E" w:rsidRPr="0046616E">
        <w:rPr>
          <w:rFonts w:ascii="Arial" w:hAnsi="Arial" w:cs="Arial"/>
        </w:rPr>
        <w:t xml:space="preserve">il conviendra enfin de ne </w:t>
      </w:r>
      <w:r w:rsidRPr="001F626A">
        <w:rPr>
          <w:rFonts w:ascii="Arial" w:hAnsi="Arial" w:cs="Arial"/>
        </w:rPr>
        <w:t>pas</w:t>
      </w:r>
      <w:r w:rsidRPr="0046616E">
        <w:rPr>
          <w:rFonts w:ascii="Arial" w:hAnsi="Arial" w:cs="Arial"/>
        </w:rPr>
        <w:t xml:space="preserve"> utiliser</w:t>
      </w:r>
      <w:r w:rsidRPr="001F626A">
        <w:rPr>
          <w:rFonts w:ascii="Arial" w:hAnsi="Arial" w:cs="Arial"/>
        </w:rPr>
        <w:t xml:space="preserve"> intégralement</w:t>
      </w:r>
      <w:r w:rsidR="0046616E" w:rsidRPr="0046616E">
        <w:rPr>
          <w:rFonts w:ascii="Arial" w:hAnsi="Arial" w:cs="Arial"/>
        </w:rPr>
        <w:t xml:space="preserve"> ce jeu de données, qui contient comme on l’q vu une </w:t>
      </w:r>
      <w:r w:rsidR="0046616E">
        <w:rPr>
          <w:rFonts w:ascii="Arial" w:hAnsi="Arial" w:cs="Arial"/>
        </w:rPr>
        <w:t>m</w:t>
      </w:r>
      <w:r w:rsidRPr="001F626A">
        <w:rPr>
          <w:rFonts w:ascii="Arial" w:hAnsi="Arial" w:cs="Arial"/>
        </w:rPr>
        <w:t>ultiplicité d’indicateurs inutiles et de faible densité informationnelle</w:t>
      </w:r>
      <w:r w:rsidR="0046616E">
        <w:rPr>
          <w:rFonts w:ascii="Arial" w:hAnsi="Arial" w:cs="Arial"/>
        </w:rPr>
        <w:t xml:space="preserve"> ; il faudra </w:t>
      </w:r>
      <w:r w:rsidRPr="001F626A">
        <w:rPr>
          <w:rFonts w:ascii="Arial" w:hAnsi="Arial" w:cs="Arial"/>
        </w:rPr>
        <w:t>mieux cibler la collecte des données</w:t>
      </w:r>
      <w:r w:rsidR="0046616E">
        <w:rPr>
          <w:rFonts w:ascii="Arial" w:hAnsi="Arial" w:cs="Arial"/>
        </w:rPr>
        <w:t xml:space="preserve"> pour gagner en pertinence dans l’analyse.</w:t>
      </w:r>
    </w:p>
    <w:p w14:paraId="7B49C58D" w14:textId="11C3D5E3" w:rsidR="001F3CD3" w:rsidRPr="00CB275A" w:rsidRDefault="001F626A" w:rsidP="00CB275A">
      <w:pPr>
        <w:spacing w:line="360" w:lineRule="auto"/>
        <w:jc w:val="both"/>
        <w:rPr>
          <w:rFonts w:ascii="Arial" w:hAnsi="Arial" w:cs="Arial"/>
        </w:rPr>
      </w:pPr>
      <w:r w:rsidRPr="00CB275A">
        <w:rPr>
          <w:rFonts w:ascii="Arial" w:hAnsi="Arial" w:cs="Arial"/>
        </w:rPr>
        <w:t xml:space="preserve">Ce qui nous </w:t>
      </w:r>
      <w:r w:rsidR="00AA4CC2">
        <w:rPr>
          <w:rFonts w:ascii="Arial" w:hAnsi="Arial" w:cs="Arial"/>
        </w:rPr>
        <w:t>amène</w:t>
      </w:r>
      <w:r w:rsidRPr="00CB275A">
        <w:rPr>
          <w:rFonts w:ascii="Arial" w:hAnsi="Arial" w:cs="Arial"/>
        </w:rPr>
        <w:t xml:space="preserve"> </w:t>
      </w:r>
      <w:r w:rsidR="00ED7179" w:rsidRPr="00CB275A">
        <w:rPr>
          <w:rFonts w:ascii="Arial" w:hAnsi="Arial" w:cs="Arial"/>
        </w:rPr>
        <w:t>à</w:t>
      </w:r>
      <w:r w:rsidRPr="00CB275A">
        <w:rPr>
          <w:rFonts w:ascii="Arial" w:hAnsi="Arial" w:cs="Arial"/>
        </w:rPr>
        <w:t xml:space="preserve"> la fin de cette </w:t>
      </w:r>
      <w:r w:rsidR="00ED7179" w:rsidRPr="00CB275A">
        <w:rPr>
          <w:rFonts w:ascii="Arial" w:hAnsi="Arial" w:cs="Arial"/>
        </w:rPr>
        <w:t>présentation</w:t>
      </w:r>
      <w:r w:rsidR="00FA45C9">
        <w:rPr>
          <w:rFonts w:ascii="Arial" w:hAnsi="Arial" w:cs="Arial"/>
        </w:rPr>
        <w:t>.</w:t>
      </w:r>
    </w:p>
    <w:sectPr w:rsidR="001F3CD3" w:rsidRPr="00CB275A" w:rsidSect="00D532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6937"/>
    <w:multiLevelType w:val="hybridMultilevel"/>
    <w:tmpl w:val="73F61EEA"/>
    <w:lvl w:ilvl="0" w:tplc="750E171A">
      <w:start w:val="1"/>
      <w:numFmt w:val="bullet"/>
      <w:lvlText w:val=""/>
      <w:lvlJc w:val="left"/>
      <w:pPr>
        <w:tabs>
          <w:tab w:val="num" w:pos="720"/>
        </w:tabs>
        <w:ind w:left="720" w:hanging="360"/>
      </w:pPr>
      <w:rPr>
        <w:rFonts w:ascii="Wingdings" w:hAnsi="Wingdings" w:hint="default"/>
      </w:rPr>
    </w:lvl>
    <w:lvl w:ilvl="1" w:tplc="B5F643D8" w:tentative="1">
      <w:start w:val="1"/>
      <w:numFmt w:val="bullet"/>
      <w:lvlText w:val=""/>
      <w:lvlJc w:val="left"/>
      <w:pPr>
        <w:tabs>
          <w:tab w:val="num" w:pos="1440"/>
        </w:tabs>
        <w:ind w:left="1440" w:hanging="360"/>
      </w:pPr>
      <w:rPr>
        <w:rFonts w:ascii="Wingdings" w:hAnsi="Wingdings" w:hint="default"/>
      </w:rPr>
    </w:lvl>
    <w:lvl w:ilvl="2" w:tplc="0E5A0F14" w:tentative="1">
      <w:start w:val="1"/>
      <w:numFmt w:val="bullet"/>
      <w:lvlText w:val=""/>
      <w:lvlJc w:val="left"/>
      <w:pPr>
        <w:tabs>
          <w:tab w:val="num" w:pos="2160"/>
        </w:tabs>
        <w:ind w:left="2160" w:hanging="360"/>
      </w:pPr>
      <w:rPr>
        <w:rFonts w:ascii="Wingdings" w:hAnsi="Wingdings" w:hint="default"/>
      </w:rPr>
    </w:lvl>
    <w:lvl w:ilvl="3" w:tplc="ED742E46" w:tentative="1">
      <w:start w:val="1"/>
      <w:numFmt w:val="bullet"/>
      <w:lvlText w:val=""/>
      <w:lvlJc w:val="left"/>
      <w:pPr>
        <w:tabs>
          <w:tab w:val="num" w:pos="2880"/>
        </w:tabs>
        <w:ind w:left="2880" w:hanging="360"/>
      </w:pPr>
      <w:rPr>
        <w:rFonts w:ascii="Wingdings" w:hAnsi="Wingdings" w:hint="default"/>
      </w:rPr>
    </w:lvl>
    <w:lvl w:ilvl="4" w:tplc="95881230" w:tentative="1">
      <w:start w:val="1"/>
      <w:numFmt w:val="bullet"/>
      <w:lvlText w:val=""/>
      <w:lvlJc w:val="left"/>
      <w:pPr>
        <w:tabs>
          <w:tab w:val="num" w:pos="3600"/>
        </w:tabs>
        <w:ind w:left="3600" w:hanging="360"/>
      </w:pPr>
      <w:rPr>
        <w:rFonts w:ascii="Wingdings" w:hAnsi="Wingdings" w:hint="default"/>
      </w:rPr>
    </w:lvl>
    <w:lvl w:ilvl="5" w:tplc="07C69642" w:tentative="1">
      <w:start w:val="1"/>
      <w:numFmt w:val="bullet"/>
      <w:lvlText w:val=""/>
      <w:lvlJc w:val="left"/>
      <w:pPr>
        <w:tabs>
          <w:tab w:val="num" w:pos="4320"/>
        </w:tabs>
        <w:ind w:left="4320" w:hanging="360"/>
      </w:pPr>
      <w:rPr>
        <w:rFonts w:ascii="Wingdings" w:hAnsi="Wingdings" w:hint="default"/>
      </w:rPr>
    </w:lvl>
    <w:lvl w:ilvl="6" w:tplc="D1D2F0A8" w:tentative="1">
      <w:start w:val="1"/>
      <w:numFmt w:val="bullet"/>
      <w:lvlText w:val=""/>
      <w:lvlJc w:val="left"/>
      <w:pPr>
        <w:tabs>
          <w:tab w:val="num" w:pos="5040"/>
        </w:tabs>
        <w:ind w:left="5040" w:hanging="360"/>
      </w:pPr>
      <w:rPr>
        <w:rFonts w:ascii="Wingdings" w:hAnsi="Wingdings" w:hint="default"/>
      </w:rPr>
    </w:lvl>
    <w:lvl w:ilvl="7" w:tplc="2214B670" w:tentative="1">
      <w:start w:val="1"/>
      <w:numFmt w:val="bullet"/>
      <w:lvlText w:val=""/>
      <w:lvlJc w:val="left"/>
      <w:pPr>
        <w:tabs>
          <w:tab w:val="num" w:pos="5760"/>
        </w:tabs>
        <w:ind w:left="5760" w:hanging="360"/>
      </w:pPr>
      <w:rPr>
        <w:rFonts w:ascii="Wingdings" w:hAnsi="Wingdings" w:hint="default"/>
      </w:rPr>
    </w:lvl>
    <w:lvl w:ilvl="8" w:tplc="65828A8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FA6F84"/>
    <w:multiLevelType w:val="hybridMultilevel"/>
    <w:tmpl w:val="EAC87800"/>
    <w:lvl w:ilvl="0" w:tplc="378203D6">
      <w:start w:val="1"/>
      <w:numFmt w:val="bullet"/>
      <w:lvlText w:val=""/>
      <w:lvlJc w:val="left"/>
      <w:pPr>
        <w:tabs>
          <w:tab w:val="num" w:pos="720"/>
        </w:tabs>
        <w:ind w:left="720" w:hanging="360"/>
      </w:pPr>
      <w:rPr>
        <w:rFonts w:ascii="Wingdings" w:hAnsi="Wingdings" w:hint="default"/>
      </w:rPr>
    </w:lvl>
    <w:lvl w:ilvl="1" w:tplc="7336470E">
      <w:numFmt w:val="bullet"/>
      <w:lvlText w:val=""/>
      <w:lvlJc w:val="left"/>
      <w:pPr>
        <w:tabs>
          <w:tab w:val="num" w:pos="1440"/>
        </w:tabs>
        <w:ind w:left="1440" w:hanging="360"/>
      </w:pPr>
      <w:rPr>
        <w:rFonts w:ascii="Wingdings" w:hAnsi="Wingdings" w:hint="default"/>
      </w:rPr>
    </w:lvl>
    <w:lvl w:ilvl="2" w:tplc="32067C42" w:tentative="1">
      <w:start w:val="1"/>
      <w:numFmt w:val="bullet"/>
      <w:lvlText w:val=""/>
      <w:lvlJc w:val="left"/>
      <w:pPr>
        <w:tabs>
          <w:tab w:val="num" w:pos="2160"/>
        </w:tabs>
        <w:ind w:left="2160" w:hanging="360"/>
      </w:pPr>
      <w:rPr>
        <w:rFonts w:ascii="Wingdings" w:hAnsi="Wingdings" w:hint="default"/>
      </w:rPr>
    </w:lvl>
    <w:lvl w:ilvl="3" w:tplc="86E2EB20" w:tentative="1">
      <w:start w:val="1"/>
      <w:numFmt w:val="bullet"/>
      <w:lvlText w:val=""/>
      <w:lvlJc w:val="left"/>
      <w:pPr>
        <w:tabs>
          <w:tab w:val="num" w:pos="2880"/>
        </w:tabs>
        <w:ind w:left="2880" w:hanging="360"/>
      </w:pPr>
      <w:rPr>
        <w:rFonts w:ascii="Wingdings" w:hAnsi="Wingdings" w:hint="default"/>
      </w:rPr>
    </w:lvl>
    <w:lvl w:ilvl="4" w:tplc="D48201A6" w:tentative="1">
      <w:start w:val="1"/>
      <w:numFmt w:val="bullet"/>
      <w:lvlText w:val=""/>
      <w:lvlJc w:val="left"/>
      <w:pPr>
        <w:tabs>
          <w:tab w:val="num" w:pos="3600"/>
        </w:tabs>
        <w:ind w:left="3600" w:hanging="360"/>
      </w:pPr>
      <w:rPr>
        <w:rFonts w:ascii="Wingdings" w:hAnsi="Wingdings" w:hint="default"/>
      </w:rPr>
    </w:lvl>
    <w:lvl w:ilvl="5" w:tplc="74F8C3D2" w:tentative="1">
      <w:start w:val="1"/>
      <w:numFmt w:val="bullet"/>
      <w:lvlText w:val=""/>
      <w:lvlJc w:val="left"/>
      <w:pPr>
        <w:tabs>
          <w:tab w:val="num" w:pos="4320"/>
        </w:tabs>
        <w:ind w:left="4320" w:hanging="360"/>
      </w:pPr>
      <w:rPr>
        <w:rFonts w:ascii="Wingdings" w:hAnsi="Wingdings" w:hint="default"/>
      </w:rPr>
    </w:lvl>
    <w:lvl w:ilvl="6" w:tplc="DA580A6E" w:tentative="1">
      <w:start w:val="1"/>
      <w:numFmt w:val="bullet"/>
      <w:lvlText w:val=""/>
      <w:lvlJc w:val="left"/>
      <w:pPr>
        <w:tabs>
          <w:tab w:val="num" w:pos="5040"/>
        </w:tabs>
        <w:ind w:left="5040" w:hanging="360"/>
      </w:pPr>
      <w:rPr>
        <w:rFonts w:ascii="Wingdings" w:hAnsi="Wingdings" w:hint="default"/>
      </w:rPr>
    </w:lvl>
    <w:lvl w:ilvl="7" w:tplc="6C64D3C6" w:tentative="1">
      <w:start w:val="1"/>
      <w:numFmt w:val="bullet"/>
      <w:lvlText w:val=""/>
      <w:lvlJc w:val="left"/>
      <w:pPr>
        <w:tabs>
          <w:tab w:val="num" w:pos="5760"/>
        </w:tabs>
        <w:ind w:left="5760" w:hanging="360"/>
      </w:pPr>
      <w:rPr>
        <w:rFonts w:ascii="Wingdings" w:hAnsi="Wingdings" w:hint="default"/>
      </w:rPr>
    </w:lvl>
    <w:lvl w:ilvl="8" w:tplc="DC28810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0862B4"/>
    <w:multiLevelType w:val="hybridMultilevel"/>
    <w:tmpl w:val="C0CE2DB0"/>
    <w:lvl w:ilvl="0" w:tplc="1FDA3DD8">
      <w:start w:val="1"/>
      <w:numFmt w:val="bullet"/>
      <w:lvlText w:val=""/>
      <w:lvlJc w:val="left"/>
      <w:pPr>
        <w:tabs>
          <w:tab w:val="num" w:pos="720"/>
        </w:tabs>
        <w:ind w:left="720" w:hanging="360"/>
      </w:pPr>
      <w:rPr>
        <w:rFonts w:ascii="Wingdings" w:hAnsi="Wingdings" w:hint="default"/>
      </w:rPr>
    </w:lvl>
    <w:lvl w:ilvl="1" w:tplc="D23CCC02">
      <w:numFmt w:val="bullet"/>
      <w:lvlText w:val=""/>
      <w:lvlJc w:val="left"/>
      <w:pPr>
        <w:tabs>
          <w:tab w:val="num" w:pos="1440"/>
        </w:tabs>
        <w:ind w:left="1440" w:hanging="360"/>
      </w:pPr>
      <w:rPr>
        <w:rFonts w:ascii="Wingdings" w:hAnsi="Wingdings" w:hint="default"/>
      </w:rPr>
    </w:lvl>
    <w:lvl w:ilvl="2" w:tplc="196CC56C" w:tentative="1">
      <w:start w:val="1"/>
      <w:numFmt w:val="bullet"/>
      <w:lvlText w:val=""/>
      <w:lvlJc w:val="left"/>
      <w:pPr>
        <w:tabs>
          <w:tab w:val="num" w:pos="2160"/>
        </w:tabs>
        <w:ind w:left="2160" w:hanging="360"/>
      </w:pPr>
      <w:rPr>
        <w:rFonts w:ascii="Wingdings" w:hAnsi="Wingdings" w:hint="default"/>
      </w:rPr>
    </w:lvl>
    <w:lvl w:ilvl="3" w:tplc="5E4C14BA" w:tentative="1">
      <w:start w:val="1"/>
      <w:numFmt w:val="bullet"/>
      <w:lvlText w:val=""/>
      <w:lvlJc w:val="left"/>
      <w:pPr>
        <w:tabs>
          <w:tab w:val="num" w:pos="2880"/>
        </w:tabs>
        <w:ind w:left="2880" w:hanging="360"/>
      </w:pPr>
      <w:rPr>
        <w:rFonts w:ascii="Wingdings" w:hAnsi="Wingdings" w:hint="default"/>
      </w:rPr>
    </w:lvl>
    <w:lvl w:ilvl="4" w:tplc="76E0E2D4" w:tentative="1">
      <w:start w:val="1"/>
      <w:numFmt w:val="bullet"/>
      <w:lvlText w:val=""/>
      <w:lvlJc w:val="left"/>
      <w:pPr>
        <w:tabs>
          <w:tab w:val="num" w:pos="3600"/>
        </w:tabs>
        <w:ind w:left="3600" w:hanging="360"/>
      </w:pPr>
      <w:rPr>
        <w:rFonts w:ascii="Wingdings" w:hAnsi="Wingdings" w:hint="default"/>
      </w:rPr>
    </w:lvl>
    <w:lvl w:ilvl="5" w:tplc="98768014" w:tentative="1">
      <w:start w:val="1"/>
      <w:numFmt w:val="bullet"/>
      <w:lvlText w:val=""/>
      <w:lvlJc w:val="left"/>
      <w:pPr>
        <w:tabs>
          <w:tab w:val="num" w:pos="4320"/>
        </w:tabs>
        <w:ind w:left="4320" w:hanging="360"/>
      </w:pPr>
      <w:rPr>
        <w:rFonts w:ascii="Wingdings" w:hAnsi="Wingdings" w:hint="default"/>
      </w:rPr>
    </w:lvl>
    <w:lvl w:ilvl="6" w:tplc="FE441F98" w:tentative="1">
      <w:start w:val="1"/>
      <w:numFmt w:val="bullet"/>
      <w:lvlText w:val=""/>
      <w:lvlJc w:val="left"/>
      <w:pPr>
        <w:tabs>
          <w:tab w:val="num" w:pos="5040"/>
        </w:tabs>
        <w:ind w:left="5040" w:hanging="360"/>
      </w:pPr>
      <w:rPr>
        <w:rFonts w:ascii="Wingdings" w:hAnsi="Wingdings" w:hint="default"/>
      </w:rPr>
    </w:lvl>
    <w:lvl w:ilvl="7" w:tplc="84D8EA2E" w:tentative="1">
      <w:start w:val="1"/>
      <w:numFmt w:val="bullet"/>
      <w:lvlText w:val=""/>
      <w:lvlJc w:val="left"/>
      <w:pPr>
        <w:tabs>
          <w:tab w:val="num" w:pos="5760"/>
        </w:tabs>
        <w:ind w:left="5760" w:hanging="360"/>
      </w:pPr>
      <w:rPr>
        <w:rFonts w:ascii="Wingdings" w:hAnsi="Wingdings" w:hint="default"/>
      </w:rPr>
    </w:lvl>
    <w:lvl w:ilvl="8" w:tplc="8CFACC5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BF54205"/>
    <w:multiLevelType w:val="hybridMultilevel"/>
    <w:tmpl w:val="19A40496"/>
    <w:lvl w:ilvl="0" w:tplc="6FA214A6">
      <w:start w:val="1"/>
      <w:numFmt w:val="bullet"/>
      <w:lvlText w:val=""/>
      <w:lvlJc w:val="left"/>
      <w:pPr>
        <w:tabs>
          <w:tab w:val="num" w:pos="720"/>
        </w:tabs>
        <w:ind w:left="720" w:hanging="360"/>
      </w:pPr>
      <w:rPr>
        <w:rFonts w:ascii="Wingdings" w:hAnsi="Wingdings" w:hint="default"/>
      </w:rPr>
    </w:lvl>
    <w:lvl w:ilvl="1" w:tplc="A7B0B6FA" w:tentative="1">
      <w:start w:val="1"/>
      <w:numFmt w:val="bullet"/>
      <w:lvlText w:val=""/>
      <w:lvlJc w:val="left"/>
      <w:pPr>
        <w:tabs>
          <w:tab w:val="num" w:pos="1440"/>
        </w:tabs>
        <w:ind w:left="1440" w:hanging="360"/>
      </w:pPr>
      <w:rPr>
        <w:rFonts w:ascii="Wingdings" w:hAnsi="Wingdings" w:hint="default"/>
      </w:rPr>
    </w:lvl>
    <w:lvl w:ilvl="2" w:tplc="110C5882" w:tentative="1">
      <w:start w:val="1"/>
      <w:numFmt w:val="bullet"/>
      <w:lvlText w:val=""/>
      <w:lvlJc w:val="left"/>
      <w:pPr>
        <w:tabs>
          <w:tab w:val="num" w:pos="2160"/>
        </w:tabs>
        <w:ind w:left="2160" w:hanging="360"/>
      </w:pPr>
      <w:rPr>
        <w:rFonts w:ascii="Wingdings" w:hAnsi="Wingdings" w:hint="default"/>
      </w:rPr>
    </w:lvl>
    <w:lvl w:ilvl="3" w:tplc="C86EC622" w:tentative="1">
      <w:start w:val="1"/>
      <w:numFmt w:val="bullet"/>
      <w:lvlText w:val=""/>
      <w:lvlJc w:val="left"/>
      <w:pPr>
        <w:tabs>
          <w:tab w:val="num" w:pos="2880"/>
        </w:tabs>
        <w:ind w:left="2880" w:hanging="360"/>
      </w:pPr>
      <w:rPr>
        <w:rFonts w:ascii="Wingdings" w:hAnsi="Wingdings" w:hint="default"/>
      </w:rPr>
    </w:lvl>
    <w:lvl w:ilvl="4" w:tplc="88BC09F8" w:tentative="1">
      <w:start w:val="1"/>
      <w:numFmt w:val="bullet"/>
      <w:lvlText w:val=""/>
      <w:lvlJc w:val="left"/>
      <w:pPr>
        <w:tabs>
          <w:tab w:val="num" w:pos="3600"/>
        </w:tabs>
        <w:ind w:left="3600" w:hanging="360"/>
      </w:pPr>
      <w:rPr>
        <w:rFonts w:ascii="Wingdings" w:hAnsi="Wingdings" w:hint="default"/>
      </w:rPr>
    </w:lvl>
    <w:lvl w:ilvl="5" w:tplc="BD52773C" w:tentative="1">
      <w:start w:val="1"/>
      <w:numFmt w:val="bullet"/>
      <w:lvlText w:val=""/>
      <w:lvlJc w:val="left"/>
      <w:pPr>
        <w:tabs>
          <w:tab w:val="num" w:pos="4320"/>
        </w:tabs>
        <w:ind w:left="4320" w:hanging="360"/>
      </w:pPr>
      <w:rPr>
        <w:rFonts w:ascii="Wingdings" w:hAnsi="Wingdings" w:hint="default"/>
      </w:rPr>
    </w:lvl>
    <w:lvl w:ilvl="6" w:tplc="937C62C4" w:tentative="1">
      <w:start w:val="1"/>
      <w:numFmt w:val="bullet"/>
      <w:lvlText w:val=""/>
      <w:lvlJc w:val="left"/>
      <w:pPr>
        <w:tabs>
          <w:tab w:val="num" w:pos="5040"/>
        </w:tabs>
        <w:ind w:left="5040" w:hanging="360"/>
      </w:pPr>
      <w:rPr>
        <w:rFonts w:ascii="Wingdings" w:hAnsi="Wingdings" w:hint="default"/>
      </w:rPr>
    </w:lvl>
    <w:lvl w:ilvl="7" w:tplc="76E23F98" w:tentative="1">
      <w:start w:val="1"/>
      <w:numFmt w:val="bullet"/>
      <w:lvlText w:val=""/>
      <w:lvlJc w:val="left"/>
      <w:pPr>
        <w:tabs>
          <w:tab w:val="num" w:pos="5760"/>
        </w:tabs>
        <w:ind w:left="5760" w:hanging="360"/>
      </w:pPr>
      <w:rPr>
        <w:rFonts w:ascii="Wingdings" w:hAnsi="Wingdings" w:hint="default"/>
      </w:rPr>
    </w:lvl>
    <w:lvl w:ilvl="8" w:tplc="F78C391E" w:tentative="1">
      <w:start w:val="1"/>
      <w:numFmt w:val="bullet"/>
      <w:lvlText w:val=""/>
      <w:lvlJc w:val="left"/>
      <w:pPr>
        <w:tabs>
          <w:tab w:val="num" w:pos="6480"/>
        </w:tabs>
        <w:ind w:left="6480" w:hanging="360"/>
      </w:pPr>
      <w:rPr>
        <w:rFonts w:ascii="Wingdings" w:hAnsi="Wingdings" w:hint="default"/>
      </w:rPr>
    </w:lvl>
  </w:abstractNum>
  <w:num w:numId="1" w16cid:durableId="1297763146">
    <w:abstractNumId w:val="1"/>
  </w:num>
  <w:num w:numId="2" w16cid:durableId="1994948287">
    <w:abstractNumId w:val="0"/>
  </w:num>
  <w:num w:numId="3" w16cid:durableId="1045637554">
    <w:abstractNumId w:val="3"/>
  </w:num>
  <w:num w:numId="4" w16cid:durableId="11841309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49"/>
    <w:rsid w:val="00047977"/>
    <w:rsid w:val="00053A37"/>
    <w:rsid w:val="00073060"/>
    <w:rsid w:val="000744C6"/>
    <w:rsid w:val="00100089"/>
    <w:rsid w:val="001D2D3E"/>
    <w:rsid w:val="001E392C"/>
    <w:rsid w:val="001F3CD3"/>
    <w:rsid w:val="001F626A"/>
    <w:rsid w:val="0022340D"/>
    <w:rsid w:val="002B31B3"/>
    <w:rsid w:val="00331A3B"/>
    <w:rsid w:val="00340C7A"/>
    <w:rsid w:val="00363C0D"/>
    <w:rsid w:val="004141DC"/>
    <w:rsid w:val="004451DE"/>
    <w:rsid w:val="00462198"/>
    <w:rsid w:val="0046616E"/>
    <w:rsid w:val="00485A36"/>
    <w:rsid w:val="004A3D21"/>
    <w:rsid w:val="004B7499"/>
    <w:rsid w:val="004F0249"/>
    <w:rsid w:val="00572518"/>
    <w:rsid w:val="00573E0C"/>
    <w:rsid w:val="005B2AEB"/>
    <w:rsid w:val="005C0E9D"/>
    <w:rsid w:val="005D6F53"/>
    <w:rsid w:val="005E4BB9"/>
    <w:rsid w:val="00637DA8"/>
    <w:rsid w:val="0067106D"/>
    <w:rsid w:val="00720130"/>
    <w:rsid w:val="0072429C"/>
    <w:rsid w:val="00772254"/>
    <w:rsid w:val="00784560"/>
    <w:rsid w:val="00794E06"/>
    <w:rsid w:val="007C38FA"/>
    <w:rsid w:val="00800B6B"/>
    <w:rsid w:val="00896A53"/>
    <w:rsid w:val="008E3079"/>
    <w:rsid w:val="00936C0D"/>
    <w:rsid w:val="00950914"/>
    <w:rsid w:val="009668FE"/>
    <w:rsid w:val="0097636E"/>
    <w:rsid w:val="009964E4"/>
    <w:rsid w:val="009D585A"/>
    <w:rsid w:val="009F572A"/>
    <w:rsid w:val="009F7970"/>
    <w:rsid w:val="00A144FF"/>
    <w:rsid w:val="00A23ADB"/>
    <w:rsid w:val="00A733D7"/>
    <w:rsid w:val="00A90F6D"/>
    <w:rsid w:val="00AA4CC2"/>
    <w:rsid w:val="00AB0693"/>
    <w:rsid w:val="00AB0EC0"/>
    <w:rsid w:val="00AC0EFF"/>
    <w:rsid w:val="00AE79C4"/>
    <w:rsid w:val="00B01E2E"/>
    <w:rsid w:val="00B22A86"/>
    <w:rsid w:val="00B67B17"/>
    <w:rsid w:val="00C0397B"/>
    <w:rsid w:val="00C161F3"/>
    <w:rsid w:val="00CA004A"/>
    <w:rsid w:val="00CB275A"/>
    <w:rsid w:val="00CC295B"/>
    <w:rsid w:val="00CD234F"/>
    <w:rsid w:val="00CF5C95"/>
    <w:rsid w:val="00D112FC"/>
    <w:rsid w:val="00D17AD5"/>
    <w:rsid w:val="00D20DD6"/>
    <w:rsid w:val="00D5326F"/>
    <w:rsid w:val="00D705D3"/>
    <w:rsid w:val="00D75500"/>
    <w:rsid w:val="00DE4297"/>
    <w:rsid w:val="00DE6412"/>
    <w:rsid w:val="00E1485D"/>
    <w:rsid w:val="00E64019"/>
    <w:rsid w:val="00E706C8"/>
    <w:rsid w:val="00E72C91"/>
    <w:rsid w:val="00E75BA9"/>
    <w:rsid w:val="00ED7179"/>
    <w:rsid w:val="00EF3495"/>
    <w:rsid w:val="00F11D1D"/>
    <w:rsid w:val="00F34B2C"/>
    <w:rsid w:val="00FA45C9"/>
    <w:rsid w:val="00FB04E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B1F5"/>
  <w15:chartTrackingRefBased/>
  <w15:docId w15:val="{59893BB9-DCA2-44C3-B1F0-E0F10C57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02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2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2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2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2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2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2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2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02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02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2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2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2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2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2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249"/>
    <w:rPr>
      <w:rFonts w:eastAsiaTheme="majorEastAsia" w:cstheme="majorBidi"/>
      <w:color w:val="272727" w:themeColor="text1" w:themeTint="D8"/>
    </w:rPr>
  </w:style>
  <w:style w:type="paragraph" w:styleId="Title">
    <w:name w:val="Title"/>
    <w:basedOn w:val="Normal"/>
    <w:next w:val="Normal"/>
    <w:link w:val="TitleChar"/>
    <w:uiPriority w:val="10"/>
    <w:qFormat/>
    <w:rsid w:val="004F0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2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2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249"/>
    <w:pPr>
      <w:spacing w:before="160"/>
      <w:jc w:val="center"/>
    </w:pPr>
    <w:rPr>
      <w:i/>
      <w:iCs/>
      <w:color w:val="404040" w:themeColor="text1" w:themeTint="BF"/>
    </w:rPr>
  </w:style>
  <w:style w:type="character" w:customStyle="1" w:styleId="QuoteChar">
    <w:name w:val="Quote Char"/>
    <w:basedOn w:val="DefaultParagraphFont"/>
    <w:link w:val="Quote"/>
    <w:uiPriority w:val="29"/>
    <w:rsid w:val="004F0249"/>
    <w:rPr>
      <w:i/>
      <w:iCs/>
      <w:color w:val="404040" w:themeColor="text1" w:themeTint="BF"/>
    </w:rPr>
  </w:style>
  <w:style w:type="paragraph" w:styleId="ListParagraph">
    <w:name w:val="List Paragraph"/>
    <w:basedOn w:val="Normal"/>
    <w:uiPriority w:val="34"/>
    <w:qFormat/>
    <w:rsid w:val="004F0249"/>
    <w:pPr>
      <w:ind w:left="720"/>
      <w:contextualSpacing/>
    </w:pPr>
  </w:style>
  <w:style w:type="character" w:styleId="IntenseEmphasis">
    <w:name w:val="Intense Emphasis"/>
    <w:basedOn w:val="DefaultParagraphFont"/>
    <w:uiPriority w:val="21"/>
    <w:qFormat/>
    <w:rsid w:val="004F0249"/>
    <w:rPr>
      <w:i/>
      <w:iCs/>
      <w:color w:val="0F4761" w:themeColor="accent1" w:themeShade="BF"/>
    </w:rPr>
  </w:style>
  <w:style w:type="paragraph" w:styleId="IntenseQuote">
    <w:name w:val="Intense Quote"/>
    <w:basedOn w:val="Normal"/>
    <w:next w:val="Normal"/>
    <w:link w:val="IntenseQuoteChar"/>
    <w:uiPriority w:val="30"/>
    <w:qFormat/>
    <w:rsid w:val="004F0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249"/>
    <w:rPr>
      <w:i/>
      <w:iCs/>
      <w:color w:val="0F4761" w:themeColor="accent1" w:themeShade="BF"/>
    </w:rPr>
  </w:style>
  <w:style w:type="character" w:styleId="IntenseReference">
    <w:name w:val="Intense Reference"/>
    <w:basedOn w:val="DefaultParagraphFont"/>
    <w:uiPriority w:val="32"/>
    <w:qFormat/>
    <w:rsid w:val="004F0249"/>
    <w:rPr>
      <w:b/>
      <w:bCs/>
      <w:smallCaps/>
      <w:color w:val="0F4761" w:themeColor="accent1" w:themeShade="BF"/>
      <w:spacing w:val="5"/>
    </w:rPr>
  </w:style>
  <w:style w:type="paragraph" w:styleId="NormalWeb">
    <w:name w:val="Normal (Web)"/>
    <w:basedOn w:val="Normal"/>
    <w:uiPriority w:val="99"/>
    <w:semiHidden/>
    <w:unhideWhenUsed/>
    <w:rsid w:val="001F626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11298">
      <w:bodyDiv w:val="1"/>
      <w:marLeft w:val="0"/>
      <w:marRight w:val="0"/>
      <w:marTop w:val="0"/>
      <w:marBottom w:val="0"/>
      <w:divBdr>
        <w:top w:val="none" w:sz="0" w:space="0" w:color="auto"/>
        <w:left w:val="none" w:sz="0" w:space="0" w:color="auto"/>
        <w:bottom w:val="none" w:sz="0" w:space="0" w:color="auto"/>
        <w:right w:val="none" w:sz="0" w:space="0" w:color="auto"/>
      </w:divBdr>
      <w:divsChild>
        <w:div w:id="1978678380">
          <w:marLeft w:val="446"/>
          <w:marRight w:val="0"/>
          <w:marTop w:val="0"/>
          <w:marBottom w:val="0"/>
          <w:divBdr>
            <w:top w:val="none" w:sz="0" w:space="0" w:color="auto"/>
            <w:left w:val="none" w:sz="0" w:space="0" w:color="auto"/>
            <w:bottom w:val="none" w:sz="0" w:space="0" w:color="auto"/>
            <w:right w:val="none" w:sz="0" w:space="0" w:color="auto"/>
          </w:divBdr>
        </w:div>
        <w:div w:id="2061780034">
          <w:marLeft w:val="1166"/>
          <w:marRight w:val="0"/>
          <w:marTop w:val="0"/>
          <w:marBottom w:val="0"/>
          <w:divBdr>
            <w:top w:val="none" w:sz="0" w:space="0" w:color="auto"/>
            <w:left w:val="none" w:sz="0" w:space="0" w:color="auto"/>
            <w:bottom w:val="none" w:sz="0" w:space="0" w:color="auto"/>
            <w:right w:val="none" w:sz="0" w:space="0" w:color="auto"/>
          </w:divBdr>
        </w:div>
        <w:div w:id="102892778">
          <w:marLeft w:val="1166"/>
          <w:marRight w:val="0"/>
          <w:marTop w:val="0"/>
          <w:marBottom w:val="0"/>
          <w:divBdr>
            <w:top w:val="none" w:sz="0" w:space="0" w:color="auto"/>
            <w:left w:val="none" w:sz="0" w:space="0" w:color="auto"/>
            <w:bottom w:val="none" w:sz="0" w:space="0" w:color="auto"/>
            <w:right w:val="none" w:sz="0" w:space="0" w:color="auto"/>
          </w:divBdr>
        </w:div>
      </w:divsChild>
    </w:div>
    <w:div w:id="273220333">
      <w:bodyDiv w:val="1"/>
      <w:marLeft w:val="0"/>
      <w:marRight w:val="0"/>
      <w:marTop w:val="0"/>
      <w:marBottom w:val="0"/>
      <w:divBdr>
        <w:top w:val="none" w:sz="0" w:space="0" w:color="auto"/>
        <w:left w:val="none" w:sz="0" w:space="0" w:color="auto"/>
        <w:bottom w:val="none" w:sz="0" w:space="0" w:color="auto"/>
        <w:right w:val="none" w:sz="0" w:space="0" w:color="auto"/>
      </w:divBdr>
      <w:divsChild>
        <w:div w:id="1498497516">
          <w:marLeft w:val="446"/>
          <w:marRight w:val="0"/>
          <w:marTop w:val="0"/>
          <w:marBottom w:val="0"/>
          <w:divBdr>
            <w:top w:val="none" w:sz="0" w:space="0" w:color="auto"/>
            <w:left w:val="none" w:sz="0" w:space="0" w:color="auto"/>
            <w:bottom w:val="none" w:sz="0" w:space="0" w:color="auto"/>
            <w:right w:val="none" w:sz="0" w:space="0" w:color="auto"/>
          </w:divBdr>
        </w:div>
      </w:divsChild>
    </w:div>
    <w:div w:id="508253612">
      <w:bodyDiv w:val="1"/>
      <w:marLeft w:val="0"/>
      <w:marRight w:val="0"/>
      <w:marTop w:val="0"/>
      <w:marBottom w:val="0"/>
      <w:divBdr>
        <w:top w:val="none" w:sz="0" w:space="0" w:color="auto"/>
        <w:left w:val="none" w:sz="0" w:space="0" w:color="auto"/>
        <w:bottom w:val="none" w:sz="0" w:space="0" w:color="auto"/>
        <w:right w:val="none" w:sz="0" w:space="0" w:color="auto"/>
      </w:divBdr>
      <w:divsChild>
        <w:div w:id="1776712163">
          <w:marLeft w:val="446"/>
          <w:marRight w:val="0"/>
          <w:marTop w:val="0"/>
          <w:marBottom w:val="0"/>
          <w:divBdr>
            <w:top w:val="none" w:sz="0" w:space="0" w:color="auto"/>
            <w:left w:val="none" w:sz="0" w:space="0" w:color="auto"/>
            <w:bottom w:val="none" w:sz="0" w:space="0" w:color="auto"/>
            <w:right w:val="none" w:sz="0" w:space="0" w:color="auto"/>
          </w:divBdr>
        </w:div>
      </w:divsChild>
    </w:div>
    <w:div w:id="554707890">
      <w:bodyDiv w:val="1"/>
      <w:marLeft w:val="0"/>
      <w:marRight w:val="0"/>
      <w:marTop w:val="0"/>
      <w:marBottom w:val="0"/>
      <w:divBdr>
        <w:top w:val="none" w:sz="0" w:space="0" w:color="auto"/>
        <w:left w:val="none" w:sz="0" w:space="0" w:color="auto"/>
        <w:bottom w:val="none" w:sz="0" w:space="0" w:color="auto"/>
        <w:right w:val="none" w:sz="0" w:space="0" w:color="auto"/>
      </w:divBdr>
      <w:divsChild>
        <w:div w:id="524707251">
          <w:marLeft w:val="446"/>
          <w:marRight w:val="0"/>
          <w:marTop w:val="0"/>
          <w:marBottom w:val="0"/>
          <w:divBdr>
            <w:top w:val="none" w:sz="0" w:space="0" w:color="auto"/>
            <w:left w:val="none" w:sz="0" w:space="0" w:color="auto"/>
            <w:bottom w:val="none" w:sz="0" w:space="0" w:color="auto"/>
            <w:right w:val="none" w:sz="0" w:space="0" w:color="auto"/>
          </w:divBdr>
        </w:div>
      </w:divsChild>
    </w:div>
    <w:div w:id="1398555945">
      <w:bodyDiv w:val="1"/>
      <w:marLeft w:val="0"/>
      <w:marRight w:val="0"/>
      <w:marTop w:val="0"/>
      <w:marBottom w:val="0"/>
      <w:divBdr>
        <w:top w:val="none" w:sz="0" w:space="0" w:color="auto"/>
        <w:left w:val="none" w:sz="0" w:space="0" w:color="auto"/>
        <w:bottom w:val="none" w:sz="0" w:space="0" w:color="auto"/>
        <w:right w:val="none" w:sz="0" w:space="0" w:color="auto"/>
      </w:divBdr>
      <w:divsChild>
        <w:div w:id="1938246501">
          <w:marLeft w:val="446"/>
          <w:marRight w:val="0"/>
          <w:marTop w:val="100"/>
          <w:marBottom w:val="0"/>
          <w:divBdr>
            <w:top w:val="none" w:sz="0" w:space="0" w:color="auto"/>
            <w:left w:val="none" w:sz="0" w:space="0" w:color="auto"/>
            <w:bottom w:val="none" w:sz="0" w:space="0" w:color="auto"/>
            <w:right w:val="none" w:sz="0" w:space="0" w:color="auto"/>
          </w:divBdr>
        </w:div>
        <w:div w:id="758327960">
          <w:marLeft w:val="1166"/>
          <w:marRight w:val="0"/>
          <w:marTop w:val="0"/>
          <w:marBottom w:val="0"/>
          <w:divBdr>
            <w:top w:val="none" w:sz="0" w:space="0" w:color="auto"/>
            <w:left w:val="none" w:sz="0" w:space="0" w:color="auto"/>
            <w:bottom w:val="none" w:sz="0" w:space="0" w:color="auto"/>
            <w:right w:val="none" w:sz="0" w:space="0" w:color="auto"/>
          </w:divBdr>
        </w:div>
        <w:div w:id="789477219">
          <w:marLeft w:val="1166"/>
          <w:marRight w:val="0"/>
          <w:marTop w:val="0"/>
          <w:marBottom w:val="0"/>
          <w:divBdr>
            <w:top w:val="none" w:sz="0" w:space="0" w:color="auto"/>
            <w:left w:val="none" w:sz="0" w:space="0" w:color="auto"/>
            <w:bottom w:val="none" w:sz="0" w:space="0" w:color="auto"/>
            <w:right w:val="none" w:sz="0" w:space="0" w:color="auto"/>
          </w:divBdr>
        </w:div>
        <w:div w:id="1362167523">
          <w:marLeft w:val="1166"/>
          <w:marRight w:val="0"/>
          <w:marTop w:val="0"/>
          <w:marBottom w:val="0"/>
          <w:divBdr>
            <w:top w:val="none" w:sz="0" w:space="0" w:color="auto"/>
            <w:left w:val="none" w:sz="0" w:space="0" w:color="auto"/>
            <w:bottom w:val="none" w:sz="0" w:space="0" w:color="auto"/>
            <w:right w:val="none" w:sz="0" w:space="0" w:color="auto"/>
          </w:divBdr>
        </w:div>
        <w:div w:id="1760981202">
          <w:marLeft w:val="1166"/>
          <w:marRight w:val="0"/>
          <w:marTop w:val="0"/>
          <w:marBottom w:val="0"/>
          <w:divBdr>
            <w:top w:val="none" w:sz="0" w:space="0" w:color="auto"/>
            <w:left w:val="none" w:sz="0" w:space="0" w:color="auto"/>
            <w:bottom w:val="none" w:sz="0" w:space="0" w:color="auto"/>
            <w:right w:val="none" w:sz="0" w:space="0" w:color="auto"/>
          </w:divBdr>
        </w:div>
        <w:div w:id="178979690">
          <w:marLeft w:val="446"/>
          <w:marRight w:val="0"/>
          <w:marTop w:val="100"/>
          <w:marBottom w:val="0"/>
          <w:divBdr>
            <w:top w:val="none" w:sz="0" w:space="0" w:color="auto"/>
            <w:left w:val="none" w:sz="0" w:space="0" w:color="auto"/>
            <w:bottom w:val="none" w:sz="0" w:space="0" w:color="auto"/>
            <w:right w:val="none" w:sz="0" w:space="0" w:color="auto"/>
          </w:divBdr>
        </w:div>
        <w:div w:id="1750151499">
          <w:marLeft w:val="1166"/>
          <w:marRight w:val="0"/>
          <w:marTop w:val="0"/>
          <w:marBottom w:val="0"/>
          <w:divBdr>
            <w:top w:val="none" w:sz="0" w:space="0" w:color="auto"/>
            <w:left w:val="none" w:sz="0" w:space="0" w:color="auto"/>
            <w:bottom w:val="none" w:sz="0" w:space="0" w:color="auto"/>
            <w:right w:val="none" w:sz="0" w:space="0" w:color="auto"/>
          </w:divBdr>
        </w:div>
        <w:div w:id="1370835120">
          <w:marLeft w:val="446"/>
          <w:marRight w:val="0"/>
          <w:marTop w:val="100"/>
          <w:marBottom w:val="0"/>
          <w:divBdr>
            <w:top w:val="none" w:sz="0" w:space="0" w:color="auto"/>
            <w:left w:val="none" w:sz="0" w:space="0" w:color="auto"/>
            <w:bottom w:val="none" w:sz="0" w:space="0" w:color="auto"/>
            <w:right w:val="none" w:sz="0" w:space="0" w:color="auto"/>
          </w:divBdr>
        </w:div>
        <w:div w:id="268049716">
          <w:marLeft w:val="1166"/>
          <w:marRight w:val="0"/>
          <w:marTop w:val="0"/>
          <w:marBottom w:val="0"/>
          <w:divBdr>
            <w:top w:val="none" w:sz="0" w:space="0" w:color="auto"/>
            <w:left w:val="none" w:sz="0" w:space="0" w:color="auto"/>
            <w:bottom w:val="none" w:sz="0" w:space="0" w:color="auto"/>
            <w:right w:val="none" w:sz="0" w:space="0" w:color="auto"/>
          </w:divBdr>
        </w:div>
      </w:divsChild>
    </w:div>
    <w:div w:id="1629356107">
      <w:bodyDiv w:val="1"/>
      <w:marLeft w:val="0"/>
      <w:marRight w:val="0"/>
      <w:marTop w:val="0"/>
      <w:marBottom w:val="0"/>
      <w:divBdr>
        <w:top w:val="none" w:sz="0" w:space="0" w:color="auto"/>
        <w:left w:val="none" w:sz="0" w:space="0" w:color="auto"/>
        <w:bottom w:val="none" w:sz="0" w:space="0" w:color="auto"/>
        <w:right w:val="none" w:sz="0" w:space="0" w:color="auto"/>
      </w:divBdr>
      <w:divsChild>
        <w:div w:id="552548567">
          <w:marLeft w:val="446"/>
          <w:marRight w:val="0"/>
          <w:marTop w:val="100"/>
          <w:marBottom w:val="0"/>
          <w:divBdr>
            <w:top w:val="none" w:sz="0" w:space="0" w:color="auto"/>
            <w:left w:val="none" w:sz="0" w:space="0" w:color="auto"/>
            <w:bottom w:val="none" w:sz="0" w:space="0" w:color="auto"/>
            <w:right w:val="none" w:sz="0" w:space="0" w:color="auto"/>
          </w:divBdr>
        </w:div>
        <w:div w:id="286009216">
          <w:marLeft w:val="1166"/>
          <w:marRight w:val="0"/>
          <w:marTop w:val="0"/>
          <w:marBottom w:val="0"/>
          <w:divBdr>
            <w:top w:val="none" w:sz="0" w:space="0" w:color="auto"/>
            <w:left w:val="none" w:sz="0" w:space="0" w:color="auto"/>
            <w:bottom w:val="none" w:sz="0" w:space="0" w:color="auto"/>
            <w:right w:val="none" w:sz="0" w:space="0" w:color="auto"/>
          </w:divBdr>
        </w:div>
        <w:div w:id="380399881">
          <w:marLeft w:val="1166"/>
          <w:marRight w:val="0"/>
          <w:marTop w:val="0"/>
          <w:marBottom w:val="0"/>
          <w:divBdr>
            <w:top w:val="none" w:sz="0" w:space="0" w:color="auto"/>
            <w:left w:val="none" w:sz="0" w:space="0" w:color="auto"/>
            <w:bottom w:val="none" w:sz="0" w:space="0" w:color="auto"/>
            <w:right w:val="none" w:sz="0" w:space="0" w:color="auto"/>
          </w:divBdr>
        </w:div>
        <w:div w:id="1642344266">
          <w:marLeft w:val="1166"/>
          <w:marRight w:val="0"/>
          <w:marTop w:val="0"/>
          <w:marBottom w:val="0"/>
          <w:divBdr>
            <w:top w:val="none" w:sz="0" w:space="0" w:color="auto"/>
            <w:left w:val="none" w:sz="0" w:space="0" w:color="auto"/>
            <w:bottom w:val="none" w:sz="0" w:space="0" w:color="auto"/>
            <w:right w:val="none" w:sz="0" w:space="0" w:color="auto"/>
          </w:divBdr>
        </w:div>
        <w:div w:id="1302464843">
          <w:marLeft w:val="1166"/>
          <w:marRight w:val="0"/>
          <w:marTop w:val="0"/>
          <w:marBottom w:val="0"/>
          <w:divBdr>
            <w:top w:val="none" w:sz="0" w:space="0" w:color="auto"/>
            <w:left w:val="none" w:sz="0" w:space="0" w:color="auto"/>
            <w:bottom w:val="none" w:sz="0" w:space="0" w:color="auto"/>
            <w:right w:val="none" w:sz="0" w:space="0" w:color="auto"/>
          </w:divBdr>
        </w:div>
        <w:div w:id="1667900957">
          <w:marLeft w:val="446"/>
          <w:marRight w:val="0"/>
          <w:marTop w:val="100"/>
          <w:marBottom w:val="0"/>
          <w:divBdr>
            <w:top w:val="none" w:sz="0" w:space="0" w:color="auto"/>
            <w:left w:val="none" w:sz="0" w:space="0" w:color="auto"/>
            <w:bottom w:val="none" w:sz="0" w:space="0" w:color="auto"/>
            <w:right w:val="none" w:sz="0" w:space="0" w:color="auto"/>
          </w:divBdr>
        </w:div>
        <w:div w:id="615135319">
          <w:marLeft w:val="1166"/>
          <w:marRight w:val="0"/>
          <w:marTop w:val="0"/>
          <w:marBottom w:val="0"/>
          <w:divBdr>
            <w:top w:val="none" w:sz="0" w:space="0" w:color="auto"/>
            <w:left w:val="none" w:sz="0" w:space="0" w:color="auto"/>
            <w:bottom w:val="none" w:sz="0" w:space="0" w:color="auto"/>
            <w:right w:val="none" w:sz="0" w:space="0" w:color="auto"/>
          </w:divBdr>
        </w:div>
        <w:div w:id="23747810">
          <w:marLeft w:val="446"/>
          <w:marRight w:val="0"/>
          <w:marTop w:val="100"/>
          <w:marBottom w:val="0"/>
          <w:divBdr>
            <w:top w:val="none" w:sz="0" w:space="0" w:color="auto"/>
            <w:left w:val="none" w:sz="0" w:space="0" w:color="auto"/>
            <w:bottom w:val="none" w:sz="0" w:space="0" w:color="auto"/>
            <w:right w:val="none" w:sz="0" w:space="0" w:color="auto"/>
          </w:divBdr>
        </w:div>
        <w:div w:id="60778518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2668</Words>
  <Characters>15210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Flamain</dc:creator>
  <cp:keywords/>
  <dc:description/>
  <cp:lastModifiedBy>Celine Flamain</cp:lastModifiedBy>
  <cp:revision>6</cp:revision>
  <dcterms:created xsi:type="dcterms:W3CDTF">2025-07-27T16:39:00Z</dcterms:created>
  <dcterms:modified xsi:type="dcterms:W3CDTF">2025-07-27T16:45:00Z</dcterms:modified>
</cp:coreProperties>
</file>