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9313DBE">
      <w:pPr>
        <w:jc w:val="center"/>
      </w:pPr>
      <w:bookmarkStart w:id="0" w:name="_GoBack"/>
      <w:bookmarkEnd w:id="0"/>
      <w:r>
        <w:rPr>
          <w:rFonts w:ascii="微软雅黑" w:hAnsi="微软雅黑" w:eastAsia="微软雅黑"/>
          <w:b/>
          <w:color w:val="1F4E79"/>
          <w:sz w:val="40"/>
        </w:rPr>
        <w:t>智能运营平台项目周报</w:t>
      </w:r>
    </w:p>
    <w:p w14:paraId="608240E2">
      <w:pPr>
        <w:jc w:val="center"/>
      </w:pPr>
      <w:r>
        <w:rPr>
          <w:rFonts w:ascii="宋体" w:hAnsi="宋体" w:eastAsia="宋体"/>
          <w:color w:val="5A5A5A"/>
          <w:sz w:val="21"/>
        </w:rPr>
        <w:t>汇报周期：2026-07-01 至 2026-07-07｜负责人：席琳｜项目阶段：联调测试</w:t>
      </w:r>
    </w:p>
    <w:p w14:paraId="2FCEC233">
      <w:pPr>
        <w:spacing w:before="240" w:after="120"/>
      </w:pPr>
      <w:r>
        <w:rPr>
          <w:rFonts w:ascii="微软雅黑" w:hAnsi="微软雅黑" w:eastAsia="微软雅黑"/>
          <w:b/>
          <w:color w:val="1F4E79"/>
          <w:sz w:val="30"/>
        </w:rPr>
        <w:t>一、项目概况</w:t>
      </w:r>
    </w:p>
    <w:p w14:paraId="031820AB">
      <w:pPr>
        <w:spacing w:after="80"/>
      </w:pPr>
      <w:r>
        <w:rPr>
          <w:rFonts w:ascii="宋体" w:hAnsi="宋体" w:eastAsia="宋体"/>
          <w:sz w:val="22"/>
        </w:rPr>
        <w:t>本项目面向企业内部销售、客服与运营数据处理场景，建设统一的智能运营平台，支持工单汇总、客户反馈分析、销售周报生成与风险预警。</w:t>
      </w:r>
    </w:p>
    <w:p w14:paraId="266259A2">
      <w:pPr>
        <w:spacing w:after="80"/>
      </w:pPr>
      <w:r>
        <w:rPr>
          <w:rFonts w:ascii="宋体" w:hAnsi="宋体" w:eastAsia="宋体"/>
          <w:sz w:val="22"/>
        </w:rPr>
        <w:t>本周重点完成知识库文档整理、数据接口联调、报告模板确认和测试用例补充，为下阶段试运行做准备。</w:t>
      </w:r>
    </w:p>
    <w:p w14:paraId="2D7C245E">
      <w:pPr>
        <w:spacing w:before="240" w:after="120"/>
      </w:pPr>
      <w:r>
        <w:rPr>
          <w:rFonts w:ascii="微软雅黑" w:hAnsi="微软雅黑" w:eastAsia="微软雅黑"/>
          <w:b/>
          <w:color w:val="1F4E79"/>
          <w:sz w:val="30"/>
        </w:rPr>
        <w:t>二、本周进展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49"/>
        <w:gridCol w:w="1949"/>
        <w:gridCol w:w="1949"/>
        <w:gridCol w:w="1949"/>
        <w:gridCol w:w="1949"/>
      </w:tblGrid>
      <w:tr w14:paraId="1D85185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49" w:type="dxa"/>
            <w:shd w:val="clear" w:color="auto" w:fill="D9EAF7"/>
            <w:vAlign w:val="center"/>
          </w:tcPr>
          <w:p w14:paraId="7E169D2A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b/>
                <w:sz w:val="21"/>
              </w:rPr>
              <w:t>模块</w:t>
            </w:r>
          </w:p>
        </w:tc>
        <w:tc>
          <w:tcPr>
            <w:tcW w:w="1949" w:type="dxa"/>
            <w:shd w:val="clear" w:color="auto" w:fill="D9EAF7"/>
            <w:vAlign w:val="center"/>
          </w:tcPr>
          <w:p w14:paraId="03D22561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b/>
                <w:sz w:val="21"/>
              </w:rPr>
              <w:t>负责人</w:t>
            </w:r>
          </w:p>
        </w:tc>
        <w:tc>
          <w:tcPr>
            <w:tcW w:w="1949" w:type="dxa"/>
            <w:shd w:val="clear" w:color="auto" w:fill="D9EAF7"/>
            <w:vAlign w:val="center"/>
          </w:tcPr>
          <w:p w14:paraId="77FB7946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b/>
                <w:sz w:val="21"/>
              </w:rPr>
              <w:t>当前进展</w:t>
            </w:r>
          </w:p>
        </w:tc>
        <w:tc>
          <w:tcPr>
            <w:tcW w:w="1949" w:type="dxa"/>
            <w:shd w:val="clear" w:color="auto" w:fill="D9EAF7"/>
            <w:vAlign w:val="center"/>
          </w:tcPr>
          <w:p w14:paraId="297E97F3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b/>
                <w:sz w:val="21"/>
              </w:rPr>
              <w:t>完成度</w:t>
            </w:r>
          </w:p>
        </w:tc>
        <w:tc>
          <w:tcPr>
            <w:tcW w:w="1949" w:type="dxa"/>
            <w:shd w:val="clear" w:color="auto" w:fill="D9EAF7"/>
            <w:vAlign w:val="center"/>
          </w:tcPr>
          <w:p w14:paraId="46064890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b/>
                <w:sz w:val="21"/>
              </w:rPr>
              <w:t>备注</w:t>
            </w:r>
          </w:p>
        </w:tc>
      </w:tr>
      <w:tr w14:paraId="62E875D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49" w:type="dxa"/>
            <w:vAlign w:val="center"/>
          </w:tcPr>
          <w:p w14:paraId="3B499084">
            <w:pPr>
              <w:spacing w:before="0" w:after="0" w:line="240" w:lineRule="auto"/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文档知识库</w:t>
            </w:r>
          </w:p>
        </w:tc>
        <w:tc>
          <w:tcPr>
            <w:tcW w:w="1949" w:type="dxa"/>
            <w:vAlign w:val="center"/>
          </w:tcPr>
          <w:p w14:paraId="03D2291D">
            <w:pPr>
              <w:spacing w:before="0" w:after="0" w:line="240" w:lineRule="auto"/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席琳</w:t>
            </w:r>
          </w:p>
        </w:tc>
        <w:tc>
          <w:tcPr>
            <w:tcW w:w="1949" w:type="dxa"/>
            <w:vAlign w:val="center"/>
          </w:tcPr>
          <w:p w14:paraId="237FDA6D">
            <w:pPr>
              <w:spacing w:before="0" w:after="0" w:line="240" w:lineRule="auto"/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完成制度、周报、会议纪要等样例资料整理，并完成初步入库测试</w:t>
            </w:r>
          </w:p>
        </w:tc>
        <w:tc>
          <w:tcPr>
            <w:tcW w:w="1949" w:type="dxa"/>
            <w:vAlign w:val="center"/>
          </w:tcPr>
          <w:p w14:paraId="111DE957">
            <w:pPr>
              <w:spacing w:before="0" w:after="0" w:line="240" w:lineRule="auto"/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85%</w:t>
            </w:r>
          </w:p>
        </w:tc>
        <w:tc>
          <w:tcPr>
            <w:tcW w:w="1949" w:type="dxa"/>
            <w:vAlign w:val="center"/>
          </w:tcPr>
          <w:p w14:paraId="6F9971EF">
            <w:pPr>
              <w:spacing w:before="0" w:after="0" w:line="240" w:lineRule="auto"/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需补充历史项目资料</w:t>
            </w:r>
          </w:p>
        </w:tc>
      </w:tr>
      <w:tr w14:paraId="41480A4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49" w:type="dxa"/>
            <w:vAlign w:val="center"/>
          </w:tcPr>
          <w:p w14:paraId="0EC0D455">
            <w:pPr>
              <w:spacing w:before="0" w:after="0" w:line="240" w:lineRule="auto"/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数据接口</w:t>
            </w:r>
          </w:p>
        </w:tc>
        <w:tc>
          <w:tcPr>
            <w:tcW w:w="1949" w:type="dxa"/>
            <w:vAlign w:val="center"/>
          </w:tcPr>
          <w:p w14:paraId="75A93065">
            <w:pPr>
              <w:spacing w:before="0" w:after="0" w:line="240" w:lineRule="auto"/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张明</w:t>
            </w:r>
          </w:p>
        </w:tc>
        <w:tc>
          <w:tcPr>
            <w:tcW w:w="1949" w:type="dxa"/>
            <w:vAlign w:val="center"/>
          </w:tcPr>
          <w:p w14:paraId="40448064">
            <w:pPr>
              <w:spacing w:before="0" w:after="0" w:line="240" w:lineRule="auto"/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完成客户反馈表与销售数据表字段对齐，正在处理异常值</w:t>
            </w:r>
          </w:p>
        </w:tc>
        <w:tc>
          <w:tcPr>
            <w:tcW w:w="1949" w:type="dxa"/>
            <w:vAlign w:val="center"/>
          </w:tcPr>
          <w:p w14:paraId="11AA2F02">
            <w:pPr>
              <w:spacing w:before="0" w:after="0" w:line="240" w:lineRule="auto"/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70%</w:t>
            </w:r>
          </w:p>
        </w:tc>
        <w:tc>
          <w:tcPr>
            <w:tcW w:w="1949" w:type="dxa"/>
            <w:vAlign w:val="center"/>
          </w:tcPr>
          <w:p w14:paraId="1D83596E">
            <w:pPr>
              <w:spacing w:before="0" w:after="0" w:line="240" w:lineRule="auto"/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存在字段命名不一致问题</w:t>
            </w:r>
          </w:p>
        </w:tc>
      </w:tr>
      <w:tr w14:paraId="51662E0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49" w:type="dxa"/>
            <w:vAlign w:val="center"/>
          </w:tcPr>
          <w:p w14:paraId="35EAD1C3">
            <w:pPr>
              <w:spacing w:before="0" w:after="0" w:line="240" w:lineRule="auto"/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报告生成</w:t>
            </w:r>
          </w:p>
        </w:tc>
        <w:tc>
          <w:tcPr>
            <w:tcW w:w="1949" w:type="dxa"/>
            <w:vAlign w:val="center"/>
          </w:tcPr>
          <w:p w14:paraId="46B62AFB">
            <w:pPr>
              <w:spacing w:before="0" w:after="0" w:line="240" w:lineRule="auto"/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王琪</w:t>
            </w:r>
          </w:p>
        </w:tc>
        <w:tc>
          <w:tcPr>
            <w:tcW w:w="1949" w:type="dxa"/>
            <w:vAlign w:val="center"/>
          </w:tcPr>
          <w:p w14:paraId="55E857A7">
            <w:pPr>
              <w:spacing w:before="0" w:after="0" w:line="240" w:lineRule="auto"/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完成周报与风险报告模板确认，已输出第一版 Word 样例</w:t>
            </w:r>
          </w:p>
        </w:tc>
        <w:tc>
          <w:tcPr>
            <w:tcW w:w="1949" w:type="dxa"/>
            <w:vAlign w:val="center"/>
          </w:tcPr>
          <w:p w14:paraId="6451BB34">
            <w:pPr>
              <w:spacing w:before="0" w:after="0" w:line="240" w:lineRule="auto"/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80%</w:t>
            </w:r>
          </w:p>
        </w:tc>
        <w:tc>
          <w:tcPr>
            <w:tcW w:w="1949" w:type="dxa"/>
            <w:vAlign w:val="center"/>
          </w:tcPr>
          <w:p w14:paraId="3B863E27">
            <w:pPr>
              <w:spacing w:before="0" w:after="0" w:line="240" w:lineRule="auto"/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需优化格式一致性</w:t>
            </w:r>
          </w:p>
        </w:tc>
      </w:tr>
      <w:tr w14:paraId="7C8238F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49" w:type="dxa"/>
            <w:vAlign w:val="center"/>
          </w:tcPr>
          <w:p w14:paraId="33F59710">
            <w:pPr>
              <w:spacing w:before="0" w:after="0" w:line="240" w:lineRule="auto"/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测试验证</w:t>
            </w:r>
          </w:p>
        </w:tc>
        <w:tc>
          <w:tcPr>
            <w:tcW w:w="1949" w:type="dxa"/>
            <w:vAlign w:val="center"/>
          </w:tcPr>
          <w:p w14:paraId="3701A31E">
            <w:pPr>
              <w:spacing w:before="0" w:after="0" w:line="240" w:lineRule="auto"/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李阳</w:t>
            </w:r>
          </w:p>
        </w:tc>
        <w:tc>
          <w:tcPr>
            <w:tcW w:w="1949" w:type="dxa"/>
            <w:vAlign w:val="center"/>
          </w:tcPr>
          <w:p w14:paraId="020A4DC8">
            <w:pPr>
              <w:spacing w:before="0" w:after="0" w:line="240" w:lineRule="auto"/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补充 12 条问答测试样例，覆盖制度查询、风险识别与待办抽取</w:t>
            </w:r>
          </w:p>
        </w:tc>
        <w:tc>
          <w:tcPr>
            <w:tcW w:w="1949" w:type="dxa"/>
            <w:vAlign w:val="center"/>
          </w:tcPr>
          <w:p w14:paraId="1A55A251">
            <w:pPr>
              <w:spacing w:before="0" w:after="0" w:line="240" w:lineRule="auto"/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60%</w:t>
            </w:r>
          </w:p>
        </w:tc>
        <w:tc>
          <w:tcPr>
            <w:tcW w:w="1949" w:type="dxa"/>
            <w:vAlign w:val="center"/>
          </w:tcPr>
          <w:p w14:paraId="1EC2F3B3">
            <w:pPr>
              <w:spacing w:before="0" w:after="0" w:line="240" w:lineRule="auto"/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下周进行回归测试</w:t>
            </w:r>
          </w:p>
        </w:tc>
      </w:tr>
    </w:tbl>
    <w:p w14:paraId="1CA635EA">
      <w:r>
        <w:br w:type="page"/>
      </w:r>
    </w:p>
    <w:p w14:paraId="0A6C4164">
      <w:pPr>
        <w:spacing w:before="240" w:after="120"/>
      </w:pPr>
      <w:r>
        <w:rPr>
          <w:rFonts w:ascii="微软雅黑" w:hAnsi="微软雅黑" w:eastAsia="微软雅黑"/>
          <w:b/>
          <w:color w:val="1F4E79"/>
          <w:sz w:val="30"/>
        </w:rPr>
        <w:t>三、风险与问题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49"/>
        <w:gridCol w:w="1949"/>
        <w:gridCol w:w="1949"/>
        <w:gridCol w:w="1949"/>
        <w:gridCol w:w="1949"/>
      </w:tblGrid>
      <w:tr w14:paraId="1DBD1D6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49" w:type="dxa"/>
            <w:shd w:val="clear" w:color="auto" w:fill="FCE4D6"/>
            <w:vAlign w:val="center"/>
          </w:tcPr>
          <w:p w14:paraId="37A7069E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b/>
                <w:sz w:val="21"/>
              </w:rPr>
              <w:t>编号</w:t>
            </w:r>
          </w:p>
        </w:tc>
        <w:tc>
          <w:tcPr>
            <w:tcW w:w="1949" w:type="dxa"/>
            <w:shd w:val="clear" w:color="auto" w:fill="FCE4D6"/>
            <w:vAlign w:val="center"/>
          </w:tcPr>
          <w:p w14:paraId="292CEA8D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b/>
                <w:sz w:val="21"/>
              </w:rPr>
              <w:t>风险类型</w:t>
            </w:r>
          </w:p>
        </w:tc>
        <w:tc>
          <w:tcPr>
            <w:tcW w:w="1949" w:type="dxa"/>
            <w:shd w:val="clear" w:color="auto" w:fill="FCE4D6"/>
            <w:vAlign w:val="center"/>
          </w:tcPr>
          <w:p w14:paraId="329B1E2A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b/>
                <w:sz w:val="21"/>
              </w:rPr>
              <w:t>风险描述</w:t>
            </w:r>
          </w:p>
        </w:tc>
        <w:tc>
          <w:tcPr>
            <w:tcW w:w="1949" w:type="dxa"/>
            <w:shd w:val="clear" w:color="auto" w:fill="FCE4D6"/>
            <w:vAlign w:val="center"/>
          </w:tcPr>
          <w:p w14:paraId="5BEA7CAA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b/>
                <w:sz w:val="21"/>
              </w:rPr>
              <w:t>等级</w:t>
            </w:r>
          </w:p>
        </w:tc>
        <w:tc>
          <w:tcPr>
            <w:tcW w:w="1949" w:type="dxa"/>
            <w:shd w:val="clear" w:color="auto" w:fill="FCE4D6"/>
            <w:vAlign w:val="center"/>
          </w:tcPr>
          <w:p w14:paraId="2D16525C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b/>
                <w:sz w:val="21"/>
              </w:rPr>
              <w:t>处理建议</w:t>
            </w:r>
          </w:p>
        </w:tc>
      </w:tr>
      <w:tr w14:paraId="1C6358B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49" w:type="dxa"/>
            <w:vAlign w:val="center"/>
          </w:tcPr>
          <w:p w14:paraId="193E9D4F">
            <w:pPr>
              <w:spacing w:before="0" w:after="0" w:line="240" w:lineRule="auto"/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R-01</w:t>
            </w:r>
          </w:p>
        </w:tc>
        <w:tc>
          <w:tcPr>
            <w:tcW w:w="1949" w:type="dxa"/>
            <w:vAlign w:val="center"/>
          </w:tcPr>
          <w:p w14:paraId="358B2CB5">
            <w:pPr>
              <w:spacing w:before="0" w:after="0" w:line="240" w:lineRule="auto"/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数据质量风险</w:t>
            </w:r>
          </w:p>
        </w:tc>
        <w:tc>
          <w:tcPr>
            <w:tcW w:w="1949" w:type="dxa"/>
            <w:vAlign w:val="center"/>
          </w:tcPr>
          <w:p w14:paraId="6716AE1F">
            <w:pPr>
              <w:spacing w:before="0" w:after="0" w:line="240" w:lineRule="auto"/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部分历史工单字段缺失，可能影响客户反馈统计结果。</w:t>
            </w:r>
          </w:p>
        </w:tc>
        <w:tc>
          <w:tcPr>
            <w:tcW w:w="1949" w:type="dxa"/>
            <w:vAlign w:val="center"/>
          </w:tcPr>
          <w:p w14:paraId="531A9650">
            <w:pPr>
              <w:spacing w:before="0" w:after="0" w:line="240" w:lineRule="auto"/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中</w:t>
            </w:r>
          </w:p>
        </w:tc>
        <w:tc>
          <w:tcPr>
            <w:tcW w:w="1949" w:type="dxa"/>
            <w:vAlign w:val="center"/>
          </w:tcPr>
          <w:p w14:paraId="79CCE788">
            <w:pPr>
              <w:spacing w:before="0" w:after="0" w:line="240" w:lineRule="auto"/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补充字段校验规则，并对缺失数据进行人工复核。</w:t>
            </w:r>
          </w:p>
        </w:tc>
      </w:tr>
      <w:tr w14:paraId="4048F15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49" w:type="dxa"/>
            <w:vAlign w:val="center"/>
          </w:tcPr>
          <w:p w14:paraId="01085AF0">
            <w:pPr>
              <w:spacing w:before="0" w:after="0" w:line="240" w:lineRule="auto"/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R-02</w:t>
            </w:r>
          </w:p>
        </w:tc>
        <w:tc>
          <w:tcPr>
            <w:tcW w:w="1949" w:type="dxa"/>
            <w:vAlign w:val="center"/>
          </w:tcPr>
          <w:p w14:paraId="6D81D4A1">
            <w:pPr>
              <w:spacing w:before="0" w:after="0" w:line="240" w:lineRule="auto"/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进度风险</w:t>
            </w:r>
          </w:p>
        </w:tc>
        <w:tc>
          <w:tcPr>
            <w:tcW w:w="1949" w:type="dxa"/>
            <w:vAlign w:val="center"/>
          </w:tcPr>
          <w:p w14:paraId="392796ED">
            <w:pPr>
              <w:spacing w:before="0" w:after="0" w:line="240" w:lineRule="auto"/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接口联调时间晚于原计划 1 天，可能压缩测试周期。</w:t>
            </w:r>
          </w:p>
        </w:tc>
        <w:tc>
          <w:tcPr>
            <w:tcW w:w="1949" w:type="dxa"/>
            <w:vAlign w:val="center"/>
          </w:tcPr>
          <w:p w14:paraId="366FC672">
            <w:pPr>
              <w:spacing w:before="0" w:after="0" w:line="240" w:lineRule="auto"/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中</w:t>
            </w:r>
          </w:p>
        </w:tc>
        <w:tc>
          <w:tcPr>
            <w:tcW w:w="1949" w:type="dxa"/>
            <w:vAlign w:val="center"/>
          </w:tcPr>
          <w:p w14:paraId="5FDE7A1A">
            <w:pPr>
              <w:spacing w:before="0" w:after="0" w:line="240" w:lineRule="auto"/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优先完成核心接口联调，非关键报表功能延后。</w:t>
            </w:r>
          </w:p>
        </w:tc>
      </w:tr>
      <w:tr w14:paraId="5921F4D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49" w:type="dxa"/>
            <w:vAlign w:val="center"/>
          </w:tcPr>
          <w:p w14:paraId="22AB1CEC">
            <w:pPr>
              <w:spacing w:before="0" w:after="0" w:line="240" w:lineRule="auto"/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R-03</w:t>
            </w:r>
          </w:p>
        </w:tc>
        <w:tc>
          <w:tcPr>
            <w:tcW w:w="1949" w:type="dxa"/>
            <w:vAlign w:val="center"/>
          </w:tcPr>
          <w:p w14:paraId="30B23A2E">
            <w:pPr>
              <w:spacing w:before="0" w:after="0" w:line="240" w:lineRule="auto"/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报告一致性风险</w:t>
            </w:r>
          </w:p>
        </w:tc>
        <w:tc>
          <w:tcPr>
            <w:tcW w:w="1949" w:type="dxa"/>
            <w:vAlign w:val="center"/>
          </w:tcPr>
          <w:p w14:paraId="59DEE87D">
            <w:pPr>
              <w:spacing w:before="0" w:after="0" w:line="240" w:lineRule="auto"/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不同部门周报格式不统一，影响自动生成报告的稳定性。</w:t>
            </w:r>
          </w:p>
        </w:tc>
        <w:tc>
          <w:tcPr>
            <w:tcW w:w="1949" w:type="dxa"/>
            <w:vAlign w:val="center"/>
          </w:tcPr>
          <w:p w14:paraId="47F7CFCE">
            <w:pPr>
              <w:spacing w:before="0" w:after="0" w:line="240" w:lineRule="auto"/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低</w:t>
            </w:r>
          </w:p>
        </w:tc>
        <w:tc>
          <w:tcPr>
            <w:tcW w:w="1949" w:type="dxa"/>
            <w:vAlign w:val="center"/>
          </w:tcPr>
          <w:p w14:paraId="54E02604">
            <w:pPr>
              <w:spacing w:before="0" w:after="0" w:line="240" w:lineRule="auto"/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沉淀统一报告模板和字段规范。</w:t>
            </w:r>
          </w:p>
        </w:tc>
      </w:tr>
    </w:tbl>
    <w:p w14:paraId="1D362030">
      <w:pPr>
        <w:spacing w:before="240" w:after="120"/>
      </w:pPr>
      <w:r>
        <w:rPr>
          <w:rFonts w:ascii="微软雅黑" w:hAnsi="微软雅黑" w:eastAsia="微软雅黑"/>
          <w:b/>
          <w:color w:val="1F4E79"/>
          <w:sz w:val="30"/>
        </w:rPr>
        <w:t>四、会议决议与待办事项</w:t>
      </w:r>
    </w:p>
    <w:p w14:paraId="7C6E1D00">
      <w:pPr>
        <w:pStyle w:val="16"/>
        <w:spacing w:after="40"/>
      </w:pPr>
      <w:r>
        <w:rPr>
          <w:rFonts w:ascii="宋体" w:hAnsi="宋体" w:eastAsia="宋体"/>
          <w:sz w:val="22"/>
        </w:rPr>
        <w:t>决议 1：本阶段优先保证知识库问答、风险识别和 Word 报告导出三条主链路稳定。</w:t>
      </w:r>
    </w:p>
    <w:p w14:paraId="7B3FAF66">
      <w:pPr>
        <w:pStyle w:val="16"/>
        <w:spacing w:after="40"/>
      </w:pPr>
      <w:r>
        <w:rPr>
          <w:rFonts w:ascii="宋体" w:hAnsi="宋体" w:eastAsia="宋体"/>
          <w:sz w:val="22"/>
        </w:rPr>
        <w:t>决议 2：报告模板统一采用“项目概况—进展—风险—建议—下周计划”五段式结构。</w:t>
      </w:r>
    </w:p>
    <w:p w14:paraId="1A6ADEB2">
      <w:pPr>
        <w:pStyle w:val="16"/>
        <w:spacing w:after="40"/>
      </w:pPr>
      <w:r>
        <w:rPr>
          <w:rFonts w:ascii="宋体" w:hAnsi="宋体" w:eastAsia="宋体"/>
          <w:sz w:val="22"/>
        </w:rPr>
        <w:t>待办 1：张明于 2026-07-09 前完成接口异常字段清洗。</w:t>
      </w:r>
    </w:p>
    <w:p w14:paraId="4E99BC18">
      <w:pPr>
        <w:pStyle w:val="16"/>
        <w:spacing w:after="40"/>
      </w:pPr>
      <w:r>
        <w:rPr>
          <w:rFonts w:ascii="宋体" w:hAnsi="宋体" w:eastAsia="宋体"/>
          <w:sz w:val="22"/>
        </w:rPr>
        <w:t>待办 2：席琳于 2026-07-10 前补充 10 条检索评测问题。</w:t>
      </w:r>
    </w:p>
    <w:p w14:paraId="05990AF9">
      <w:pPr>
        <w:pStyle w:val="16"/>
        <w:spacing w:after="40"/>
      </w:pPr>
      <w:r>
        <w:rPr>
          <w:rFonts w:ascii="宋体" w:hAnsi="宋体" w:eastAsia="宋体"/>
          <w:sz w:val="22"/>
        </w:rPr>
        <w:t>待办 3：王琪于 2026-07-11 前整理第二版汇报材料。</w:t>
      </w:r>
    </w:p>
    <w:p w14:paraId="4BCCDC64">
      <w:pPr>
        <w:spacing w:before="240" w:after="120"/>
      </w:pPr>
      <w:r>
        <w:rPr>
          <w:rFonts w:ascii="微软雅黑" w:hAnsi="微软雅黑" w:eastAsia="微软雅黑"/>
          <w:b/>
          <w:color w:val="1F4E79"/>
          <w:sz w:val="30"/>
        </w:rPr>
        <w:t>五、下周计划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436"/>
        <w:gridCol w:w="2436"/>
        <w:gridCol w:w="2436"/>
        <w:gridCol w:w="2436"/>
      </w:tblGrid>
      <w:tr w14:paraId="1113C2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36" w:type="dxa"/>
            <w:shd w:val="clear" w:color="auto" w:fill="E2F0D9"/>
            <w:vAlign w:val="center"/>
          </w:tcPr>
          <w:p w14:paraId="73C8AFD7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b/>
                <w:sz w:val="21"/>
              </w:rPr>
              <w:t>计划事项</w:t>
            </w:r>
          </w:p>
        </w:tc>
        <w:tc>
          <w:tcPr>
            <w:tcW w:w="2436" w:type="dxa"/>
            <w:shd w:val="clear" w:color="auto" w:fill="E2F0D9"/>
            <w:vAlign w:val="center"/>
          </w:tcPr>
          <w:p w14:paraId="5B400C8A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b/>
                <w:sz w:val="21"/>
              </w:rPr>
              <w:t>负责人</w:t>
            </w:r>
          </w:p>
        </w:tc>
        <w:tc>
          <w:tcPr>
            <w:tcW w:w="2436" w:type="dxa"/>
            <w:shd w:val="clear" w:color="auto" w:fill="E2F0D9"/>
            <w:vAlign w:val="center"/>
          </w:tcPr>
          <w:p w14:paraId="1E25C034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b/>
                <w:sz w:val="21"/>
              </w:rPr>
              <w:t>截止时间</w:t>
            </w:r>
          </w:p>
        </w:tc>
        <w:tc>
          <w:tcPr>
            <w:tcW w:w="2436" w:type="dxa"/>
            <w:shd w:val="clear" w:color="auto" w:fill="E2F0D9"/>
            <w:vAlign w:val="center"/>
          </w:tcPr>
          <w:p w14:paraId="4A9592F2">
            <w:pPr>
              <w:spacing w:before="0" w:after="0" w:line="240" w:lineRule="auto"/>
              <w:jc w:val="center"/>
            </w:pPr>
            <w:r>
              <w:rPr>
                <w:rFonts w:ascii="宋体" w:hAnsi="宋体" w:eastAsia="宋体"/>
                <w:b/>
                <w:sz w:val="21"/>
              </w:rPr>
              <w:t>验收标准</w:t>
            </w:r>
          </w:p>
        </w:tc>
      </w:tr>
      <w:tr w14:paraId="431B07B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36" w:type="dxa"/>
            <w:vAlign w:val="center"/>
          </w:tcPr>
          <w:p w14:paraId="3856C088">
            <w:pPr>
              <w:spacing w:before="0" w:after="0" w:line="240" w:lineRule="auto"/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完成核心接口联调</w:t>
            </w:r>
          </w:p>
        </w:tc>
        <w:tc>
          <w:tcPr>
            <w:tcW w:w="2436" w:type="dxa"/>
            <w:vAlign w:val="center"/>
          </w:tcPr>
          <w:p w14:paraId="1E2ADF44">
            <w:pPr>
              <w:spacing w:before="0" w:after="0" w:line="240" w:lineRule="auto"/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张明</w:t>
            </w:r>
          </w:p>
        </w:tc>
        <w:tc>
          <w:tcPr>
            <w:tcW w:w="2436" w:type="dxa"/>
            <w:vAlign w:val="center"/>
          </w:tcPr>
          <w:p w14:paraId="4A90F7F2">
            <w:pPr>
              <w:spacing w:before="0" w:after="0" w:line="240" w:lineRule="auto"/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2026-07-09</w:t>
            </w:r>
          </w:p>
        </w:tc>
        <w:tc>
          <w:tcPr>
            <w:tcW w:w="2436" w:type="dxa"/>
            <w:vAlign w:val="center"/>
          </w:tcPr>
          <w:p w14:paraId="04BE8B91">
            <w:pPr>
              <w:spacing w:before="0" w:after="0" w:line="240" w:lineRule="auto"/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接口返回字段完整，异常数据有日志记录</w:t>
            </w:r>
          </w:p>
        </w:tc>
      </w:tr>
      <w:tr w14:paraId="613F7D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36" w:type="dxa"/>
            <w:vAlign w:val="center"/>
          </w:tcPr>
          <w:p w14:paraId="4840CBA9">
            <w:pPr>
              <w:spacing w:before="0" w:after="0" w:line="240" w:lineRule="auto"/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完善知识库评测集</w:t>
            </w:r>
          </w:p>
        </w:tc>
        <w:tc>
          <w:tcPr>
            <w:tcW w:w="2436" w:type="dxa"/>
            <w:vAlign w:val="center"/>
          </w:tcPr>
          <w:p w14:paraId="41434E06">
            <w:pPr>
              <w:spacing w:before="0" w:after="0" w:line="240" w:lineRule="auto"/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席琳</w:t>
            </w:r>
          </w:p>
        </w:tc>
        <w:tc>
          <w:tcPr>
            <w:tcW w:w="2436" w:type="dxa"/>
            <w:vAlign w:val="center"/>
          </w:tcPr>
          <w:p w14:paraId="45A5C38E">
            <w:pPr>
              <w:spacing w:before="0" w:after="0" w:line="240" w:lineRule="auto"/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2026-07-10</w:t>
            </w:r>
          </w:p>
        </w:tc>
        <w:tc>
          <w:tcPr>
            <w:tcW w:w="2436" w:type="dxa"/>
            <w:vAlign w:val="center"/>
          </w:tcPr>
          <w:p w14:paraId="01F1991D">
            <w:pPr>
              <w:spacing w:before="0" w:after="0" w:line="240" w:lineRule="auto"/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不少于 10 条问题，覆盖制度、周报、风险三类场景</w:t>
            </w:r>
          </w:p>
        </w:tc>
      </w:tr>
      <w:tr w14:paraId="6DB3F1A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36" w:type="dxa"/>
            <w:vAlign w:val="center"/>
          </w:tcPr>
          <w:p w14:paraId="312980C4">
            <w:pPr>
              <w:spacing w:before="0" w:after="0" w:line="240" w:lineRule="auto"/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优化报告模板</w:t>
            </w:r>
          </w:p>
        </w:tc>
        <w:tc>
          <w:tcPr>
            <w:tcW w:w="2436" w:type="dxa"/>
            <w:vAlign w:val="center"/>
          </w:tcPr>
          <w:p w14:paraId="4A27F502">
            <w:pPr>
              <w:spacing w:before="0" w:after="0" w:line="240" w:lineRule="auto"/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王琪</w:t>
            </w:r>
          </w:p>
        </w:tc>
        <w:tc>
          <w:tcPr>
            <w:tcW w:w="2436" w:type="dxa"/>
            <w:vAlign w:val="center"/>
          </w:tcPr>
          <w:p w14:paraId="50606F90">
            <w:pPr>
              <w:spacing w:before="0" w:after="0" w:line="240" w:lineRule="auto"/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2026-07-11</w:t>
            </w:r>
          </w:p>
        </w:tc>
        <w:tc>
          <w:tcPr>
            <w:tcW w:w="2436" w:type="dxa"/>
            <w:vAlign w:val="center"/>
          </w:tcPr>
          <w:p w14:paraId="72BC1AED">
            <w:pPr>
              <w:spacing w:before="0" w:after="0" w:line="240" w:lineRule="auto"/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Word 报告格式统一，可直接用于项目汇报</w:t>
            </w:r>
          </w:p>
        </w:tc>
      </w:tr>
      <w:tr w14:paraId="5FE086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36" w:type="dxa"/>
            <w:vAlign w:val="center"/>
          </w:tcPr>
          <w:p w14:paraId="7073D3BE">
            <w:pPr>
              <w:spacing w:before="0" w:after="0" w:line="240" w:lineRule="auto"/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组织试运行演示</w:t>
            </w:r>
          </w:p>
        </w:tc>
        <w:tc>
          <w:tcPr>
            <w:tcW w:w="2436" w:type="dxa"/>
            <w:vAlign w:val="center"/>
          </w:tcPr>
          <w:p w14:paraId="1D32FC99">
            <w:pPr>
              <w:spacing w:before="0" w:after="0" w:line="240" w:lineRule="auto"/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李阳</w:t>
            </w:r>
          </w:p>
        </w:tc>
        <w:tc>
          <w:tcPr>
            <w:tcW w:w="2436" w:type="dxa"/>
            <w:vAlign w:val="center"/>
          </w:tcPr>
          <w:p w14:paraId="2D315CB0">
            <w:pPr>
              <w:spacing w:before="0" w:after="0" w:line="240" w:lineRule="auto"/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2026-07-12</w:t>
            </w:r>
          </w:p>
        </w:tc>
        <w:tc>
          <w:tcPr>
            <w:tcW w:w="2436" w:type="dxa"/>
            <w:vAlign w:val="center"/>
          </w:tcPr>
          <w:p w14:paraId="30BAED32">
            <w:pPr>
              <w:spacing w:before="0" w:after="0" w:line="240" w:lineRule="auto"/>
              <w:jc w:val="left"/>
            </w:pPr>
            <w:r>
              <w:rPr>
                <w:rFonts w:ascii="宋体" w:hAnsi="宋体" w:eastAsia="宋体"/>
                <w:b w:val="0"/>
                <w:sz w:val="20"/>
              </w:rPr>
              <w:t>完成一次端到端演示并记录问题清单</w:t>
            </w:r>
          </w:p>
        </w:tc>
      </w:tr>
    </w:tbl>
    <w:p w14:paraId="2293B194">
      <w:pPr>
        <w:jc w:val="right"/>
      </w:pPr>
      <w:r>
        <w:rPr>
          <w:rFonts w:ascii="宋体" w:hAnsi="宋体" w:eastAsia="宋体"/>
          <w:color w:val="787878"/>
          <w:sz w:val="18"/>
        </w:rPr>
        <w:t>文档密级：内部使用｜生成时间：2026-07-07</w:t>
      </w:r>
    </w:p>
    <w:sectPr>
      <w:pgSz w:w="12240" w:h="15840"/>
      <w:pgMar w:top="1020" w:right="1247" w:bottom="1020" w:left="1247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宋体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47AF74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uiPriority="99" w:semiHidden="0" w:name="List"/>
    <w:lsdException w:uiPriority="99" w:semiHidden="0" w:name="List Bullet"/>
    <w:lsdException w:uiPriority="99" w:semiHidden="0" w:name="List Number"/>
    <w:lsdException w:uiPriority="99" w:semiHidden="0" w:name="List 2"/>
    <w:lsdException w:uiPriority="99" w:semiHidden="0" w:name="List 3"/>
    <w:lsdException w:uiPriority="99" w:name="List 4"/>
    <w:lsdException w:uiPriority="99" w:name="List 5"/>
    <w:lsdException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qFormat="1"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semiHidden="0" w:name="Body Text"/>
    <w:lsdException w:uiPriority="99" w:name="Body Text Indent"/>
    <w:lsdException w:uiPriority="99" w:semiHidden="0" w:name="List Continue"/>
    <w:lsdException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qFormat="1"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qFormat="1" w:unhideWhenUsed="0" w:uiPriority="60" w:semiHidden="0" w:name="Light Shading"/>
    <w:lsdException w:qFormat="1"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qFormat="1"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qFormat="1" w:unhideWhenUsed="0" w:uiPriority="60" w:semiHidden="0" w:name="Light Shading Accent 2"/>
    <w:lsdException w:qFormat="1"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qFormat="1" w:unhideWhenUsed="0" w:uiPriority="60" w:semiHidden="0" w:name="Light Shading Accent 3"/>
    <w:lsdException w:unhideWhenUsed="0" w:uiPriority="61" w:semiHidden="0" w:name="Light List Accent 3"/>
    <w:lsdException w:qFormat="1"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qFormat="1" w:unhideWhenUsed="0" w:uiPriority="60" w:semiHidden="0" w:name="Light Shading Accent 4"/>
    <w:lsdException w:unhideWhenUsed="0" w:uiPriority="61" w:semiHidden="0" w:name="Light List Accent 4"/>
    <w:lsdException w:qFormat="1"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qFormat="1" w:unhideWhenUsed="0" w:uiPriority="60" w:semiHidden="0" w:name="Light Shading Accent 5"/>
    <w:lsdException w:unhideWhenUsed="0" w:uiPriority="61" w:semiHidden="0" w:name="Light List Accent 5"/>
    <w:lsdException w:qFormat="1"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qFormat="1"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="宋体" w:hAnsi="宋体" w:eastAsia="宋体" w:cstheme="minorBidi"/>
      <w:sz w:val="22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qFormat/>
    <w:uiPriority w:val="1"/>
  </w:style>
  <w:style w:type="table" w:default="1" w:styleId="3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qFormat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6"/>
    <w:unhideWhenUsed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unhideWhenUsed/>
    <w:uiPriority w:val="99"/>
    <w:pPr>
      <w:spacing w:after="120"/>
    </w:pPr>
  </w:style>
  <w:style w:type="paragraph" w:styleId="20">
    <w:name w:val="List Number 3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5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qFormat/>
    <w:uiPriority w:val="99"/>
    <w:pPr>
      <w:spacing w:after="120" w:line="480" w:lineRule="auto"/>
    </w:pPr>
  </w:style>
  <w:style w:type="paragraph" w:styleId="29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3">
    <w:name w:val="Table Grid"/>
    <w:basedOn w:val="32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qFormat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qFormat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qFormat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qFormat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qFormat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qFormat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qFormat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qFormat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qFormat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qFormat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qFormat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qFormat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Header Char"/>
    <w:basedOn w:val="132"/>
    <w:link w:val="25"/>
    <w:uiPriority w:val="99"/>
  </w:style>
  <w:style w:type="character" w:customStyle="1" w:styleId="136">
    <w:name w:val="Footer Char"/>
    <w:basedOn w:val="132"/>
    <w:link w:val="24"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32"/>
    <w:link w:val="3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32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32"/>
    <w:link w:val="5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32"/>
    <w:link w:val="31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32"/>
    <w:link w:val="26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32"/>
    <w:link w:val="19"/>
    <w:uiPriority w:val="99"/>
  </w:style>
  <w:style w:type="character" w:customStyle="1" w:styleId="145">
    <w:name w:val="Body Text 2 Char"/>
    <w:basedOn w:val="132"/>
    <w:link w:val="28"/>
    <w:qFormat/>
    <w:uiPriority w:val="99"/>
  </w:style>
  <w:style w:type="character" w:customStyle="1" w:styleId="146">
    <w:name w:val="Body Text 3 Char"/>
    <w:basedOn w:val="132"/>
    <w:link w:val="17"/>
    <w:uiPriority w:val="99"/>
    <w:rPr>
      <w:sz w:val="16"/>
      <w:szCs w:val="16"/>
    </w:rPr>
  </w:style>
  <w:style w:type="character" w:customStyle="1" w:styleId="147">
    <w:name w:val="Macro Text Char"/>
    <w:basedOn w:val="132"/>
    <w:link w:val="2"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32"/>
    <w:link w:val="148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32"/>
    <w:link w:val="6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32"/>
    <w:link w:val="7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32"/>
    <w:link w:val="8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32"/>
    <w:link w:val="9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32"/>
    <w:link w:val="10"/>
    <w:semiHidden/>
    <w:qFormat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32"/>
    <w:link w:val="11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32"/>
    <w:link w:val="156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809</Words>
  <Characters>928</Characters>
  <Lines>0</Lines>
  <Paragraphs>0</Paragraphs>
  <TotalTime>0</TotalTime>
  <ScaleCrop>false</ScaleCrop>
  <LinksUpToDate>false</LinksUpToDate>
  <CharactersWithSpaces>954</CharactersWithSpaces>
  <Application>WPS Office_12.1.0.26895_F1E327BC-269C-435d-A152-05C5408002CA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北极星</cp:lastModifiedBy>
  <dcterms:modified xsi:type="dcterms:W3CDTF">2026-07-01T13:59:18Z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eyJoZGlkIjoiYTNiZTY5MzdiOGMwNmE1MTViNDk1ZjU2ZGNjMzZkODUiLCJ1c2VySWQiOiI4MDk5OTU0NTEifQ==</vt:lpwstr>
  </property>
  <property fmtid="{D5CDD505-2E9C-101B-9397-08002B2CF9AE}" pid="3" name="KSOProductBuildVer">
    <vt:lpwstr>2052-12.1.0.26895</vt:lpwstr>
  </property>
  <property fmtid="{D5CDD505-2E9C-101B-9397-08002B2CF9AE}" pid="4" name="ICV">
    <vt:lpwstr>727A4CA856484C178B156C950BE56B5D_12</vt:lpwstr>
  </property>
</Properties>
</file>