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heading=h.maj4oomamgpx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ACTA / REPORTE DE LA SPRINT REVIEW (SPRINT 3)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bookmarkStart w:colFirst="0" w:colLast="0" w:name="_heading=h.qa3kbsmrv68o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Información General</w:t>
      </w:r>
    </w:p>
    <w:tbl>
      <w:tblPr>
        <w:tblStyle w:val="Table1"/>
        <w:tblW w:w="897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4995"/>
        <w:gridCol w:w="3975"/>
        <w:tblGridChange w:id="0">
          <w:tblGrid>
            <w:gridCol w:w="4995"/>
            <w:gridCol w:w="397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E-commerce "Tres En Uno"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No.: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Duración del Sprint: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oct 2025 a 22 oct 2025 (6 días hábiles)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la Revisión: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 oct 2025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Participantes (Equipo Scrum):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Benjamin Lobos Lorca (Desarrollo), Catalina Berrios Salazar (Desarrollo), Celine Toledo Jorquera (Scrum Master)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Facilitador (Scrum Master):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Celine Toledo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</w:rPr>
      </w:pPr>
      <w:bookmarkStart w:colFirst="0" w:colLast="0" w:name="_heading=h.lai37cg8t87s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1. Objetivos del Sprint</w:t>
      </w:r>
    </w:p>
    <w:tbl>
      <w:tblPr>
        <w:tblStyle w:val="Table2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270"/>
        <w:gridCol w:w="2850"/>
        <w:gridCol w:w="2940"/>
        <w:tblGridChange w:id="0">
          <w:tblGrid>
            <w:gridCol w:w="3270"/>
            <w:gridCol w:w="2850"/>
            <w:gridCol w:w="294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Objetivo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(Cumplido/No Cumplido)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Objetivo Principal del Sprint: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Implementar el flujo completo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Conversión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incluyendo el Checkout transaccional y la gestión CRUD de Categorías para el administrador.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demostró el flujo de compra de principio a fin, desde la página de envío hasta la finalización del pedido con registro atómico en la base de datos. Se logró la gestión de Categorías en el Panel Admin.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Objetivo del Producto (Meta a largo plazo):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Lanzar un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Producto Mínimo Viable (MVP)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capaz de procesar pedidos de clientes.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ya puede registrar pedidos de cliente, lo que activa el MVP. El método de pago fue adaptado según el feedback del cliente (ver Inspección del Incremento).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Arial" w:cs="Arial" w:eastAsia="Arial" w:hAnsi="Arial"/>
        </w:rPr>
      </w:pPr>
      <w:bookmarkStart w:colFirst="0" w:colLast="0" w:name="_heading=h.z7slhzadfgiu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2. Inspección del Incremento (El "Qué" se logró)</w:t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</w:rPr>
      </w:pPr>
      <w:bookmarkStart w:colFirst="0" w:colLast="0" w:name="_heading=h.osjlclsqhwt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2.1. Resumen de Ítems Entregados:</w:t>
      </w:r>
    </w:p>
    <w:tbl>
      <w:tblPr>
        <w:tblStyle w:val="Table3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520"/>
        <w:gridCol w:w="3525"/>
        <w:gridCol w:w="1515"/>
        <w:gridCol w:w="1500"/>
        <w:tblGridChange w:id="0">
          <w:tblGrid>
            <w:gridCol w:w="2520"/>
            <w:gridCol w:w="3525"/>
            <w:gridCol w:w="1515"/>
            <w:gridCol w:w="1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Historia de Usuario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¿Cumple DoD?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HU08: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Checkout (Transacción)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de compra completo, incluyendo página de envío, resumen y registro final del pedido. Adaptación: Se implementó el método de Transferencia Bancaria como solución de pago.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HU15: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Gestionar Categorías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CRUD completo de Categorías en el Panel de Administración. Se modificó el formulario de Productos para asociar ítems a Categorías.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HU16: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Filtrar por Categoría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modificó el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endpoint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público para aceptar filtros y se implementó la barra de navegación de categorías en el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del catálogo de clientes.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</w:rPr>
      </w:pPr>
      <w:bookmarkStart w:colFirst="0" w:colLast="0" w:name="_heading=h.8ud8vunciabr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2.2. Items NO Completados</w:t>
      </w:r>
    </w:p>
    <w:tbl>
      <w:tblPr>
        <w:tblStyle w:val="Table4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5565"/>
        <w:tblGridChange w:id="0">
          <w:tblGrid>
            <w:gridCol w:w="3495"/>
            <w:gridCol w:w="556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Historia de Usuario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Motivo de No Finalización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 hay ítems no completados.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logró la finalización de todo el alcance planificado para el Sprint 3 dentro del tiempo estipulado.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rPr>
          <w:rFonts w:ascii="Arial" w:cs="Arial" w:eastAsia="Arial" w:hAnsi="Arial"/>
        </w:rPr>
      </w:pPr>
      <w:bookmarkStart w:colFirst="0" w:colLast="0" w:name="_heading=h.pctrtxtek19l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2.3. Desafíos / Impedimentos del Sprint</w:t>
      </w:r>
    </w:p>
    <w:tbl>
      <w:tblPr>
        <w:tblStyle w:val="Table5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5565"/>
        <w:tblGridChange w:id="0">
          <w:tblGrid>
            <w:gridCol w:w="3495"/>
            <w:gridCol w:w="556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Adaptación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Decisión y Resultado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Cambio de Método de Pago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(WebPay/API Externa a Transferencia Bancaria)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Decisión: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 determinó que la integración de una API de pago (ej. WebPay) consume demasiado tiempo de desarrollo y genera dependencia.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 conversó con el Cliente (Product Owner), quien autorizó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cambio a un método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"Transferencia Bancaria"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como solución viable y funcional para el MVP.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Impacto: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Ahorro de 2 días de desarrollo de Backend/Integración.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</w:rPr>
      </w:pPr>
      <w:bookmarkStart w:colFirst="0" w:colLast="0" w:name="_heading=h.udbljxpv107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3. Feedback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Ventaja de tiempo obtenida: </w:t>
      </w:r>
      <w:r w:rsidDel="00000000" w:rsidR="00000000" w:rsidRPr="00000000">
        <w:rPr>
          <w:rFonts w:ascii="Arial" w:cs="Arial" w:eastAsia="Arial" w:hAnsi="Arial"/>
          <w:rtl w:val="0"/>
        </w:rPr>
        <w:t xml:space="preserve">La decisión de cambiar el método de pago por transferencia bancaria fue clave, ya que liberó tiempo que se invirtió en asegurar la robustez de la lógica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Conclusiones sobre el mercado: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valor de negocio ya está activado. El MVP es funcional y capaz de recibir dinero/pedidos, lo cual era la meta de negocio del Q4.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Progreso hacia el Objetivo del Producto:</w:t>
      </w:r>
      <w:r w:rsidDel="00000000" w:rsidR="00000000" w:rsidRPr="00000000">
        <w:rPr>
          <w:rFonts w:ascii="Arial" w:cs="Arial" w:eastAsia="Arial" w:hAnsi="Arial"/>
          <w:rtl w:val="0"/>
        </w:rPr>
        <w:t xml:space="preserve">Estamos un 100% en camino al MVP. Las próximas fases (Sprint 4 y 5) serán de valor agregado (Dashboard, Chatbot) y cierre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Riesgos/Asunciones modificadas: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riesgo del manejo de transacciones de stock (HU08) ha sido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mitigado</w:t>
      </w:r>
      <w:r w:rsidDel="00000000" w:rsidR="00000000" w:rsidRPr="00000000">
        <w:rPr>
          <w:rFonts w:ascii="Arial" w:cs="Arial" w:eastAsia="Arial" w:hAnsi="Arial"/>
          <w:rtl w:val="0"/>
        </w:rPr>
        <w:t xml:space="preserve"> exitosamente gracias a la implementación de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lógica atómica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Arial" w:cs="Arial" w:eastAsia="Arial" w:hAnsi="Arial"/>
        </w:rPr>
      </w:pPr>
      <w:bookmarkStart w:colFirst="0" w:colLast="0" w:name="_heading=h.sqm0petv4tka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4. Próximos Pasos (Resultado de la Adaptación)</w:t>
      </w:r>
    </w:p>
    <w:tbl>
      <w:tblPr>
        <w:tblStyle w:val="Table6"/>
        <w:tblW w:w="9045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3495"/>
        <w:gridCol w:w="2055"/>
        <w:tblGridChange w:id="0">
          <w:tblGrid>
            <w:gridCol w:w="3495"/>
            <w:gridCol w:w="3495"/>
            <w:gridCol w:w="205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Acción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 (Alta/Media/Baja)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Responsable (PO/Equipo)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HU09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/ HU10: Dashboard de Ventas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(BI)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Benjamin L.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HU11: Chatbot para FAQs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(UX/Soporte)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B.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HU14: Perfil de Cliente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(Mejora de UX)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Benjamin L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Arial" w:cs="Arial" w:eastAsia="Arial" w:hAnsi="Arial"/>
        </w:rPr>
      </w:pPr>
      <w:bookmarkStart w:colFirst="0" w:colLast="0" w:name="_heading=h.c0lliljq25u9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5. Cierre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Aprobación (Firmas):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rFonts w:ascii="Arial" w:cs="Arial" w:eastAsia="Arial" w:hAnsi="Arial"/>
          <w:i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Owner: Catalina Berrios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rFonts w:ascii="Arial" w:cs="Arial" w:eastAsia="Arial" w:hAnsi="Arial"/>
          <w:i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Scrum Master: Celine Toledo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+x5oP5L6SjdYVq8damy1ogHXTw==">CgMxLjAyDmgubWFqNG9vbWFtZ3B4Mg5oLnFhM2tic21ydjY4bzIOaC5sYWkzN2NnOHQ4N3MyDmguejdzbGh6YWRmZ2l1Mg1oLm9zamxjbHNxaHd0Mg5oLjh1ZDh2dW5jaWFicjIOaC5wY3RydHh0ZWsxOWwyDmgudWRibGp4cHYxMDdvMg5oLnNxbTBwZXR2NHRrYTIOaC5jMGxsaWxqcTI1dTk4AHIhMWFXbU9rNWwwb0IzaUVIMjlnRU91ZHVMMUcta1pVbFB5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