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heading=h.maj4oomamgpx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ACTA / REPORTE DE LA SPRINT REVIEW (SPRINT 2)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heading=h.qa3kbsmrv68o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Información General</w:t>
      </w:r>
    </w:p>
    <w:tbl>
      <w:tblPr>
        <w:tblStyle w:val="Table1"/>
        <w:tblW w:w="897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4995"/>
        <w:gridCol w:w="3975"/>
        <w:tblGridChange w:id="0">
          <w:tblGrid>
            <w:gridCol w:w="4995"/>
            <w:gridCol w:w="397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Proyecto: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E-commerce "Tres En Uno"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Sprint No.: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Duración del Sprint: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 sept 2025 a 17 oct 2025 (15 días hábiles)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Fecha de la Revisión: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 oct 2025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Participantes (Equipo Scrum):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Benjamin Lobos Lorca (Desarrollo), Catalina Berrios Salazar (Desarrollo), Celine Toledo Jorquera (Scrum Master)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Facilitador (Scrum Master):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Celine Toledo</w:t>
            </w:r>
          </w:p>
        </w:tc>
      </w:tr>
    </w:tbl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bookmarkStart w:colFirst="0" w:colLast="0" w:name="_heading=h.lai37cg8t87s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1. Objetivos del Sprint</w:t>
      </w:r>
    </w:p>
    <w:tbl>
      <w:tblPr>
        <w:tblStyle w:val="Table2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270"/>
        <w:gridCol w:w="2850"/>
        <w:gridCol w:w="2940"/>
        <w:tblGridChange w:id="0">
          <w:tblGrid>
            <w:gridCol w:w="3270"/>
            <w:gridCol w:w="2850"/>
            <w:gridCol w:w="294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Descripción del Objetivo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 (Cumplido/No Cumplido)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Principal del Sprint: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Establecer el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mvp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cliente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(Base del Cliente)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permitiendo a los usuarios registrarse, iniciar sesión, navegar el catálogo completo y gestionar su carrito de compras.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Cumplido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flujo completo de autenticación y carrito CRUD fue demostrado exitosamente, cumpliendo la Definición de Terminado.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del Producto (Meta a largo plazo):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Lanzar un E-commerce viable con capacidad de procesar pedidos de clientes en el Q4.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>
          <w:rFonts w:ascii="Arial" w:cs="Arial" w:eastAsia="Arial" w:hAnsi="Arial"/>
        </w:rPr>
      </w:pPr>
      <w:bookmarkStart w:colFirst="0" w:colLast="0" w:name="_heading=h.z7slhzadfgiu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2. Inspección del Incremento (El "Qué" se logró)</w:t>
      </w:r>
    </w:p>
    <w:p w:rsidR="00000000" w:rsidDel="00000000" w:rsidP="00000000" w:rsidRDefault="00000000" w:rsidRPr="00000000" w14:paraId="0000001E">
      <w:pPr>
        <w:pStyle w:val="Heading2"/>
        <w:rPr>
          <w:rFonts w:ascii="Arial" w:cs="Arial" w:eastAsia="Arial" w:hAnsi="Arial"/>
        </w:rPr>
      </w:pPr>
      <w:bookmarkStart w:colFirst="0" w:colLast="0" w:name="_heading=h.osjlclsqhwt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2.1. Resumen de Ítems Entregados:</w:t>
      </w:r>
    </w:p>
    <w:tbl>
      <w:tblPr>
        <w:tblStyle w:val="Table3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70"/>
        <w:tblGridChange w:id="0">
          <w:tblGrid>
            <w:gridCol w:w="3495"/>
            <w:gridCol w:w="3495"/>
            <w:gridCol w:w="207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¿Cumple DoD?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HU13 / HU17: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Módulo de Autenticación Cliente (Registro, Login, Recuperación).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 Catálogo (Cliente).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 Detalle de Producto.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Agregar y Gestionar Carrito (CRUD).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Terminado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>
          <w:rFonts w:ascii="Arial" w:cs="Arial" w:eastAsia="Arial" w:hAnsi="Arial"/>
        </w:rPr>
      </w:pPr>
      <w:bookmarkStart w:colFirst="0" w:colLast="0" w:name="_heading=h.8ud8vunciabr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2.2. Items NO Completados</w:t>
      </w:r>
    </w:p>
    <w:tbl>
      <w:tblPr>
        <w:tblStyle w:val="Table4"/>
        <w:tblW w:w="906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5565"/>
        <w:tblGridChange w:id="0">
          <w:tblGrid>
            <w:gridCol w:w="3495"/>
            <w:gridCol w:w="556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Historia de Usuario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Motivo de No Finalización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No hay ítems no completados.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El alcance fue ajustado y completado exitosamente dentro del nuevo plazo.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>
          <w:rFonts w:ascii="Arial" w:cs="Arial" w:eastAsia="Arial" w:hAnsi="Arial"/>
        </w:rPr>
      </w:pPr>
      <w:bookmarkStart w:colFirst="0" w:colLast="0" w:name="_heading=h.pctrtxtek19l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2.3. Desafíos / Impedimentos del Sprint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Desafío 1: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integración inicial del servicio de envío de emails</w:t>
      </w:r>
      <w:r w:rsidDel="00000000" w:rsidR="00000000" w:rsidRPr="00000000">
        <w:rPr>
          <w:rFonts w:ascii="Arial" w:cs="Arial" w:eastAsia="Arial" w:hAnsi="Arial"/>
          <w:rtl w:val="0"/>
        </w:rPr>
        <w:t xml:space="preserve"> (HU17) presentó problemas de configuración de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firewall</w:t>
      </w:r>
      <w:r w:rsidDel="00000000" w:rsidR="00000000" w:rsidRPr="00000000">
        <w:rPr>
          <w:rFonts w:ascii="Arial" w:cs="Arial" w:eastAsia="Arial" w:hAnsi="Arial"/>
          <w:rtl w:val="0"/>
        </w:rPr>
        <w:t xml:space="preserve">, lo cual generó un retraso de 1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Métricas Clave (Opcional):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completó el 100% del alcance, utilizando el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buffer</w:t>
      </w:r>
      <w:r w:rsidDel="00000000" w:rsidR="00000000" w:rsidRPr="00000000">
        <w:rPr>
          <w:rFonts w:ascii="Arial" w:cs="Arial" w:eastAsia="Arial" w:hAnsi="Arial"/>
          <w:rtl w:val="0"/>
        </w:rPr>
        <w:t xml:space="preserve"> de los días adicionales.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>
          <w:rFonts w:ascii="Arial" w:cs="Arial" w:eastAsia="Arial" w:hAnsi="Arial"/>
        </w:rPr>
      </w:pPr>
      <w:bookmarkStart w:colFirst="0" w:colLast="0" w:name="_heading=h.udbljxpv107o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3. Feedback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Ventaja de tiempo obtenida: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desarrollo del sprint 2, tomó menos tiempo del estimado, terminando 5 días antes, lo cual es muy beneficioso para el desarrollo del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Conclusiones sobre el mercado: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valor de negocio se activa en el Sprint 3 con la funcionalidad de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Progreso hacia el Objetivo del Producto: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el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mvp del cliente fase 1, </w:t>
      </w:r>
      <w:r w:rsidDel="00000000" w:rsidR="00000000" w:rsidRPr="00000000">
        <w:rPr>
          <w:rFonts w:ascii="Arial" w:cs="Arial" w:eastAsia="Arial" w:hAnsi="Arial"/>
          <w:rtl w:val="0"/>
        </w:rPr>
        <w:t xml:space="preserve">(acceso y carrito) finalizado, estamos exactamente a un Sprint (Sprint 3) de tener un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Producto Mínimo Viable (MVP)</w:t>
      </w:r>
      <w:r w:rsidDel="00000000" w:rsidR="00000000" w:rsidRPr="00000000">
        <w:rPr>
          <w:rFonts w:ascii="Arial" w:cs="Arial" w:eastAsia="Arial" w:hAnsi="Arial"/>
          <w:rtl w:val="0"/>
        </w:rPr>
        <w:t xml:space="preserve"> capaz de recibir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i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Riesgos/Asunciones modificadas: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mantiene el riesgo en la complejidad del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manejo de transacciones de stock</w:t>
      </w:r>
      <w:r w:rsidDel="00000000" w:rsidR="00000000" w:rsidRPr="00000000">
        <w:rPr>
          <w:rFonts w:ascii="Arial" w:cs="Arial" w:eastAsia="Arial" w:hAnsi="Arial"/>
          <w:rtl w:val="0"/>
        </w:rPr>
        <w:t xml:space="preserve"> en el próximo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rFonts w:ascii="Arial" w:cs="Arial" w:eastAsia="Arial" w:hAnsi="Arial"/>
        </w:rPr>
      </w:pPr>
      <w:bookmarkStart w:colFirst="0" w:colLast="0" w:name="_heading=h.sqm0petv4tka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4. Próximos Pasos (Resultado de la Adaptación)</w:t>
      </w:r>
    </w:p>
    <w:tbl>
      <w:tblPr>
        <w:tblStyle w:val="Table5"/>
        <w:tblW w:w="9045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95"/>
        <w:gridCol w:w="3495"/>
        <w:gridCol w:w="2055"/>
        <w:tblGridChange w:id="0">
          <w:tblGrid>
            <w:gridCol w:w="3495"/>
            <w:gridCol w:w="3495"/>
            <w:gridCol w:w="2055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PBI / Acción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 (Alta/Media/Baja)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Responsable (PO/Equipo)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Checkout (Flujo de Pago)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/ Benjamin L.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HU15: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Gestionar Categorías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 / Catalina B.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HU09 / HU10: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Dashboard de Ventas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Arial" w:cs="Arial" w:eastAsia="Arial" w:hAnsi="Arial"/>
        </w:rPr>
      </w:pPr>
      <w:bookmarkStart w:colFirst="0" w:colLast="0" w:name="_heading=h.c0lliljq25u9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5. Cierre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Aprobación (Firmas):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Product Owner: Catalina Berrios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rFonts w:ascii="Arial" w:cs="Arial" w:eastAsia="Arial" w:hAnsi="Arial"/>
          <w:i w:val="0"/>
          <w:smallCaps w:val="0"/>
          <w:strike w:val="0"/>
          <w:color w:val="1f1f1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Scrum Master: Celine Toledo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firstRow">
      <w:rPr>
        <w:rFonts w:ascii="Inter Medium" w:cs="Inter Medium" w:eastAsia="Inter Medium" w:hAnsi="Inter Medium"/>
        <w:b w:val="0"/>
        <w:i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p5iIpewbUYNxazLjvoFs+A0E7w==">CgMxLjAyDmgubWFqNG9vbWFtZ3B4Mg5oLnFhM2tic21ydjY4bzIOaC5sYWkzN2NnOHQ4N3MyDmguejdzbGh6YWRmZ2l1Mg1oLm9zamxjbHNxaHd0Mg5oLjh1ZDh2dW5jaWFicjIOaC5wY3RydHh0ZWsxOWwyDmgudWRibGp4cHYxMDdvMg5oLnNxbTBwZXR2NHRrYTIOaC5jMGxsaWxqcTI1dTk4AHIhMW4tVHd4NzQ1dWRCZFpfU2VSV2h0bXIycGRKbVN2YkYy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