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color w:val="000000"/>
                <w:rtl w:val="0"/>
              </w:rPr>
              <w:t xml:space="preserve">45</w:t>
            </w:r>
            <w:r w:rsidDel="00000000" w:rsidR="00000000" w:rsidRPr="00000000">
              <w:rPr>
                <w:rtl w:val="0"/>
              </w:rPr>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1"/>
                <w:color w:val="000000"/>
                <w:rtl w:val="0"/>
              </w:rPr>
              <w:t xml:space="preserve">5</w:t>
            </w: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1200"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9C">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3605.625"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60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30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60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150"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597.109375"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rtl w:val="0"/>
              </w:rPr>
              <w:t xml:space="preserve">pese que se relaciona bien con el perfil de egreso y los intereses profesionales, así como con su viabilidad, aún necesita algunas mejoras para cumplir con los estándares de calidad y los requisitos de redacción en inglés.</w:t>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F">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E0">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E1">
      <w:pPr>
        <w:jc w:val="both"/>
        <w:rPr>
          <w:color w:val="595959"/>
          <w:sz w:val="24"/>
          <w:szCs w:val="24"/>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E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E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ZdxR08ejgyeJ1Z09mA6PrfQcWw==">CgMxLjA4AHIhMTdBdnRNS2VvZHp2MEphSVV3TlhzcWM4eXd0c01lX2w0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