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color w:val="1a5c3a"/>
          <w:sz w:val="56"/>
          <w:szCs w:val="56"/>
        </w:rPr>
        <w:t xml:space="preserve">VERIFICATION AS A SERVICE</w:t>
      </w:r>
    </w:p>
    <w:p>
      <w:pPr>
        <w:spacing w:after="80" w:before="0"/>
        <w:jc w:val="center"/>
      </w:pPr>
      <w:r>
        <w:rPr>
          <w:rFonts w:ascii="Calibri" w:cs="Calibri" w:eastAsia="Calibri" w:hAnsi="Calibri"/>
          <w:color w:val="2d7a54"/>
          <w:sz w:val="36"/>
          <w:szCs w:val="36"/>
        </w:rPr>
        <w:t xml:space="preserve">Service Capability Proposal</w:t>
      </w:r>
    </w:p>
    <w:p>
      <w:pPr>
        <w:spacing w:after="80" w:before="0"/>
        <w:jc w:val="center"/>
      </w:pPr>
      <w:r>
        <w:rPr>
          <w:color w:val="888888"/>
          <w:sz w:val="22"/>
          <w:szCs w:val="22"/>
        </w:rPr>
        <w:t xml:space="preserve">Cellion One  |  Nigeria Legal &amp; Compliance Technology Platform</w:t>
      </w:r>
    </w:p>
    <w:p>
      <w:pPr>
        <w:spacing w:after="480" w:before="0"/>
        <w:jc w:val="center"/>
      </w:pPr>
      <w:r>
        <w:rPr>
          <w:color w:val="888888"/>
          <w:sz w:val="20"/>
          <w:szCs w:val="20"/>
        </w:rPr>
        <w:t xml:space="preserve">Date: 4 April 2026  |  Version 1.0  |  Confidential</w:t>
      </w:r>
    </w:p>
    <w:p>
      <w:pPr>
        <w:pBdr>
          <w:bottom w:val="single" w:color="1a5c3a" w:sz="12" w:space="0"/>
        </w:pBdr>
        <w:spacing w:after="480" w:before="0"/>
      </w:pPr>
    </w:p>
    <w:p>
      <w:pPr>
        <w:pBdr>
          <w:bottom w:val="single" w:color="1a5c3a" w:sz="4" w:space="4"/>
        </w:pBdr>
        <w:spacing w:after="120" w:before="320"/>
      </w:pPr>
      <w:r>
        <w:rPr>
          <w:b/>
          <w:bCs/>
          <w:color w:val="1a5c3a"/>
          <w:sz w:val="28"/>
          <w:szCs w:val="28"/>
        </w:rPr>
        <w:t xml:space="preserve">1.  EXECUTIVE SUMMARY</w:t>
      </w:r>
    </w:p>
    <w:p>
      <w:pPr>
        <w:spacing w:after="80" w:before="80"/>
        <w:jc w:val="both"/>
      </w:pPr>
      <w:r>
        <w:rPr>
          <w:color w:val="1a1a1a"/>
          <w:sz w:val="22"/>
          <w:szCs w:val="22"/>
        </w:rPr>
        <w:t xml:space="preserve">Cellion One is Nigeria's premier legal and compliance technology platform, offering a comprehensive Verification as a Service (VaaS) suite that enables organisations, fintechs, lenders, recruiters, and government agencies to verify the identity of both individuals and businesses through a single, secure API integration.</w:t>
      </w:r>
    </w:p>
    <w:p>
      <w:pPr>
        <w:spacing w:after="80" w:before="80"/>
        <w:jc w:val="both"/>
      </w:pPr>
      <w:r>
        <w:rPr>
          <w:color w:val="1a1a1a"/>
          <w:sz w:val="22"/>
          <w:szCs w:val="22"/>
        </w:rPr>
        <w:t xml:space="preserve">Our platform combines biometric verification, document authentication, AML/sanctions screening, and corporate registry data — all delivered in real time through a RESTful API secured by HMAC-hashed API keys. Verification sessions can be hosted entirely by Cellion One, requiring zero additional infrastructure from the consuming organisation.</w:t>
      </w:r>
    </w:p>
    <w:p>
      <w:pPr>
        <w:pBdr>
          <w:bottom w:val="single" w:color="1a5c3a" w:sz="4" w:space="4"/>
        </w:pBdr>
        <w:spacing w:after="120" w:before="320"/>
      </w:pPr>
      <w:r>
        <w:rPr>
          <w:b/>
          <w:bCs/>
          <w:color w:val="1a5c3a"/>
          <w:sz w:val="28"/>
          <w:szCs w:val="28"/>
        </w:rPr>
        <w:t xml:space="preserve">2.  THE PROBLEM WE SOLVE</w:t>
      </w:r>
    </w:p>
    <w:p>
      <w:pPr>
        <w:spacing w:after="80" w:before="80"/>
        <w:jc w:val="both"/>
      </w:pPr>
      <w:r>
        <w:rPr>
          <w:color w:val="1a1a1a"/>
          <w:sz w:val="22"/>
          <w:szCs w:val="22"/>
        </w:rPr>
        <w:t xml:space="preserve">Nigerian organisations face several critical challenges when attempting to onboard customers or business partners:</w:t>
      </w:r>
    </w:p>
    <w:p>
      <w:pPr>
        <w:pStyle w:val="ListParagraph"/>
        <w:numPr>
          <w:ilvl w:val="0"/>
          <w:numId w:val="1"/>
        </w:numPr>
        <w:spacing w:after="40" w:before="40"/>
      </w:pPr>
      <w:r>
        <w:rPr>
          <w:color w:val="1a1a1a"/>
          <w:sz w:val="22"/>
          <w:szCs w:val="22"/>
        </w:rPr>
        <w:t xml:space="preserve"/>
      </w:r>
      <w:r>
        <w:rPr>
          <w:b/>
          <w:bCs/>
          <w:color w:val="1a1a1a"/>
          <w:sz w:val="22"/>
          <w:szCs w:val="22"/>
        </w:rPr>
        <w:t xml:space="preserve">Identity fraud</w:t>
      </w:r>
      <w:r>
        <w:rPr>
          <w:color w:val="1a1a1a"/>
          <w:sz w:val="22"/>
          <w:szCs w:val="22"/>
        </w:rPr>
        <w:t xml:space="preserve"> — Falsified national IDs, forged CAC documents, and synthetic identities cause significant financial losses across sectors.</w:t>
      </w:r>
    </w:p>
    <w:p>
      <w:pPr>
        <w:pStyle w:val="ListParagraph"/>
        <w:numPr>
          <w:ilvl w:val="0"/>
          <w:numId w:val="1"/>
        </w:numPr>
        <w:spacing w:after="40" w:before="40"/>
      </w:pPr>
      <w:r>
        <w:rPr>
          <w:color w:val="1a1a1a"/>
          <w:sz w:val="22"/>
          <w:szCs w:val="22"/>
        </w:rPr>
        <w:t xml:space="preserve"/>
      </w:r>
      <w:r>
        <w:rPr>
          <w:b/>
          <w:bCs/>
          <w:color w:val="1a1a1a"/>
          <w:sz w:val="22"/>
          <w:szCs w:val="22"/>
        </w:rPr>
        <w:t xml:space="preserve">Regulatory compliance burden</w:t>
      </w:r>
      <w:r>
        <w:rPr>
          <w:color w:val="1a1a1a"/>
          <w:sz w:val="22"/>
          <w:szCs w:val="22"/>
        </w:rPr>
        <w:t xml:space="preserve"> — KYC requirements from the CBN, NFIU, and SEC demand multi-layered verification that is costly to implement in-house.</w:t>
      </w:r>
    </w:p>
    <w:p>
      <w:pPr>
        <w:pStyle w:val="ListParagraph"/>
        <w:numPr>
          <w:ilvl w:val="0"/>
          <w:numId w:val="1"/>
        </w:numPr>
        <w:spacing w:after="40" w:before="40"/>
      </w:pPr>
      <w:r>
        <w:rPr>
          <w:color w:val="1a1a1a"/>
          <w:sz w:val="22"/>
          <w:szCs w:val="22"/>
        </w:rPr>
        <w:t xml:space="preserve"/>
      </w:r>
      <w:r>
        <w:rPr>
          <w:b/>
          <w:bCs/>
          <w:color w:val="1a1a1a"/>
          <w:sz w:val="22"/>
          <w:szCs w:val="22"/>
        </w:rPr>
        <w:t xml:space="preserve">Fragmented data sources</w:t>
      </w:r>
      <w:r>
        <w:rPr>
          <w:color w:val="1a1a1a"/>
          <w:sz w:val="22"/>
          <w:szCs w:val="22"/>
        </w:rPr>
        <w:t xml:space="preserve"> — NIN, BVN, CAC, court records, and sanctions lists exist in disconnected silos, requiring multiple integrations.</w:t>
      </w:r>
    </w:p>
    <w:p>
      <w:pPr>
        <w:pStyle w:val="ListParagraph"/>
        <w:numPr>
          <w:ilvl w:val="0"/>
          <w:numId w:val="1"/>
        </w:numPr>
        <w:spacing w:after="40" w:before="40"/>
      </w:pPr>
      <w:r>
        <w:rPr>
          <w:color w:val="1a1a1a"/>
          <w:sz w:val="22"/>
          <w:szCs w:val="22"/>
        </w:rPr>
        <w:t xml:space="preserve"/>
      </w:r>
      <w:r>
        <w:rPr>
          <w:b/>
          <w:bCs/>
          <w:color w:val="1a1a1a"/>
          <w:sz w:val="22"/>
          <w:szCs w:val="22"/>
        </w:rPr>
        <w:t xml:space="preserve">Manual document review</w:t>
      </w:r>
      <w:r>
        <w:rPr>
          <w:color w:val="1a1a1a"/>
          <w:sz w:val="22"/>
          <w:szCs w:val="22"/>
        </w:rPr>
        <w:t xml:space="preserve"> — Slow, error-prone, and unable to scale with digital onboarding volumes.</w:t>
      </w:r>
    </w:p>
    <w:p>
      <w:pPr>
        <w:spacing w:after="80" w:before="80"/>
        <w:jc w:val="both"/>
      </w:pPr>
      <w:r>
        <w:rPr>
          <w:color w:val="1a1a1a"/>
          <w:sz w:val="22"/>
          <w:szCs w:val="22"/>
        </w:rPr>
        <w:t xml:space="preserve">Cellion One resolves all of these challenges through a single API call.</w:t>
      </w:r>
    </w:p>
    <w:p>
      <w:pPr>
        <w:pBdr>
          <w:bottom w:val="single" w:color="1a5c3a" w:sz="4" w:space="4"/>
        </w:pBdr>
        <w:spacing w:after="120" w:before="320"/>
      </w:pPr>
      <w:r>
        <w:rPr>
          <w:b/>
          <w:bCs/>
          <w:color w:val="1a5c3a"/>
          <w:sz w:val="28"/>
          <w:szCs w:val="28"/>
        </w:rPr>
        <w:t xml:space="preserve">3.  INDIVIDUAL VERIFICATION CAPABILITIES</w:t>
      </w:r>
    </w:p>
    <w:p>
      <w:pPr>
        <w:spacing w:after="80" w:before="80"/>
        <w:jc w:val="both"/>
      </w:pPr>
      <w:r>
        <w:rPr>
          <w:color w:val="1a1a1a"/>
          <w:sz w:val="22"/>
          <w:szCs w:val="22"/>
        </w:rPr>
        <w:t xml:space="preserve">Our individual verification pipeline is a 4-step process powered by Smile ID, Nigeria's leading biometric infrastructure provider:</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dxa" w:w="800"/>
            <w:shd w:fill="1a5c3a" w:color="1a5c3a" w:val="solid"/>
            <w:tcMar>
              <w:top w:type="dxa" w:w="80"/>
              <w:left w:type="dxa" w:w="120"/>
              <w:bottom w:type="dxa" w:w="80"/>
              <w:right w:type="dxa" w:w="120"/>
            </w:tcMar>
          </w:tcPr>
          <w:p>
            <w:pPr>
              <w:spacing w:after="60" w:before="60"/>
            </w:pPr>
            <w:r>
              <w:rPr>
                <w:b/>
                <w:bCs/>
                <w:color w:val="FFFFFF"/>
                <w:sz w:val="20"/>
                <w:szCs w:val="20"/>
              </w:rPr>
              <w:t xml:space="preserve">Step</w:t>
            </w:r>
          </w:p>
        </w:tc>
        <w:tc>
          <w:tcPr>
            <w:tcW w:type="dxa" w:w="1800"/>
            <w:shd w:fill="1a5c3a" w:color="1a5c3a" w:val="solid"/>
            <w:tcMar>
              <w:top w:type="dxa" w:w="80"/>
              <w:left w:type="dxa" w:w="120"/>
              <w:bottom w:type="dxa" w:w="80"/>
              <w:right w:type="dxa" w:w="120"/>
            </w:tcMar>
          </w:tcPr>
          <w:p>
            <w:pPr>
              <w:spacing w:after="60" w:before="60"/>
            </w:pPr>
            <w:r>
              <w:rPr>
                <w:b/>
                <w:bCs/>
                <w:color w:val="FFFFFF"/>
                <w:sz w:val="20"/>
                <w:szCs w:val="20"/>
              </w:rPr>
              <w:t xml:space="preserve">Verification Layer</w:t>
            </w:r>
          </w:p>
        </w:tc>
        <w:tc>
          <w:tcPr>
            <w:tcW w:type="dxa" w:w="4400"/>
            <w:shd w:fill="1a5c3a" w:color="1a5c3a" w:val="solid"/>
            <w:tcMar>
              <w:top w:type="dxa" w:w="80"/>
              <w:left w:type="dxa" w:w="120"/>
              <w:bottom w:type="dxa" w:w="80"/>
              <w:right w:type="dxa" w:w="120"/>
            </w:tcMar>
          </w:tcPr>
          <w:p>
            <w:pPr>
              <w:spacing w:after="60" w:before="60"/>
            </w:pPr>
            <w:r>
              <w:rPr>
                <w:b/>
                <w:bCs/>
                <w:color w:val="FFFFFF"/>
                <w:sz w:val="20"/>
                <w:szCs w:val="20"/>
              </w:rPr>
              <w:t xml:space="preserve">What Is Verified</w:t>
            </w:r>
          </w:p>
        </w:tc>
        <w:tc>
          <w:tcPr>
            <w:tcW w:type="dxa" w:w="2000"/>
            <w:shd w:fill="1a5c3a" w:color="1a5c3a" w:val="solid"/>
            <w:tcMar>
              <w:top w:type="dxa" w:w="80"/>
              <w:left w:type="dxa" w:w="120"/>
              <w:bottom w:type="dxa" w:w="80"/>
              <w:right w:type="dxa" w:w="120"/>
            </w:tcMar>
          </w:tcPr>
          <w:p>
            <w:pPr>
              <w:spacing w:after="60" w:before="60"/>
            </w:pPr>
            <w:r>
              <w:rPr>
                <w:b/>
                <w:bCs/>
                <w:color w:val="FFFFFF"/>
                <w:sz w:val="20"/>
                <w:szCs w:val="20"/>
              </w:rPr>
              <w:t xml:space="preserve">Data Sources</w:t>
            </w:r>
          </w:p>
        </w:tc>
      </w:tr>
      <w:tr>
        <w:tc>
          <w:tcPr>
            <w:tcW w:type="dxa" w:w="800"/>
            <w:tcMar>
              <w:top w:type="dxa" w:w="80"/>
              <w:left w:type="dxa" w:w="120"/>
              <w:bottom w:type="dxa" w:w="80"/>
              <w:right w:type="dxa" w:w="120"/>
            </w:tcMar>
          </w:tcPr>
          <w:p>
            <w:pPr>
              <w:spacing w:after="60" w:before="60"/>
            </w:pPr>
            <w:r>
              <w:rPr>
                <w:color w:val="1a1a1a"/>
                <w:sz w:val="20"/>
                <w:szCs w:val="20"/>
              </w:rPr>
              <w:t xml:space="preserve">Step 1</w:t>
            </w:r>
          </w:p>
        </w:tc>
        <w:tc>
          <w:tcPr>
            <w:tcW w:type="dxa" w:w="18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Government ID Lookup</w:t>
            </w:r>
            <w:r>
              <w:rPr>
                <w:color w:val="1a1a1a"/>
                <w:sz w:val="20"/>
                <w:szCs w:val="20"/>
              </w:rPr>
              <w:t xml:space="preserve"/>
            </w:r>
          </w:p>
        </w:tc>
        <w:tc>
          <w:tcPr>
            <w:tcW w:type="dxa" w:w="4400"/>
            <w:tcMar>
              <w:top w:type="dxa" w:w="80"/>
              <w:left w:type="dxa" w:w="120"/>
              <w:bottom w:type="dxa" w:w="80"/>
              <w:right w:type="dxa" w:w="120"/>
            </w:tcMar>
          </w:tcPr>
          <w:p>
            <w:pPr>
              <w:spacing w:after="60" w:before="60"/>
            </w:pPr>
            <w:r>
              <w:rPr>
                <w:color w:val="1a1a1a"/>
                <w:sz w:val="20"/>
                <w:szCs w:val="20"/>
              </w:rPr>
              <w:t xml:space="preserve">Full name, date of birth, gender, and phone number cross-referenced against the NIMC and NIBSS databases. Confirms the BVN/NIN holder is real and the submitted details match.</w:t>
            </w:r>
          </w:p>
        </w:tc>
        <w:tc>
          <w:tcPr>
            <w:tcW w:type="dxa" w:w="2000"/>
            <w:tcMar>
              <w:top w:type="dxa" w:w="80"/>
              <w:left w:type="dxa" w:w="120"/>
              <w:bottom w:type="dxa" w:w="80"/>
              <w:right w:type="dxa" w:w="120"/>
            </w:tcMar>
          </w:tcPr>
          <w:p>
            <w:pPr>
              <w:spacing w:after="60" w:before="60"/>
            </w:pPr>
            <w:r>
              <w:rPr>
                <w:color w:val="1a1a1a"/>
                <w:sz w:val="20"/>
                <w:szCs w:val="20"/>
              </w:rPr>
              <w:t xml:space="preserve">NIMC (NIN), NIBSS (BVN)</w:t>
            </w:r>
          </w:p>
        </w:tc>
      </w:tr>
      <w:tr>
        <w:tc>
          <w:tcPr>
            <w:tcW w:type="dxa" w:w="800"/>
            <w:shd w:fill="f0f7f3" w:color="f0f7f3" w:val="solid"/>
            <w:tcMar>
              <w:top w:type="dxa" w:w="80"/>
              <w:left w:type="dxa" w:w="120"/>
              <w:bottom w:type="dxa" w:w="80"/>
              <w:right w:type="dxa" w:w="120"/>
            </w:tcMar>
          </w:tcPr>
          <w:p>
            <w:pPr>
              <w:spacing w:after="60" w:before="60"/>
            </w:pPr>
            <w:r>
              <w:rPr>
                <w:color w:val="1a1a1a"/>
                <w:sz w:val="20"/>
                <w:szCs w:val="20"/>
              </w:rPr>
              <w:t xml:space="preserve">Step 2</w:t>
            </w:r>
          </w:p>
        </w:tc>
        <w:tc>
          <w:tcPr>
            <w:tcW w:type="dxa" w:w="18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Document Authentication</w:t>
            </w:r>
            <w:r>
              <w:rPr>
                <w:color w:val="1a1a1a"/>
                <w:sz w:val="20"/>
                <w:szCs w:val="20"/>
              </w:rPr>
              <w:t xml:space="preserve"/>
            </w:r>
          </w:p>
        </w:tc>
        <w:tc>
          <w:tcPr>
            <w:tcW w:type="dxa" w:w="4400"/>
            <w:shd w:fill="f0f7f3" w:color="f0f7f3" w:val="solid"/>
            <w:tcMar>
              <w:top w:type="dxa" w:w="80"/>
              <w:left w:type="dxa" w:w="120"/>
              <w:bottom w:type="dxa" w:w="80"/>
              <w:right w:type="dxa" w:w="120"/>
            </w:tcMar>
          </w:tcPr>
          <w:p>
            <w:pPr>
              <w:spacing w:after="60" w:before="60"/>
            </w:pPr>
            <w:r>
              <w:rPr>
                <w:color w:val="1a1a1a"/>
                <w:sz w:val="20"/>
                <w:szCs w:val="20"/>
              </w:rPr>
              <w:t xml:space="preserve">Optical and AI-powered validation of physical identity documents — National ID card, International Passport, Voter's Card, and Driver's Licence. Detects tampering, expiry, and forgery.</w:t>
            </w:r>
          </w:p>
        </w:tc>
        <w:tc>
          <w:tcPr>
            <w:tcW w:type="dxa" w:w="2000"/>
            <w:shd w:fill="f0f7f3" w:color="f0f7f3" w:val="solid"/>
            <w:tcMar>
              <w:top w:type="dxa" w:w="80"/>
              <w:left w:type="dxa" w:w="120"/>
              <w:bottom w:type="dxa" w:w="80"/>
              <w:right w:type="dxa" w:w="120"/>
            </w:tcMar>
          </w:tcPr>
          <w:p>
            <w:pPr>
              <w:spacing w:after="60" w:before="60"/>
            </w:pPr>
            <w:r>
              <w:rPr>
                <w:color w:val="1a1a1a"/>
                <w:sz w:val="20"/>
                <w:szCs w:val="20"/>
              </w:rPr>
              <w:t xml:space="preserve">Smile ID Document Verification</w:t>
            </w:r>
          </w:p>
        </w:tc>
      </w:tr>
      <w:tr>
        <w:tc>
          <w:tcPr>
            <w:tcW w:type="dxa" w:w="800"/>
            <w:tcMar>
              <w:top w:type="dxa" w:w="80"/>
              <w:left w:type="dxa" w:w="120"/>
              <w:bottom w:type="dxa" w:w="80"/>
              <w:right w:type="dxa" w:w="120"/>
            </w:tcMar>
          </w:tcPr>
          <w:p>
            <w:pPr>
              <w:spacing w:after="60" w:before="60"/>
            </w:pPr>
            <w:r>
              <w:rPr>
                <w:color w:val="1a1a1a"/>
                <w:sz w:val="20"/>
                <w:szCs w:val="20"/>
              </w:rPr>
              <w:t xml:space="preserve">Step 3</w:t>
            </w:r>
          </w:p>
        </w:tc>
        <w:tc>
          <w:tcPr>
            <w:tcW w:type="dxa" w:w="18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Biometric / Liveness Check</w:t>
            </w:r>
            <w:r>
              <w:rPr>
                <w:color w:val="1a1a1a"/>
                <w:sz w:val="20"/>
                <w:szCs w:val="20"/>
              </w:rPr>
              <w:t xml:space="preserve"/>
            </w:r>
          </w:p>
        </w:tc>
        <w:tc>
          <w:tcPr>
            <w:tcW w:type="dxa" w:w="4400"/>
            <w:tcMar>
              <w:top w:type="dxa" w:w="80"/>
              <w:left w:type="dxa" w:w="120"/>
              <w:bottom w:type="dxa" w:w="80"/>
              <w:right w:type="dxa" w:w="120"/>
            </w:tcMar>
          </w:tcPr>
          <w:p>
            <w:pPr>
              <w:spacing w:after="60" w:before="60"/>
            </w:pPr>
            <w:r>
              <w:rPr>
                <w:color w:val="1a1a1a"/>
                <w:sz w:val="20"/>
                <w:szCs w:val="20"/>
              </w:rPr>
              <w:t xml:space="preserve">Real-time selfie-to-document face match using 3D liveness detection. Confirms the person submitting the document is physically present and matches the document photo. Prevents spoofing.</w:t>
            </w:r>
          </w:p>
        </w:tc>
        <w:tc>
          <w:tcPr>
            <w:tcW w:type="dxa" w:w="2000"/>
            <w:tcMar>
              <w:top w:type="dxa" w:w="80"/>
              <w:left w:type="dxa" w:w="120"/>
              <w:bottom w:type="dxa" w:w="80"/>
              <w:right w:type="dxa" w:w="120"/>
            </w:tcMar>
          </w:tcPr>
          <w:p>
            <w:pPr>
              <w:spacing w:after="60" w:before="60"/>
            </w:pPr>
            <w:r>
              <w:rPr>
                <w:color w:val="1a1a1a"/>
                <w:sz w:val="20"/>
                <w:szCs w:val="20"/>
              </w:rPr>
              <w:t xml:space="preserve">Smile ID Biometric Engine</w:t>
            </w:r>
          </w:p>
        </w:tc>
      </w:tr>
      <w:tr>
        <w:tc>
          <w:tcPr>
            <w:tcW w:type="dxa" w:w="800"/>
            <w:shd w:fill="f0f7f3" w:color="f0f7f3" w:val="solid"/>
            <w:tcMar>
              <w:top w:type="dxa" w:w="80"/>
              <w:left w:type="dxa" w:w="120"/>
              <w:bottom w:type="dxa" w:w="80"/>
              <w:right w:type="dxa" w:w="120"/>
            </w:tcMar>
          </w:tcPr>
          <w:p>
            <w:pPr>
              <w:spacing w:after="60" w:before="60"/>
            </w:pPr>
            <w:r>
              <w:rPr>
                <w:color w:val="1a1a1a"/>
                <w:sz w:val="20"/>
                <w:szCs w:val="20"/>
              </w:rPr>
              <w:t xml:space="preserve">Step 4</w:t>
            </w:r>
          </w:p>
        </w:tc>
        <w:tc>
          <w:tcPr>
            <w:tcW w:type="dxa" w:w="18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AML &amp; Sanctions Screening</w:t>
            </w:r>
            <w:r>
              <w:rPr>
                <w:color w:val="1a1a1a"/>
                <w:sz w:val="20"/>
                <w:szCs w:val="20"/>
              </w:rPr>
              <w:t xml:space="preserve"/>
            </w:r>
          </w:p>
        </w:tc>
        <w:tc>
          <w:tcPr>
            <w:tcW w:type="dxa" w:w="4400"/>
            <w:shd w:fill="f0f7f3" w:color="f0f7f3" w:val="solid"/>
            <w:tcMar>
              <w:top w:type="dxa" w:w="80"/>
              <w:left w:type="dxa" w:w="120"/>
              <w:bottom w:type="dxa" w:w="80"/>
              <w:right w:type="dxa" w:w="120"/>
            </w:tcMar>
          </w:tcPr>
          <w:p>
            <w:pPr>
              <w:spacing w:after="60" w:before="60"/>
            </w:pPr>
            <w:r>
              <w:rPr>
                <w:color w:val="1a1a1a"/>
                <w:sz w:val="20"/>
                <w:szCs w:val="20"/>
              </w:rPr>
              <w:t xml:space="preserve">Cross-checks the verified identity against OFAC, UN, EU, HM Treasury, and Nigerian NFIU watchlists. Produces a risk score and flags PEPs (Politically Exposed Persons) and adverse media mentions.</w:t>
            </w:r>
          </w:p>
        </w:tc>
        <w:tc>
          <w:tcPr>
            <w:tcW w:type="dxa" w:w="2000"/>
            <w:shd w:fill="f0f7f3" w:color="f0f7f3" w:val="solid"/>
            <w:tcMar>
              <w:top w:type="dxa" w:w="80"/>
              <w:left w:type="dxa" w:w="120"/>
              <w:bottom w:type="dxa" w:w="80"/>
              <w:right w:type="dxa" w:w="120"/>
            </w:tcMar>
          </w:tcPr>
          <w:p>
            <w:pPr>
              <w:spacing w:after="60" w:before="60"/>
            </w:pPr>
            <w:r>
              <w:rPr>
                <w:color w:val="1a1a1a"/>
                <w:sz w:val="20"/>
                <w:szCs w:val="20"/>
              </w:rPr>
              <w:t xml:space="preserve">Smile ID AML Module, NFIU Watchlist</w:t>
            </w:r>
          </w:p>
        </w:tc>
      </w:tr>
    </w:tbl>
    <w:p>
      <w:pPr>
        <w:spacing w:after="60" w:before="0"/>
      </w:pPr>
    </w:p>
    <w:p>
      <w:pPr>
        <w:spacing w:after="80" w:before="200"/>
      </w:pPr>
      <w:r>
        <w:rPr>
          <w:b/>
          <w:bCs/>
          <w:color w:val="2d7a54"/>
          <w:sz w:val="24"/>
          <w:szCs w:val="24"/>
        </w:rPr>
        <w:t xml:space="preserve">3.1  Verified Identity Profile Store</w:t>
      </w:r>
    </w:p>
    <w:p>
      <w:pPr>
        <w:spacing w:after="80" w:before="80"/>
        <w:jc w:val="both"/>
      </w:pPr>
      <w:r>
        <w:rPr>
          <w:color w:val="1a1a1a"/>
          <w:sz w:val="22"/>
          <w:szCs w:val="22"/>
        </w:rPr>
        <w:t xml:space="preserve">Once an individual completes verification, a Verified Identity Profile is created and stored securely in the Cellion One platform (AES-256-GCM encrypted at rest). Consuming organisations can:</w:t>
      </w:r>
    </w:p>
    <w:p>
      <w:pPr>
        <w:pStyle w:val="ListParagraph"/>
        <w:numPr>
          <w:ilvl w:val="0"/>
          <w:numId w:val="1"/>
        </w:numPr>
        <w:spacing w:after="40" w:before="40"/>
      </w:pPr>
      <w:r>
        <w:rPr>
          <w:color w:val="1a1a1a"/>
          <w:sz w:val="22"/>
          <w:szCs w:val="22"/>
        </w:rPr>
        <w:t xml:space="preserve">Retrieve the verified profile via API on demand, without re-running verification.</w:t>
      </w:r>
    </w:p>
    <w:p>
      <w:pPr>
        <w:pStyle w:val="ListParagraph"/>
        <w:numPr>
          <w:ilvl w:val="0"/>
          <w:numId w:val="1"/>
        </w:numPr>
        <w:spacing w:after="40" w:before="40"/>
      </w:pPr>
      <w:r>
        <w:rPr>
          <w:color w:val="1a1a1a"/>
          <w:sz w:val="22"/>
          <w:szCs w:val="22"/>
        </w:rPr>
        <w:t xml:space="preserve">Request time-limited, revocable </w:t>
      </w:r>
      <w:r>
        <w:rPr>
          <w:b/>
          <w:bCs/>
          <w:color w:val="1a1a1a"/>
          <w:sz w:val="22"/>
          <w:szCs w:val="22"/>
        </w:rPr>
        <w:t xml:space="preserve">consent tokens</w:t>
      </w:r>
      <w:r>
        <w:rPr>
          <w:color w:val="1a1a1a"/>
          <w:sz w:val="22"/>
          <w:szCs w:val="22"/>
        </w:rPr>
        <w:t xml:space="preserve"> from the individual that authorise data sharing.</w:t>
      </w:r>
    </w:p>
    <w:p>
      <w:pPr>
        <w:pStyle w:val="ListParagraph"/>
        <w:numPr>
          <w:ilvl w:val="0"/>
          <w:numId w:val="1"/>
        </w:numPr>
        <w:spacing w:after="40" w:before="40"/>
      </w:pPr>
      <w:r>
        <w:rPr>
          <w:color w:val="1a1a1a"/>
          <w:sz w:val="22"/>
          <w:szCs w:val="22"/>
        </w:rPr>
        <w:t xml:space="preserve">Receive webhook notifications when a profile's verification status changes.</w:t>
      </w:r>
    </w:p>
    <w:p>
      <w:pPr>
        <w:spacing w:after="80" w:before="200"/>
      </w:pPr>
      <w:r>
        <w:rPr>
          <w:b/>
          <w:bCs/>
          <w:color w:val="2d7a54"/>
          <w:sz w:val="24"/>
          <w:szCs w:val="24"/>
        </w:rPr>
        <w:t xml:space="preserve">3.2  Hosted Verification Sessions</w:t>
      </w:r>
    </w:p>
    <w:p>
      <w:pPr>
        <w:spacing w:after="80" w:before="80"/>
        <w:jc w:val="both"/>
      </w:pPr>
      <w:r>
        <w:rPr>
          <w:color w:val="1a1a1a"/>
          <w:sz w:val="22"/>
          <w:szCs w:val="22"/>
        </w:rPr>
        <w:t xml:space="preserve">For organisations without mobile apps or complex frontend infrastructure, Cellion One provides a fully hosted verification journey. The consuming organisation simply generates a session URL via API; the individual completes all verification steps on Cellion One's secure interface, and results are delivered via webhook.</w:t>
      </w:r>
    </w:p>
    <w:p>
      <w:pPr>
        <w:pBdr>
          <w:bottom w:val="single" w:color="1a5c3a" w:sz="4" w:space="4"/>
        </w:pBdr>
        <w:spacing w:after="120" w:before="320"/>
      </w:pPr>
      <w:r>
        <w:rPr>
          <w:b/>
          <w:bCs/>
          <w:color w:val="1a5c3a"/>
          <w:sz w:val="28"/>
          <w:szCs w:val="28"/>
        </w:rPr>
        <w:t xml:space="preserve">4.  BUSINESS / CORPORATE VERIFICATION CAPABILITIES</w:t>
      </w:r>
    </w:p>
    <w:p>
      <w:pPr>
        <w:spacing w:after="80" w:before="80"/>
        <w:jc w:val="both"/>
      </w:pPr>
      <w:r>
        <w:rPr>
          <w:color w:val="1a1a1a"/>
          <w:sz w:val="22"/>
          <w:szCs w:val="22"/>
        </w:rPr>
        <w:t xml:space="preserve">Cellion One's corporate KYC module verifies the legal existence, ownership structure, and compliance status of Nigerian-registered businesses:</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1a5c3a" w:color="1a5c3a" w:val="solid"/>
            <w:tcMar>
              <w:top w:type="dxa" w:w="80"/>
              <w:left w:type="dxa" w:w="120"/>
              <w:bottom w:type="dxa" w:w="80"/>
              <w:right w:type="dxa" w:w="120"/>
            </w:tcMar>
          </w:tcPr>
          <w:p>
            <w:pPr>
              <w:spacing w:after="60" w:before="60"/>
            </w:pPr>
            <w:r>
              <w:rPr>
                <w:b/>
                <w:bCs/>
                <w:color w:val="FFFFFF"/>
                <w:sz w:val="20"/>
                <w:szCs w:val="20"/>
              </w:rPr>
              <w:t xml:space="preserve">Verification Layer</w:t>
            </w:r>
          </w:p>
        </w:tc>
        <w:tc>
          <w:tcPr>
            <w:tcW w:type="dxa" w:w="4600"/>
            <w:shd w:fill="1a5c3a" w:color="1a5c3a" w:val="solid"/>
            <w:tcMar>
              <w:top w:type="dxa" w:w="80"/>
              <w:left w:type="dxa" w:w="120"/>
              <w:bottom w:type="dxa" w:w="80"/>
              <w:right w:type="dxa" w:w="120"/>
            </w:tcMar>
          </w:tcPr>
          <w:p>
            <w:pPr>
              <w:spacing w:after="60" w:before="60"/>
            </w:pPr>
            <w:r>
              <w:rPr>
                <w:b/>
                <w:bCs/>
                <w:color w:val="FFFFFF"/>
                <w:sz w:val="20"/>
                <w:szCs w:val="20"/>
              </w:rPr>
              <w:t xml:space="preserve">What Is Verified</w:t>
            </w:r>
          </w:p>
        </w:tc>
        <w:tc>
          <w:tcPr>
            <w:tcW w:type="dxa" w:w="2200"/>
            <w:shd w:fill="1a5c3a" w:color="1a5c3a" w:val="solid"/>
            <w:tcMar>
              <w:top w:type="dxa" w:w="80"/>
              <w:left w:type="dxa" w:w="120"/>
              <w:bottom w:type="dxa" w:w="80"/>
              <w:right w:type="dxa" w:w="120"/>
            </w:tcMar>
          </w:tcPr>
          <w:p>
            <w:pPr>
              <w:spacing w:after="60" w:before="60"/>
            </w:pPr>
            <w:r>
              <w:rPr>
                <w:b/>
                <w:bCs/>
                <w:color w:val="FFFFFF"/>
                <w:sz w:val="20"/>
                <w:szCs w:val="20"/>
              </w:rPr>
              <w:t xml:space="preserve">Data Sources</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CAC Registration Check</w:t>
            </w:r>
            <w:r>
              <w:rPr>
                <w:color w:val="1a1a1a"/>
                <w:sz w:val="20"/>
                <w:szCs w:val="20"/>
              </w:rPr>
              <w:t xml:space="preserve"/>
            </w:r>
          </w:p>
        </w:tc>
        <w:tc>
          <w:tcPr>
            <w:tcW w:type="dxa" w:w="4600"/>
            <w:tcMar>
              <w:top w:type="dxa" w:w="80"/>
              <w:left w:type="dxa" w:w="120"/>
              <w:bottom w:type="dxa" w:w="80"/>
              <w:right w:type="dxa" w:w="120"/>
            </w:tcMar>
          </w:tcPr>
          <w:p>
            <w:pPr>
              <w:spacing w:after="60" w:before="60"/>
            </w:pPr>
            <w:r>
              <w:rPr>
                <w:color w:val="1a1a1a"/>
                <w:sz w:val="20"/>
                <w:szCs w:val="20"/>
              </w:rPr>
              <w:t xml:space="preserve">Confirms the company is duly registered with the Corporate Affairs Commission. Verifies RC number, company name, registration date, registered address, and current status (active / wound-up / dormant).</w:t>
            </w:r>
          </w:p>
        </w:tc>
        <w:tc>
          <w:tcPr>
            <w:tcW w:type="dxa" w:w="2200"/>
            <w:tcMar>
              <w:top w:type="dxa" w:w="80"/>
              <w:left w:type="dxa" w:w="120"/>
              <w:bottom w:type="dxa" w:w="80"/>
              <w:right w:type="dxa" w:w="120"/>
            </w:tcMar>
          </w:tcPr>
          <w:p>
            <w:pPr>
              <w:spacing w:after="60" w:before="60"/>
            </w:pPr>
            <w:r>
              <w:rPr>
                <w:color w:val="1a1a1a"/>
                <w:sz w:val="20"/>
                <w:szCs w:val="20"/>
              </w:rPr>
              <w:t xml:space="preserve">Corporate Affairs Commission (CAC)</w:t>
            </w:r>
          </w:p>
        </w:tc>
      </w:tr>
      <w:tr>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Director &amp; Shareholder Verification</w:t>
            </w:r>
            <w:r>
              <w:rPr>
                <w:color w:val="1a1a1a"/>
                <w:sz w:val="20"/>
                <w:szCs w:val="20"/>
              </w:rPr>
              <w:t xml:space="preserve"/>
            </w:r>
          </w:p>
        </w:tc>
        <w:tc>
          <w:tcPr>
            <w:tcW w:type="dxa" w:w="4600"/>
            <w:shd w:fill="f0f7f3" w:color="f0f7f3" w:val="solid"/>
            <w:tcMar>
              <w:top w:type="dxa" w:w="80"/>
              <w:left w:type="dxa" w:w="120"/>
              <w:bottom w:type="dxa" w:w="80"/>
              <w:right w:type="dxa" w:w="120"/>
            </w:tcMar>
          </w:tcPr>
          <w:p>
            <w:pPr>
              <w:spacing w:after="60" w:before="60"/>
            </w:pPr>
            <w:r>
              <w:rPr>
                <w:color w:val="1a1a1a"/>
                <w:sz w:val="20"/>
                <w:szCs w:val="20"/>
              </w:rPr>
              <w:t xml:space="preserve">Each director and significant shareholder (≥5% beneficial ownership) is individually verified through the individual pipeline (Steps 1–4 above). UBO mapping is generated automatically.</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CAC Beneficial Ownership Register, Individual Pipeline</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Document Package Review</w:t>
            </w:r>
            <w:r>
              <w:rPr>
                <w:color w:val="1a1a1a"/>
                <w:sz w:val="20"/>
                <w:szCs w:val="20"/>
              </w:rPr>
              <w:t xml:space="preserve"/>
            </w:r>
          </w:p>
        </w:tc>
        <w:tc>
          <w:tcPr>
            <w:tcW w:type="dxa" w:w="4600"/>
            <w:tcMar>
              <w:top w:type="dxa" w:w="80"/>
              <w:left w:type="dxa" w:w="120"/>
              <w:bottom w:type="dxa" w:w="80"/>
              <w:right w:type="dxa" w:w="120"/>
            </w:tcMar>
          </w:tcPr>
          <w:p>
            <w:pPr>
              <w:spacing w:after="60" w:before="60"/>
            </w:pPr>
            <w:r>
              <w:rPr>
                <w:color w:val="1a1a1a"/>
                <w:sz w:val="20"/>
                <w:szCs w:val="20"/>
              </w:rPr>
              <w:t xml:space="preserve">AI-assisted review and authenticity checks for: Certificate of Incorporation, Memorandum &amp; Articles of Association, Status Report, Board Resolution, TIN certificate, and bank statements.</w:t>
            </w:r>
          </w:p>
        </w:tc>
        <w:tc>
          <w:tcPr>
            <w:tcW w:type="dxa" w:w="2200"/>
            <w:tcMar>
              <w:top w:type="dxa" w:w="80"/>
              <w:left w:type="dxa" w:w="120"/>
              <w:bottom w:type="dxa" w:w="80"/>
              <w:right w:type="dxa" w:w="120"/>
            </w:tcMar>
          </w:tcPr>
          <w:p>
            <w:pPr>
              <w:spacing w:after="60" w:before="60"/>
            </w:pPr>
            <w:r>
              <w:rPr>
                <w:color w:val="1a1a1a"/>
                <w:sz w:val="20"/>
                <w:szCs w:val="20"/>
              </w:rPr>
              <w:t xml:space="preserve">FIRS (TIN), Uploaded Corporate Documents</w:t>
            </w:r>
          </w:p>
        </w:tc>
      </w:tr>
      <w:tr>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Corporate AML &amp; Sanctions Screening</w:t>
            </w:r>
            <w:r>
              <w:rPr>
                <w:color w:val="1a1a1a"/>
                <w:sz w:val="20"/>
                <w:szCs w:val="20"/>
              </w:rPr>
              <w:t xml:space="preserve"/>
            </w:r>
          </w:p>
        </w:tc>
        <w:tc>
          <w:tcPr>
            <w:tcW w:type="dxa" w:w="4600"/>
            <w:shd w:fill="f0f7f3" w:color="f0f7f3" w:val="solid"/>
            <w:tcMar>
              <w:top w:type="dxa" w:w="80"/>
              <w:left w:type="dxa" w:w="120"/>
              <w:bottom w:type="dxa" w:w="80"/>
              <w:right w:type="dxa" w:w="120"/>
            </w:tcMar>
          </w:tcPr>
          <w:p>
            <w:pPr>
              <w:spacing w:after="60" w:before="60"/>
            </w:pPr>
            <w:r>
              <w:rPr>
                <w:color w:val="1a1a1a"/>
                <w:sz w:val="20"/>
                <w:szCs w:val="20"/>
              </w:rPr>
              <w:t xml:space="preserve">The entity name and all associated UBOs are screened against international and Nigerian sanctions lists. Adverse media monitoring flags relevant news and litigation records.</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OFAC, UN, EU, NFIU, Adverse Media</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Ongoing Monitoring</w:t>
            </w:r>
            <w:r>
              <w:rPr>
                <w:color w:val="1a1a1a"/>
                <w:sz w:val="20"/>
                <w:szCs w:val="20"/>
              </w:rPr>
              <w:t xml:space="preserve"/>
            </w:r>
          </w:p>
        </w:tc>
        <w:tc>
          <w:tcPr>
            <w:tcW w:type="dxa" w:w="4600"/>
            <w:tcMar>
              <w:top w:type="dxa" w:w="80"/>
              <w:left w:type="dxa" w:w="120"/>
              <w:bottom w:type="dxa" w:w="80"/>
              <w:right w:type="dxa" w:w="120"/>
            </w:tcMar>
          </w:tcPr>
          <w:p>
            <w:pPr>
              <w:spacing w:after="60" w:before="60"/>
            </w:pPr>
            <w:r>
              <w:rPr>
                <w:color w:val="1a1a1a"/>
                <w:sz w:val="20"/>
                <w:szCs w:val="20"/>
              </w:rPr>
              <w:t xml:space="preserve">Automated weekly re-screening of verified corporate entities and their UBOs against updated sanctions lists. Alerts are generated and delivered via webhook when status changes are detected.</w:t>
            </w:r>
          </w:p>
        </w:tc>
        <w:tc>
          <w:tcPr>
            <w:tcW w:type="dxa" w:w="2200"/>
            <w:tcMar>
              <w:top w:type="dxa" w:w="80"/>
              <w:left w:type="dxa" w:w="120"/>
              <w:bottom w:type="dxa" w:w="80"/>
              <w:right w:type="dxa" w:w="120"/>
            </w:tcMar>
          </w:tcPr>
          <w:p>
            <w:pPr>
              <w:spacing w:after="60" w:before="60"/>
            </w:pPr>
            <w:r>
              <w:rPr>
                <w:color w:val="1a1a1a"/>
                <w:sz w:val="20"/>
                <w:szCs w:val="20"/>
              </w:rPr>
              <w:t xml:space="preserve">Continuous monitoring (platform-scheduled)</w:t>
            </w:r>
          </w:p>
        </w:tc>
      </w:tr>
    </w:tbl>
    <w:p>
      <w:pPr>
        <w:spacing w:after="60" w:before="0"/>
      </w:pPr>
    </w:p>
    <w:p>
      <w:pPr>
        <w:pBdr>
          <w:bottom w:val="single" w:color="1a5c3a" w:sz="4" w:space="4"/>
        </w:pBdr>
        <w:spacing w:after="120" w:before="320"/>
      </w:pPr>
      <w:r>
        <w:rPr>
          <w:b/>
          <w:bCs/>
          <w:color w:val="1a5c3a"/>
          <w:sz w:val="28"/>
          <w:szCs w:val="28"/>
        </w:rPr>
        <w:t xml:space="preserve">5.  API INTEGRATION OVERVIEW</w:t>
      </w:r>
    </w:p>
    <w:p>
      <w:pPr>
        <w:spacing w:after="80" w:before="80"/>
        <w:jc w:val="both"/>
      </w:pPr>
      <w:r>
        <w:rPr>
          <w:color w:val="1a1a1a"/>
          <w:sz w:val="22"/>
          <w:szCs w:val="22"/>
        </w:rPr>
        <w:t xml:space="preserve">All verification services are exposed through Cellion One's secure public REST API. Integration requires a single API key with configurable permission scopes:</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3000"/>
            <w:shd w:fill="1a5c3a" w:color="1a5c3a" w:val="solid"/>
            <w:tcMar>
              <w:top w:type="dxa" w:w="80"/>
              <w:left w:type="dxa" w:w="120"/>
              <w:bottom w:type="dxa" w:w="80"/>
              <w:right w:type="dxa" w:w="120"/>
            </w:tcMar>
          </w:tcPr>
          <w:p>
            <w:pPr>
              <w:spacing w:after="60" w:before="60"/>
            </w:pPr>
            <w:r>
              <w:rPr>
                <w:b/>
                <w:bCs/>
                <w:color w:val="FFFFFF"/>
                <w:sz w:val="20"/>
                <w:szCs w:val="20"/>
              </w:rPr>
              <w:t xml:space="preserve">Endpoint</w:t>
            </w:r>
          </w:p>
        </w:tc>
        <w:tc>
          <w:tcPr>
            <w:tcW w:type="dxa" w:w="1500"/>
            <w:shd w:fill="1a5c3a" w:color="1a5c3a" w:val="solid"/>
            <w:tcMar>
              <w:top w:type="dxa" w:w="80"/>
              <w:left w:type="dxa" w:w="120"/>
              <w:bottom w:type="dxa" w:w="80"/>
              <w:right w:type="dxa" w:w="120"/>
            </w:tcMar>
          </w:tcPr>
          <w:p>
            <w:pPr>
              <w:spacing w:after="60" w:before="60"/>
            </w:pPr>
            <w:r>
              <w:rPr>
                <w:b/>
                <w:bCs/>
                <w:color w:val="FFFFFF"/>
                <w:sz w:val="20"/>
                <w:szCs w:val="20"/>
              </w:rPr>
              <w:t xml:space="preserve">Scope Required</w:t>
            </w:r>
          </w:p>
        </w:tc>
        <w:tc>
          <w:tcPr>
            <w:tcW w:type="dxa" w:w="4500"/>
            <w:shd w:fill="1a5c3a" w:color="1a5c3a" w:val="solid"/>
            <w:tcMar>
              <w:top w:type="dxa" w:w="80"/>
              <w:left w:type="dxa" w:w="120"/>
              <w:bottom w:type="dxa" w:w="80"/>
              <w:right w:type="dxa" w:w="120"/>
            </w:tcMar>
          </w:tcPr>
          <w:p>
            <w:pPr>
              <w:spacing w:after="60" w:before="60"/>
            </w:pPr>
            <w:r>
              <w:rPr>
                <w:b/>
                <w:bCs/>
                <w:color w:val="FFFFFF"/>
                <w:sz w:val="20"/>
                <w:szCs w:val="20"/>
              </w:rPr>
              <w:t xml:space="preserve">Description</w:t>
            </w:r>
          </w:p>
        </w:tc>
      </w:tr>
      <w:tr>
        <w:tc>
          <w:tcPr>
            <w:tcW w:type="dxa" w:w="3000"/>
            <w:tcMar>
              <w:top w:type="dxa" w:w="80"/>
              <w:left w:type="dxa" w:w="120"/>
              <w:bottom w:type="dxa" w:w="80"/>
              <w:right w:type="dxa" w:w="120"/>
            </w:tcMar>
          </w:tcPr>
          <w:p>
            <w:pPr>
              <w:spacing w:after="60" w:before="60"/>
            </w:pPr>
            <w:r>
              <w:rPr>
                <w:color w:val="1a1a1a"/>
                <w:sz w:val="20"/>
                <w:szCs w:val="20"/>
              </w:rPr>
              <w:t xml:space="preserve">POST /api/v1/kyc/sessions</w:t>
            </w:r>
          </w:p>
        </w:tc>
        <w:tc>
          <w:tcPr>
            <w:tcW w:type="dxa" w:w="1500"/>
            <w:tcMar>
              <w:top w:type="dxa" w:w="80"/>
              <w:left w:type="dxa" w:w="120"/>
              <w:bottom w:type="dxa" w:w="80"/>
              <w:right w:type="dxa" w:w="120"/>
            </w:tcMar>
          </w:tcPr>
          <w:p>
            <w:pPr>
              <w:spacing w:after="60" w:before="60"/>
            </w:pPr>
            <w:r>
              <w:rPr>
                <w:color w:val="1a1a1a"/>
                <w:sz w:val="20"/>
                <w:szCs w:val="20"/>
              </w:rPr>
              <w:t xml:space="preserve">kyc:write</w:t>
            </w:r>
          </w:p>
        </w:tc>
        <w:tc>
          <w:tcPr>
            <w:tcW w:type="dxa" w:w="4500"/>
            <w:tcMar>
              <w:top w:type="dxa" w:w="80"/>
              <w:left w:type="dxa" w:w="120"/>
              <w:bottom w:type="dxa" w:w="80"/>
              <w:right w:type="dxa" w:w="120"/>
            </w:tcMar>
          </w:tcPr>
          <w:p>
            <w:pPr>
              <w:spacing w:after="60" w:before="60"/>
            </w:pPr>
            <w:r>
              <w:rPr>
                <w:color w:val="1a1a1a"/>
                <w:sz w:val="20"/>
                <w:szCs w:val="20"/>
              </w:rPr>
              <w:t xml:space="preserve">Create a hosted individual verification session. Returns a session URL to redirect the end-user to.</w:t>
            </w:r>
          </w:p>
        </w:tc>
      </w:tr>
      <w:tr>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GET /api/v1/kyc/sessions/:id</w:t>
            </w:r>
          </w:p>
        </w:tc>
        <w:tc>
          <w:tcPr>
            <w:tcW w:type="dxa" w:w="1500"/>
            <w:shd w:fill="f0f7f3" w:color="f0f7f3" w:val="solid"/>
            <w:tcMar>
              <w:top w:type="dxa" w:w="80"/>
              <w:left w:type="dxa" w:w="120"/>
              <w:bottom w:type="dxa" w:w="80"/>
              <w:right w:type="dxa" w:w="120"/>
            </w:tcMar>
          </w:tcPr>
          <w:p>
            <w:pPr>
              <w:spacing w:after="60" w:before="60"/>
            </w:pPr>
            <w:r>
              <w:rPr>
                <w:color w:val="1a1a1a"/>
                <w:sz w:val="20"/>
                <w:szCs w:val="20"/>
              </w:rPr>
              <w:t xml:space="preserve">kyc:read</w:t>
            </w:r>
          </w:p>
        </w:tc>
        <w:tc>
          <w:tcPr>
            <w:tcW w:type="dxa" w:w="4500"/>
            <w:shd w:fill="f0f7f3" w:color="f0f7f3" w:val="solid"/>
            <w:tcMar>
              <w:top w:type="dxa" w:w="80"/>
              <w:left w:type="dxa" w:w="120"/>
              <w:bottom w:type="dxa" w:w="80"/>
              <w:right w:type="dxa" w:w="120"/>
            </w:tcMar>
          </w:tcPr>
          <w:p>
            <w:pPr>
              <w:spacing w:after="60" w:before="60"/>
            </w:pPr>
            <w:r>
              <w:rPr>
                <w:color w:val="1a1a1a"/>
                <w:sz w:val="20"/>
                <w:szCs w:val="20"/>
              </w:rPr>
              <w:t xml:space="preserve">Retrieve the current status and results of a verification session.</w:t>
            </w:r>
          </w:p>
        </w:tc>
      </w:tr>
      <w:tr>
        <w:tc>
          <w:tcPr>
            <w:tcW w:type="dxa" w:w="3000"/>
            <w:tcMar>
              <w:top w:type="dxa" w:w="80"/>
              <w:left w:type="dxa" w:w="120"/>
              <w:bottom w:type="dxa" w:w="80"/>
              <w:right w:type="dxa" w:w="120"/>
            </w:tcMar>
          </w:tcPr>
          <w:p>
            <w:pPr>
              <w:spacing w:after="60" w:before="60"/>
            </w:pPr>
            <w:r>
              <w:rPr>
                <w:color w:val="1a1a1a"/>
                <w:sz w:val="20"/>
                <w:szCs w:val="20"/>
              </w:rPr>
              <w:t xml:space="preserve">GET /api/v1/kyc/profiles/:id</w:t>
            </w:r>
          </w:p>
        </w:tc>
        <w:tc>
          <w:tcPr>
            <w:tcW w:type="dxa" w:w="1500"/>
            <w:tcMar>
              <w:top w:type="dxa" w:w="80"/>
              <w:left w:type="dxa" w:w="120"/>
              <w:bottom w:type="dxa" w:w="80"/>
              <w:right w:type="dxa" w:w="120"/>
            </w:tcMar>
          </w:tcPr>
          <w:p>
            <w:pPr>
              <w:spacing w:after="60" w:before="60"/>
            </w:pPr>
            <w:r>
              <w:rPr>
                <w:color w:val="1a1a1a"/>
                <w:sz w:val="20"/>
                <w:szCs w:val="20"/>
              </w:rPr>
              <w:t xml:space="preserve">kyc:read</w:t>
            </w:r>
          </w:p>
        </w:tc>
        <w:tc>
          <w:tcPr>
            <w:tcW w:type="dxa" w:w="4500"/>
            <w:tcMar>
              <w:top w:type="dxa" w:w="80"/>
              <w:left w:type="dxa" w:w="120"/>
              <w:bottom w:type="dxa" w:w="80"/>
              <w:right w:type="dxa" w:w="120"/>
            </w:tcMar>
          </w:tcPr>
          <w:p>
            <w:pPr>
              <w:spacing w:after="60" w:before="60"/>
            </w:pPr>
            <w:r>
              <w:rPr>
                <w:color w:val="1a1a1a"/>
                <w:sz w:val="20"/>
                <w:szCs w:val="20"/>
              </w:rPr>
              <w:t xml:space="preserve">Retrieve a stored Verified Identity Profile (individual or corporate).</w:t>
            </w:r>
          </w:p>
        </w:tc>
      </w:tr>
      <w:tr>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POST /api/v1/kyc/corporate</w:t>
            </w:r>
          </w:p>
        </w:tc>
        <w:tc>
          <w:tcPr>
            <w:tcW w:type="dxa" w:w="1500"/>
            <w:shd w:fill="f0f7f3" w:color="f0f7f3" w:val="solid"/>
            <w:tcMar>
              <w:top w:type="dxa" w:w="80"/>
              <w:left w:type="dxa" w:w="120"/>
              <w:bottom w:type="dxa" w:w="80"/>
              <w:right w:type="dxa" w:w="120"/>
            </w:tcMar>
          </w:tcPr>
          <w:p>
            <w:pPr>
              <w:spacing w:after="60" w:before="60"/>
            </w:pPr>
            <w:r>
              <w:rPr>
                <w:color w:val="1a1a1a"/>
                <w:sz w:val="20"/>
                <w:szCs w:val="20"/>
              </w:rPr>
              <w:t xml:space="preserve">kyc:write</w:t>
            </w:r>
          </w:p>
        </w:tc>
        <w:tc>
          <w:tcPr>
            <w:tcW w:type="dxa" w:w="4500"/>
            <w:shd w:fill="f0f7f3" w:color="f0f7f3" w:val="solid"/>
            <w:tcMar>
              <w:top w:type="dxa" w:w="80"/>
              <w:left w:type="dxa" w:w="120"/>
              <w:bottom w:type="dxa" w:w="80"/>
              <w:right w:type="dxa" w:w="120"/>
            </w:tcMar>
          </w:tcPr>
          <w:p>
            <w:pPr>
              <w:spacing w:after="60" w:before="60"/>
            </w:pPr>
            <w:r>
              <w:rPr>
                <w:color w:val="1a1a1a"/>
                <w:sz w:val="20"/>
                <w:szCs w:val="20"/>
              </w:rPr>
              <w:t xml:space="preserve">Initiate a full corporate KYC verification for a registered business.</w:t>
            </w:r>
          </w:p>
        </w:tc>
      </w:tr>
      <w:tr>
        <w:tc>
          <w:tcPr>
            <w:tcW w:type="dxa" w:w="3000"/>
            <w:tcMar>
              <w:top w:type="dxa" w:w="80"/>
              <w:left w:type="dxa" w:w="120"/>
              <w:bottom w:type="dxa" w:w="80"/>
              <w:right w:type="dxa" w:w="120"/>
            </w:tcMar>
          </w:tcPr>
          <w:p>
            <w:pPr>
              <w:spacing w:after="60" w:before="60"/>
            </w:pPr>
            <w:r>
              <w:rPr>
                <w:color w:val="1a1a1a"/>
                <w:sz w:val="20"/>
                <w:szCs w:val="20"/>
              </w:rPr>
              <w:t xml:space="preserve">GET /api/v1/kyc/aml/report/:id</w:t>
            </w:r>
          </w:p>
        </w:tc>
        <w:tc>
          <w:tcPr>
            <w:tcW w:type="dxa" w:w="1500"/>
            <w:tcMar>
              <w:top w:type="dxa" w:w="80"/>
              <w:left w:type="dxa" w:w="120"/>
              <w:bottom w:type="dxa" w:w="80"/>
              <w:right w:type="dxa" w:w="120"/>
            </w:tcMar>
          </w:tcPr>
          <w:p>
            <w:pPr>
              <w:spacing w:after="60" w:before="60"/>
            </w:pPr>
            <w:r>
              <w:rPr>
                <w:color w:val="1a1a1a"/>
                <w:sz w:val="20"/>
                <w:szCs w:val="20"/>
              </w:rPr>
              <w:t xml:space="preserve">kyc:aml</w:t>
            </w:r>
          </w:p>
        </w:tc>
        <w:tc>
          <w:tcPr>
            <w:tcW w:type="dxa" w:w="4500"/>
            <w:tcMar>
              <w:top w:type="dxa" w:w="80"/>
              <w:left w:type="dxa" w:w="120"/>
              <w:bottom w:type="dxa" w:w="80"/>
              <w:right w:type="dxa" w:w="120"/>
            </w:tcMar>
          </w:tcPr>
          <w:p>
            <w:pPr>
              <w:spacing w:after="60" w:before="60"/>
            </w:pPr>
            <w:r>
              <w:rPr>
                <w:color w:val="1a1a1a"/>
                <w:sz w:val="20"/>
                <w:szCs w:val="20"/>
              </w:rPr>
              <w:t xml:space="preserve">Retrieve a detailed AML/sanctions screening report for an individual or entity.</w:t>
            </w:r>
          </w:p>
        </w:tc>
      </w:tr>
    </w:tbl>
    <w:p>
      <w:pPr>
        <w:spacing w:after="60" w:before="0"/>
      </w:pPr>
    </w:p>
    <w:p>
      <w:pPr>
        <w:spacing w:after="80" w:before="200"/>
      </w:pPr>
      <w:r>
        <w:rPr>
          <w:b/>
          <w:bCs/>
          <w:color w:val="2d7a54"/>
          <w:sz w:val="24"/>
          <w:szCs w:val="24"/>
        </w:rPr>
        <w:t xml:space="preserve">5.1  Security &amp; Compliance</w:t>
      </w:r>
    </w:p>
    <w:p>
      <w:pPr>
        <w:pStyle w:val="ListParagraph"/>
        <w:numPr>
          <w:ilvl w:val="0"/>
          <w:numId w:val="1"/>
        </w:numPr>
        <w:spacing w:after="40" w:before="40"/>
      </w:pPr>
      <w:r>
        <w:rPr>
          <w:color w:val="1a1a1a"/>
          <w:sz w:val="22"/>
          <w:szCs w:val="22"/>
        </w:rPr>
        <w:t xml:space="preserve"/>
      </w:r>
      <w:r>
        <w:rPr>
          <w:b/>
          <w:bCs/>
          <w:color w:val="1a1a1a"/>
          <w:sz w:val="22"/>
          <w:szCs w:val="22"/>
        </w:rPr>
        <w:t xml:space="preserve">API Key authentication</w:t>
      </w:r>
      <w:r>
        <w:rPr>
          <w:color w:val="1a1a1a"/>
          <w:sz w:val="22"/>
          <w:szCs w:val="22"/>
        </w:rPr>
        <w:t xml:space="preserve"> — Keys are SHA-256 hashed at rest; never stored in plaintext.</w:t>
      </w:r>
    </w:p>
    <w:p>
      <w:pPr>
        <w:pStyle w:val="ListParagraph"/>
        <w:numPr>
          <w:ilvl w:val="0"/>
          <w:numId w:val="1"/>
        </w:numPr>
        <w:spacing w:after="40" w:before="40"/>
      </w:pPr>
      <w:r>
        <w:rPr>
          <w:color w:val="1a1a1a"/>
          <w:sz w:val="22"/>
          <w:szCs w:val="22"/>
        </w:rPr>
        <w:t xml:space="preserve"/>
      </w:r>
      <w:r>
        <w:rPr>
          <w:b/>
          <w:bCs/>
          <w:color w:val="1a1a1a"/>
          <w:sz w:val="22"/>
          <w:szCs w:val="22"/>
        </w:rPr>
        <w:t xml:space="preserve">Rate limiting</w:t>
      </w:r>
      <w:r>
        <w:rPr>
          <w:color w:val="1a1a1a"/>
          <w:sz w:val="22"/>
          <w:szCs w:val="22"/>
        </w:rPr>
        <w:t xml:space="preserve"> — 60 requests per minute per key; 200 requests per 15 minutes via network-layer controls.</w:t>
      </w:r>
    </w:p>
    <w:p>
      <w:pPr>
        <w:pStyle w:val="ListParagraph"/>
        <w:numPr>
          <w:ilvl w:val="0"/>
          <w:numId w:val="1"/>
        </w:numPr>
        <w:spacing w:after="40" w:before="40"/>
      </w:pPr>
      <w:r>
        <w:rPr>
          <w:color w:val="1a1a1a"/>
          <w:sz w:val="22"/>
          <w:szCs w:val="22"/>
        </w:rPr>
        <w:t xml:space="preserve"/>
      </w:r>
      <w:r>
        <w:rPr>
          <w:b/>
          <w:bCs/>
          <w:color w:val="1a1a1a"/>
          <w:sz w:val="22"/>
          <w:szCs w:val="22"/>
        </w:rPr>
        <w:t xml:space="preserve">Data encryption</w:t>
      </w:r>
      <w:r>
        <w:rPr>
          <w:color w:val="1a1a1a"/>
          <w:sz w:val="22"/>
          <w:szCs w:val="22"/>
        </w:rPr>
        <w:t xml:space="preserve"> — All PII fields (NIN, BVN, biometric paths) encrypted with AES-256-GCM.</w:t>
      </w:r>
    </w:p>
    <w:p>
      <w:pPr>
        <w:pStyle w:val="ListParagraph"/>
        <w:numPr>
          <w:ilvl w:val="0"/>
          <w:numId w:val="1"/>
        </w:numPr>
        <w:spacing w:after="40" w:before="40"/>
      </w:pPr>
      <w:r>
        <w:rPr>
          <w:color w:val="1a1a1a"/>
          <w:sz w:val="22"/>
          <w:szCs w:val="22"/>
        </w:rPr>
        <w:t xml:space="preserve"/>
      </w:r>
      <w:r>
        <w:rPr>
          <w:b/>
          <w:bCs/>
          <w:color w:val="1a1a1a"/>
          <w:sz w:val="22"/>
          <w:szCs w:val="22"/>
        </w:rPr>
        <w:t xml:space="preserve">NDPR compliant</w:t>
      </w:r>
      <w:r>
        <w:rPr>
          <w:color w:val="1a1a1a"/>
          <w:sz w:val="22"/>
          <w:szCs w:val="22"/>
        </w:rPr>
        <w:t xml:space="preserve"> — Consent-based data collection, purpose limitation, and data subject rights are built into the platform.</w:t>
      </w:r>
    </w:p>
    <w:p>
      <w:pPr>
        <w:pStyle w:val="ListParagraph"/>
        <w:numPr>
          <w:ilvl w:val="0"/>
          <w:numId w:val="1"/>
        </w:numPr>
        <w:spacing w:after="40" w:before="40"/>
      </w:pPr>
      <w:r>
        <w:rPr>
          <w:color w:val="1a1a1a"/>
          <w:sz w:val="22"/>
          <w:szCs w:val="22"/>
        </w:rPr>
        <w:t xml:space="preserve"/>
      </w:r>
      <w:r>
        <w:rPr>
          <w:b/>
          <w:bCs/>
          <w:color w:val="1a1a1a"/>
          <w:sz w:val="22"/>
          <w:szCs w:val="22"/>
        </w:rPr>
        <w:t xml:space="preserve">Audit logging</w:t>
      </w:r>
      <w:r>
        <w:rPr>
          <w:color w:val="1a1a1a"/>
          <w:sz w:val="22"/>
          <w:szCs w:val="22"/>
        </w:rPr>
        <w:t xml:space="preserve"> — Every verification request, data access, and result delivery is immutably logged.</w:t>
      </w:r>
    </w:p>
    <w:p>
      <w:pPr>
        <w:pStyle w:val="ListParagraph"/>
        <w:numPr>
          <w:ilvl w:val="0"/>
          <w:numId w:val="1"/>
        </w:numPr>
        <w:spacing w:after="40" w:before="40"/>
      </w:pPr>
      <w:r>
        <w:rPr>
          <w:color w:val="1a1a1a"/>
          <w:sz w:val="22"/>
          <w:szCs w:val="22"/>
        </w:rPr>
        <w:t xml:space="preserve"/>
      </w:r>
      <w:r>
        <w:rPr>
          <w:b/>
          <w:bCs/>
          <w:color w:val="1a1a1a"/>
          <w:sz w:val="22"/>
          <w:szCs w:val="22"/>
        </w:rPr>
        <w:t xml:space="preserve">TLS enforced</w:t>
      </w:r>
      <w:r>
        <w:rPr>
          <w:color w:val="1a1a1a"/>
          <w:sz w:val="22"/>
          <w:szCs w:val="22"/>
        </w:rPr>
        <w:t xml:space="preserve"> — All API traffic over HTTPS with HSTS (1-year max-age and preload).</w:t>
      </w:r>
    </w:p>
    <w:p>
      <w:pPr>
        <w:pBdr>
          <w:bottom w:val="single" w:color="1a5c3a" w:sz="4" w:space="4"/>
        </w:pBdr>
        <w:spacing w:after="120" w:before="320"/>
      </w:pPr>
      <w:r>
        <w:rPr>
          <w:b/>
          <w:bCs/>
          <w:color w:val="1a5c3a"/>
          <w:sz w:val="28"/>
          <w:szCs w:val="28"/>
        </w:rPr>
        <w:t xml:space="preserve">6.  USE CASES BY SECTOR</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1a5c3a" w:color="1a5c3a" w:val="solid"/>
            <w:tcMar>
              <w:top w:type="dxa" w:w="80"/>
              <w:left w:type="dxa" w:w="120"/>
              <w:bottom w:type="dxa" w:w="80"/>
              <w:right w:type="dxa" w:w="120"/>
            </w:tcMar>
          </w:tcPr>
          <w:p>
            <w:pPr>
              <w:spacing w:after="60" w:before="60"/>
            </w:pPr>
            <w:r>
              <w:rPr>
                <w:b/>
                <w:bCs/>
                <w:color w:val="FFFFFF"/>
                <w:sz w:val="20"/>
                <w:szCs w:val="20"/>
              </w:rPr>
              <w:t xml:space="preserve">Sector</w:t>
            </w:r>
          </w:p>
        </w:tc>
        <w:tc>
          <w:tcPr>
            <w:tcW w:type="dxa" w:w="3400"/>
            <w:shd w:fill="1a5c3a" w:color="1a5c3a" w:val="solid"/>
            <w:tcMar>
              <w:top w:type="dxa" w:w="80"/>
              <w:left w:type="dxa" w:w="120"/>
              <w:bottom w:type="dxa" w:w="80"/>
              <w:right w:type="dxa" w:w="120"/>
            </w:tcMar>
          </w:tcPr>
          <w:p>
            <w:pPr>
              <w:spacing w:after="60" w:before="60"/>
            </w:pPr>
            <w:r>
              <w:rPr>
                <w:b/>
                <w:bCs/>
                <w:color w:val="FFFFFF"/>
                <w:sz w:val="20"/>
                <w:szCs w:val="20"/>
              </w:rPr>
              <w:t xml:space="preserve">Individual Verification Use</w:t>
            </w:r>
          </w:p>
        </w:tc>
        <w:tc>
          <w:tcPr>
            <w:tcW w:type="dxa" w:w="3400"/>
            <w:shd w:fill="1a5c3a" w:color="1a5c3a" w:val="solid"/>
            <w:tcMar>
              <w:top w:type="dxa" w:w="80"/>
              <w:left w:type="dxa" w:w="120"/>
              <w:bottom w:type="dxa" w:w="80"/>
              <w:right w:type="dxa" w:w="120"/>
            </w:tcMar>
          </w:tcPr>
          <w:p>
            <w:pPr>
              <w:spacing w:after="60" w:before="60"/>
            </w:pPr>
            <w:r>
              <w:rPr>
                <w:b/>
                <w:bCs/>
                <w:color w:val="FFFFFF"/>
                <w:sz w:val="20"/>
                <w:szCs w:val="20"/>
              </w:rPr>
              <w:t xml:space="preserve">Business Verification Use</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Fintech / Lending</w:t>
            </w:r>
            <w:r>
              <w:rPr>
                <w:color w:val="1a1a1a"/>
                <w:sz w:val="20"/>
                <w:szCs w:val="20"/>
              </w:rPr>
              <w:t xml:space="preserve"/>
            </w:r>
          </w:p>
        </w:tc>
        <w:tc>
          <w:tcPr>
            <w:tcW w:type="dxa" w:w="3400"/>
            <w:tcMar>
              <w:top w:type="dxa" w:w="80"/>
              <w:left w:type="dxa" w:w="120"/>
              <w:bottom w:type="dxa" w:w="80"/>
              <w:right w:type="dxa" w:w="120"/>
            </w:tcMar>
          </w:tcPr>
          <w:p>
            <w:pPr>
              <w:spacing w:after="60" w:before="60"/>
            </w:pPr>
            <w:r>
              <w:rPr>
                <w:color w:val="1a1a1a"/>
                <w:sz w:val="20"/>
                <w:szCs w:val="20"/>
              </w:rPr>
              <w:t xml:space="preserve">Customer onboarding KYC, loan applicant identity verification, BVN/NIN validation</w:t>
            </w:r>
          </w:p>
        </w:tc>
        <w:tc>
          <w:tcPr>
            <w:tcW w:type="dxa" w:w="3400"/>
            <w:tcMar>
              <w:top w:type="dxa" w:w="80"/>
              <w:left w:type="dxa" w:w="120"/>
              <w:bottom w:type="dxa" w:w="80"/>
              <w:right w:type="dxa" w:w="120"/>
            </w:tcMar>
          </w:tcPr>
          <w:p>
            <w:pPr>
              <w:spacing w:after="60" w:before="60"/>
            </w:pPr>
            <w:r>
              <w:rPr>
                <w:color w:val="1a1a1a"/>
                <w:sz w:val="20"/>
                <w:szCs w:val="20"/>
              </w:rPr>
              <w:t xml:space="preserve">SME loan KYB, merchant onboarding, UBO checks</w:t>
            </w:r>
          </w:p>
        </w:tc>
      </w:tr>
      <w:tr>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Insurance</w:t>
            </w:r>
            <w:r>
              <w:rPr>
                <w:color w:val="1a1a1a"/>
                <w:sz w:val="20"/>
                <w:szCs w:val="20"/>
              </w:rPr>
              <w:t xml:space="preserve"/>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Policy applicant verification, claims identity validation</w:t>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Corporate client due diligence, broker/agent verification</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Real Estate</w:t>
            </w:r>
            <w:r>
              <w:rPr>
                <w:color w:val="1a1a1a"/>
                <w:sz w:val="20"/>
                <w:szCs w:val="20"/>
              </w:rPr>
              <w:t xml:space="preserve"/>
            </w:r>
          </w:p>
        </w:tc>
        <w:tc>
          <w:tcPr>
            <w:tcW w:type="dxa" w:w="3400"/>
            <w:tcMar>
              <w:top w:type="dxa" w:w="80"/>
              <w:left w:type="dxa" w:w="120"/>
              <w:bottom w:type="dxa" w:w="80"/>
              <w:right w:type="dxa" w:w="120"/>
            </w:tcMar>
          </w:tcPr>
          <w:p>
            <w:pPr>
              <w:spacing w:after="60" w:before="60"/>
            </w:pPr>
            <w:r>
              <w:rPr>
                <w:color w:val="1a1a1a"/>
                <w:sz w:val="20"/>
                <w:szCs w:val="20"/>
              </w:rPr>
              <w:t xml:space="preserve">Tenant screening, buyer identity checks for property transactions</w:t>
            </w:r>
          </w:p>
        </w:tc>
        <w:tc>
          <w:tcPr>
            <w:tcW w:type="dxa" w:w="3400"/>
            <w:tcMar>
              <w:top w:type="dxa" w:w="80"/>
              <w:left w:type="dxa" w:w="120"/>
              <w:bottom w:type="dxa" w:w="80"/>
              <w:right w:type="dxa" w:w="120"/>
            </w:tcMar>
          </w:tcPr>
          <w:p>
            <w:pPr>
              <w:spacing w:after="60" w:before="60"/>
            </w:pPr>
            <w:r>
              <w:rPr>
                <w:color w:val="1a1a1a"/>
                <w:sz w:val="20"/>
                <w:szCs w:val="20"/>
              </w:rPr>
              <w:t xml:space="preserve">Developer verification, corporate landlord KYB</w:t>
            </w:r>
          </w:p>
        </w:tc>
      </w:tr>
      <w:tr>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HR &amp; Recruitment</w:t>
            </w:r>
            <w:r>
              <w:rPr>
                <w:color w:val="1a1a1a"/>
                <w:sz w:val="20"/>
                <w:szCs w:val="20"/>
              </w:rPr>
              <w:t xml:space="preserve"/>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Pre-employment background checks, candidate identity screening</w:t>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Client company verification before placement</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Legal &amp; Compliance</w:t>
            </w:r>
            <w:r>
              <w:rPr>
                <w:color w:val="1a1a1a"/>
                <w:sz w:val="20"/>
                <w:szCs w:val="20"/>
              </w:rPr>
              <w:t xml:space="preserve"/>
            </w:r>
          </w:p>
        </w:tc>
        <w:tc>
          <w:tcPr>
            <w:tcW w:type="dxa" w:w="3400"/>
            <w:tcMar>
              <w:top w:type="dxa" w:w="80"/>
              <w:left w:type="dxa" w:w="120"/>
              <w:bottom w:type="dxa" w:w="80"/>
              <w:right w:type="dxa" w:w="120"/>
            </w:tcMar>
          </w:tcPr>
          <w:p>
            <w:pPr>
              <w:spacing w:after="60" w:before="60"/>
            </w:pPr>
            <w:r>
              <w:rPr>
                <w:color w:val="1a1a1a"/>
                <w:sz w:val="20"/>
                <w:szCs w:val="20"/>
              </w:rPr>
              <w:t xml:space="preserve">Client onboarding KYC for law firms and accountants</w:t>
            </w:r>
          </w:p>
        </w:tc>
        <w:tc>
          <w:tcPr>
            <w:tcW w:type="dxa" w:w="3400"/>
            <w:tcMar>
              <w:top w:type="dxa" w:w="80"/>
              <w:left w:type="dxa" w:w="120"/>
              <w:bottom w:type="dxa" w:w="80"/>
              <w:right w:type="dxa" w:w="120"/>
            </w:tcMar>
          </w:tcPr>
          <w:p>
            <w:pPr>
              <w:spacing w:after="60" w:before="60"/>
            </w:pPr>
            <w:r>
              <w:rPr>
                <w:color w:val="1a1a1a"/>
                <w:sz w:val="20"/>
                <w:szCs w:val="20"/>
              </w:rPr>
              <w:t xml:space="preserve">Corporate due diligence for M&amp;A, AML reporting</w:t>
            </w:r>
          </w:p>
        </w:tc>
      </w:tr>
      <w:tr>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E-commerce &amp; Marketplaces</w:t>
            </w:r>
            <w:r>
              <w:rPr>
                <w:color w:val="1a1a1a"/>
                <w:sz w:val="20"/>
                <w:szCs w:val="20"/>
              </w:rPr>
              <w:t xml:space="preserve"/>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Seller identity verification, high-value buyer authentication</w:t>
            </w:r>
          </w:p>
        </w:tc>
        <w:tc>
          <w:tcPr>
            <w:tcW w:type="dxa" w:w="3400"/>
            <w:shd w:fill="f0f7f3" w:color="f0f7f3" w:val="solid"/>
            <w:tcMar>
              <w:top w:type="dxa" w:w="80"/>
              <w:left w:type="dxa" w:w="120"/>
              <w:bottom w:type="dxa" w:w="80"/>
              <w:right w:type="dxa" w:w="120"/>
            </w:tcMar>
          </w:tcPr>
          <w:p>
            <w:pPr>
              <w:spacing w:after="60" w:before="60"/>
            </w:pPr>
            <w:r>
              <w:rPr>
                <w:color w:val="1a1a1a"/>
                <w:sz w:val="20"/>
                <w:szCs w:val="20"/>
              </w:rPr>
              <w:t xml:space="preserve">Merchant onboarding, corporate seller KYB</w:t>
            </w:r>
          </w:p>
        </w:tc>
      </w:tr>
      <w:tr>
        <w:tc>
          <w:tcPr>
            <w:tcW w:type="dxa" w:w="22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Government &amp; Regulated Entities</w:t>
            </w:r>
            <w:r>
              <w:rPr>
                <w:color w:val="1a1a1a"/>
                <w:sz w:val="20"/>
                <w:szCs w:val="20"/>
              </w:rPr>
              <w:t xml:space="preserve"/>
            </w:r>
          </w:p>
        </w:tc>
        <w:tc>
          <w:tcPr>
            <w:tcW w:type="dxa" w:w="3400"/>
            <w:tcMar>
              <w:top w:type="dxa" w:w="80"/>
              <w:left w:type="dxa" w:w="120"/>
              <w:bottom w:type="dxa" w:w="80"/>
              <w:right w:type="dxa" w:w="120"/>
            </w:tcMar>
          </w:tcPr>
          <w:p>
            <w:pPr>
              <w:spacing w:after="60" w:before="60"/>
            </w:pPr>
            <w:r>
              <w:rPr>
                <w:color w:val="1a1a1a"/>
                <w:sz w:val="20"/>
                <w:szCs w:val="20"/>
              </w:rPr>
              <w:t xml:space="preserve">Beneficiary identity checks, contractor verification</w:t>
            </w:r>
          </w:p>
        </w:tc>
        <w:tc>
          <w:tcPr>
            <w:tcW w:type="dxa" w:w="3400"/>
            <w:tcMar>
              <w:top w:type="dxa" w:w="80"/>
              <w:left w:type="dxa" w:w="120"/>
              <w:bottom w:type="dxa" w:w="80"/>
              <w:right w:type="dxa" w:w="120"/>
            </w:tcMar>
          </w:tcPr>
          <w:p>
            <w:pPr>
              <w:spacing w:after="60" w:before="60"/>
            </w:pPr>
            <w:r>
              <w:rPr>
                <w:color w:val="1a1a1a"/>
                <w:sz w:val="20"/>
                <w:szCs w:val="20"/>
              </w:rPr>
              <w:t xml:space="preserve">Vendor registration checks, procurement KYB</w:t>
            </w:r>
          </w:p>
        </w:tc>
      </w:tr>
    </w:tbl>
    <w:p>
      <w:pPr>
        <w:spacing w:after="60" w:before="0"/>
      </w:pPr>
    </w:p>
    <w:p>
      <w:pPr>
        <w:pBdr>
          <w:bottom w:val="single" w:color="1a5c3a" w:sz="4" w:space="4"/>
        </w:pBdr>
        <w:spacing w:after="120" w:before="320"/>
      </w:pPr>
      <w:r>
        <w:rPr>
          <w:b/>
          <w:bCs/>
          <w:color w:val="1a5c3a"/>
          <w:sz w:val="28"/>
          <w:szCs w:val="28"/>
        </w:rPr>
        <w:t xml:space="preserve">7.  PLATFORM DIFFERENTIATORS</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1a5c3a" w:color="1a5c3a" w:val="solid"/>
            <w:tcMar>
              <w:top w:type="dxa" w:w="80"/>
              <w:left w:type="dxa" w:w="120"/>
              <w:bottom w:type="dxa" w:w="80"/>
              <w:right w:type="dxa" w:w="120"/>
            </w:tcMar>
          </w:tcPr>
          <w:p>
            <w:pPr>
              <w:spacing w:after="60" w:before="60"/>
            </w:pPr>
            <w:r>
              <w:rPr>
                <w:b/>
                <w:bCs/>
                <w:color w:val="FFFFFF"/>
                <w:sz w:val="20"/>
                <w:szCs w:val="20"/>
              </w:rPr>
              <w:t xml:space="preserve">Feature</w:t>
            </w:r>
          </w:p>
        </w:tc>
        <w:tc>
          <w:tcPr>
            <w:tcW w:type="dxa" w:w="6000"/>
            <w:shd w:fill="1a5c3a" w:color="1a5c3a" w:val="solid"/>
            <w:tcMar>
              <w:top w:type="dxa" w:w="80"/>
              <w:left w:type="dxa" w:w="120"/>
              <w:bottom w:type="dxa" w:w="80"/>
              <w:right w:type="dxa" w:w="120"/>
            </w:tcMar>
          </w:tcPr>
          <w:p>
            <w:pPr>
              <w:spacing w:after="60" w:before="60"/>
            </w:pPr>
            <w:r>
              <w:rPr>
                <w:b/>
                <w:bCs/>
                <w:color w:val="FFFFFF"/>
                <w:sz w:val="20"/>
                <w:szCs w:val="20"/>
              </w:rPr>
              <w:t xml:space="preserve">Cellion One Advantage</w:t>
            </w:r>
          </w:p>
        </w:tc>
      </w:tr>
      <w:tr>
        <w:tc>
          <w:tcPr>
            <w:tcW w:type="dxa" w:w="30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Single API, all verifications</w:t>
            </w:r>
            <w:r>
              <w:rPr>
                <w:color w:val="1a1a1a"/>
                <w:sz w:val="20"/>
                <w:szCs w:val="20"/>
              </w:rPr>
              <w:t xml:space="preserve"/>
            </w:r>
          </w:p>
        </w:tc>
        <w:tc>
          <w:tcPr>
            <w:tcW w:type="dxa" w:w="6000"/>
            <w:tcMar>
              <w:top w:type="dxa" w:w="80"/>
              <w:left w:type="dxa" w:w="120"/>
              <w:bottom w:type="dxa" w:w="80"/>
              <w:right w:type="dxa" w:w="120"/>
            </w:tcMar>
          </w:tcPr>
          <w:p>
            <w:pPr>
              <w:spacing w:after="60" w:before="60"/>
            </w:pPr>
            <w:r>
              <w:rPr>
                <w:color w:val="1a1a1a"/>
                <w:sz w:val="20"/>
                <w:szCs w:val="20"/>
              </w:rPr>
              <w:t xml:space="preserve">Individual, corporate, AML, and document checks through one integration — no need to manage multiple vendor contracts.</w:t>
            </w:r>
          </w:p>
        </w:tc>
      </w:tr>
      <w:tr>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Hosted sessions (zero frontend code)</w:t>
            </w:r>
            <w:r>
              <w:rPr>
                <w:color w:val="1a1a1a"/>
                <w:sz w:val="20"/>
                <w:szCs w:val="20"/>
              </w:rPr>
              <w:t xml:space="preserve"/>
            </w:r>
          </w:p>
        </w:tc>
        <w:tc>
          <w:tcPr>
            <w:tcW w:type="dxa" w:w="6000"/>
            <w:shd w:fill="f0f7f3" w:color="f0f7f3" w:val="solid"/>
            <w:tcMar>
              <w:top w:type="dxa" w:w="80"/>
              <w:left w:type="dxa" w:w="120"/>
              <w:bottom w:type="dxa" w:w="80"/>
              <w:right w:type="dxa" w:w="120"/>
            </w:tcMar>
          </w:tcPr>
          <w:p>
            <w:pPr>
              <w:spacing w:after="60" w:before="60"/>
            </w:pPr>
            <w:r>
              <w:rPr>
                <w:color w:val="1a1a1a"/>
                <w:sz w:val="20"/>
                <w:szCs w:val="20"/>
              </w:rPr>
              <w:t xml:space="preserve">Generate a session URL, redirect the user — Cellion One handles the entire verification UX.</w:t>
            </w:r>
          </w:p>
        </w:tc>
      </w:tr>
      <w:tr>
        <w:tc>
          <w:tcPr>
            <w:tcW w:type="dxa" w:w="30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Verified Profile Store</w:t>
            </w:r>
            <w:r>
              <w:rPr>
                <w:color w:val="1a1a1a"/>
                <w:sz w:val="20"/>
                <w:szCs w:val="20"/>
              </w:rPr>
              <w:t xml:space="preserve"/>
            </w:r>
          </w:p>
        </w:tc>
        <w:tc>
          <w:tcPr>
            <w:tcW w:type="dxa" w:w="6000"/>
            <w:tcMar>
              <w:top w:type="dxa" w:w="80"/>
              <w:left w:type="dxa" w:w="120"/>
              <w:bottom w:type="dxa" w:w="80"/>
              <w:right w:type="dxa" w:w="120"/>
            </w:tcMar>
          </w:tcPr>
          <w:p>
            <w:pPr>
              <w:spacing w:after="60" w:before="60"/>
            </w:pPr>
            <w:r>
              <w:rPr>
                <w:color w:val="1a1a1a"/>
                <w:sz w:val="20"/>
                <w:szCs w:val="20"/>
              </w:rPr>
              <w:t xml:space="preserve">Re-use verified identities across multiple checks. Reduces cost and friction for returning users.</w:t>
            </w:r>
          </w:p>
        </w:tc>
      </w:tr>
      <w:tr>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Consent-based data sharing</w:t>
            </w:r>
            <w:r>
              <w:rPr>
                <w:color w:val="1a1a1a"/>
                <w:sz w:val="20"/>
                <w:szCs w:val="20"/>
              </w:rPr>
              <w:t xml:space="preserve"/>
            </w:r>
          </w:p>
        </w:tc>
        <w:tc>
          <w:tcPr>
            <w:tcW w:type="dxa" w:w="6000"/>
            <w:shd w:fill="f0f7f3" w:color="f0f7f3" w:val="solid"/>
            <w:tcMar>
              <w:top w:type="dxa" w:w="80"/>
              <w:left w:type="dxa" w:w="120"/>
              <w:bottom w:type="dxa" w:w="80"/>
              <w:right w:type="dxa" w:w="120"/>
            </w:tcMar>
          </w:tcPr>
          <w:p>
            <w:pPr>
              <w:spacing w:after="60" w:before="60"/>
            </w:pPr>
            <w:r>
              <w:rPr>
                <w:color w:val="1a1a1a"/>
                <w:sz w:val="20"/>
                <w:szCs w:val="20"/>
              </w:rPr>
              <w:t xml:space="preserve">Time-limited, revocable consent tokens ensure NDPR compliance and give individuals control over their data.</w:t>
            </w:r>
          </w:p>
        </w:tc>
      </w:tr>
      <w:tr>
        <w:tc>
          <w:tcPr>
            <w:tcW w:type="dxa" w:w="30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Continuous AML monitoring</w:t>
            </w:r>
            <w:r>
              <w:rPr>
                <w:color w:val="1a1a1a"/>
                <w:sz w:val="20"/>
                <w:szCs w:val="20"/>
              </w:rPr>
              <w:t xml:space="preserve"/>
            </w:r>
          </w:p>
        </w:tc>
        <w:tc>
          <w:tcPr>
            <w:tcW w:type="dxa" w:w="6000"/>
            <w:tcMar>
              <w:top w:type="dxa" w:w="80"/>
              <w:left w:type="dxa" w:w="120"/>
              <w:bottom w:type="dxa" w:w="80"/>
              <w:right w:type="dxa" w:w="120"/>
            </w:tcMar>
          </w:tcPr>
          <w:p>
            <w:pPr>
              <w:spacing w:after="60" w:before="60"/>
            </w:pPr>
            <w:r>
              <w:rPr>
                <w:color w:val="1a1a1a"/>
                <w:sz w:val="20"/>
                <w:szCs w:val="20"/>
              </w:rPr>
              <w:t xml:space="preserve">Weekly automated re-screening means you are always alerted to new sanctions hits — not just at onboarding.</w:t>
            </w:r>
          </w:p>
        </w:tc>
      </w:tr>
      <w:tr>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Nigeria-first data sources</w:t>
            </w:r>
            <w:r>
              <w:rPr>
                <w:color w:val="1a1a1a"/>
                <w:sz w:val="20"/>
                <w:szCs w:val="20"/>
              </w:rPr>
              <w:t xml:space="preserve"/>
            </w:r>
          </w:p>
        </w:tc>
        <w:tc>
          <w:tcPr>
            <w:tcW w:type="dxa" w:w="6000"/>
            <w:shd w:fill="f0f7f3" w:color="f0f7f3" w:val="solid"/>
            <w:tcMar>
              <w:top w:type="dxa" w:w="80"/>
              <w:left w:type="dxa" w:w="120"/>
              <w:bottom w:type="dxa" w:w="80"/>
              <w:right w:type="dxa" w:w="120"/>
            </w:tcMar>
          </w:tcPr>
          <w:p>
            <w:pPr>
              <w:spacing w:after="60" w:before="60"/>
            </w:pPr>
            <w:r>
              <w:rPr>
                <w:color w:val="1a1a1a"/>
                <w:sz w:val="20"/>
                <w:szCs w:val="20"/>
              </w:rPr>
              <w:t xml:space="preserve">Direct integrations with NIMC, NIBSS, and CAC via Smile ID — built for the Nigerian regulatory environment.</w:t>
            </w:r>
          </w:p>
        </w:tc>
      </w:tr>
      <w:tr>
        <w:tc>
          <w:tcPr>
            <w:tcW w:type="dxa" w:w="30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STR Report Builder</w:t>
            </w:r>
            <w:r>
              <w:rPr>
                <w:color w:val="1a1a1a"/>
                <w:sz w:val="20"/>
                <w:szCs w:val="20"/>
              </w:rPr>
              <w:t xml:space="preserve"/>
            </w:r>
          </w:p>
        </w:tc>
        <w:tc>
          <w:tcPr>
            <w:tcW w:type="dxa" w:w="6000"/>
            <w:tcMar>
              <w:top w:type="dxa" w:w="80"/>
              <w:left w:type="dxa" w:w="120"/>
              <w:bottom w:type="dxa" w:w="80"/>
              <w:right w:type="dxa" w:w="120"/>
            </w:tcMar>
          </w:tcPr>
          <w:p>
            <w:pPr>
              <w:spacing w:after="60" w:before="60"/>
            </w:pPr>
            <w:r>
              <w:rPr>
                <w:color w:val="1a1a1a"/>
                <w:sz w:val="20"/>
                <w:szCs w:val="20"/>
              </w:rPr>
              <w:t xml:space="preserve">Structured Suspicious Transaction Reports generated from the platform and submitted directly to NFIU.</w:t>
            </w:r>
          </w:p>
        </w:tc>
      </w:tr>
    </w:tbl>
    <w:p>
      <w:pPr>
        <w:spacing w:after="60" w:before="0"/>
      </w:pPr>
    </w:p>
    <w:p>
      <w:pPr>
        <w:pBdr>
          <w:bottom w:val="single" w:color="1a5c3a" w:sz="4" w:space="4"/>
        </w:pBdr>
        <w:spacing w:after="120" w:before="320"/>
      </w:pPr>
      <w:r>
        <w:rPr>
          <w:b/>
          <w:bCs/>
          <w:color w:val="1a5c3a"/>
          <w:sz w:val="28"/>
          <w:szCs w:val="28"/>
        </w:rPr>
        <w:t xml:space="preserve">8.  PRICING MODEL</w:t>
      </w:r>
    </w:p>
    <w:p>
      <w:pPr>
        <w:spacing w:after="80" w:before="80"/>
        <w:jc w:val="both"/>
      </w:pPr>
      <w:r>
        <w:rPr>
          <w:color w:val="1a1a1a"/>
          <w:sz w:val="22"/>
          <w:szCs w:val="22"/>
        </w:rPr>
        <w:t xml:space="preserve">Cellion One's VaaS offering is structured around a simple consumption-based model with optional monthly volume commitments:</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3800"/>
            <w:shd w:fill="1a5c3a" w:color="1a5c3a" w:val="solid"/>
            <w:tcMar>
              <w:top w:type="dxa" w:w="80"/>
              <w:left w:type="dxa" w:w="120"/>
              <w:bottom w:type="dxa" w:w="80"/>
              <w:right w:type="dxa" w:w="120"/>
            </w:tcMar>
          </w:tcPr>
          <w:p>
            <w:pPr>
              <w:spacing w:after="60" w:before="60"/>
            </w:pPr>
            <w:r>
              <w:rPr>
                <w:b/>
                <w:bCs/>
                <w:color w:val="FFFFFF"/>
                <w:sz w:val="20"/>
                <w:szCs w:val="20"/>
              </w:rPr>
              <w:t xml:space="preserve">Service</w:t>
            </w:r>
          </w:p>
        </w:tc>
        <w:tc>
          <w:tcPr>
            <w:tcW w:type="dxa" w:w="2200"/>
            <w:shd w:fill="1a5c3a" w:color="1a5c3a" w:val="solid"/>
            <w:tcMar>
              <w:top w:type="dxa" w:w="80"/>
              <w:left w:type="dxa" w:w="120"/>
              <w:bottom w:type="dxa" w:w="80"/>
              <w:right w:type="dxa" w:w="120"/>
            </w:tcMar>
          </w:tcPr>
          <w:p>
            <w:pPr>
              <w:spacing w:after="60" w:before="60"/>
            </w:pPr>
            <w:r>
              <w:rPr>
                <w:b/>
                <w:bCs/>
                <w:color w:val="FFFFFF"/>
                <w:sz w:val="20"/>
                <w:szCs w:val="20"/>
              </w:rPr>
              <w:t xml:space="preserve">Unit Price (NGN)</w:t>
            </w:r>
          </w:p>
        </w:tc>
        <w:tc>
          <w:tcPr>
            <w:tcW w:type="dxa" w:w="3000"/>
            <w:shd w:fill="1a5c3a" w:color="1a5c3a" w:val="solid"/>
            <w:tcMar>
              <w:top w:type="dxa" w:w="80"/>
              <w:left w:type="dxa" w:w="120"/>
              <w:bottom w:type="dxa" w:w="80"/>
              <w:right w:type="dxa" w:w="120"/>
            </w:tcMar>
          </w:tcPr>
          <w:p>
            <w:pPr>
              <w:spacing w:after="60" w:before="60"/>
            </w:pPr>
            <w:r>
              <w:rPr>
                <w:b/>
                <w:bCs/>
                <w:color w:val="FFFFFF"/>
                <w:sz w:val="20"/>
                <w:szCs w:val="20"/>
              </w:rPr>
              <w:t xml:space="preserve">Notes</w:t>
            </w:r>
          </w:p>
        </w:tc>
      </w:tr>
      <w:tr>
        <w:tc>
          <w:tcPr>
            <w:tcW w:type="dxa" w:w="3800"/>
            <w:tcMar>
              <w:top w:type="dxa" w:w="80"/>
              <w:left w:type="dxa" w:w="120"/>
              <w:bottom w:type="dxa" w:w="80"/>
              <w:right w:type="dxa" w:w="120"/>
            </w:tcMar>
          </w:tcPr>
          <w:p>
            <w:pPr>
              <w:spacing w:after="60" w:before="60"/>
            </w:pPr>
            <w:r>
              <w:rPr>
                <w:color w:val="1a1a1a"/>
                <w:sz w:val="20"/>
                <w:szCs w:val="20"/>
              </w:rPr>
              <w:t xml:space="preserve">BVN / NIN Lookup</w:t>
            </w:r>
          </w:p>
        </w:tc>
        <w:tc>
          <w:tcPr>
            <w:tcW w:type="dxa" w:w="2200"/>
            <w:tcMar>
              <w:top w:type="dxa" w:w="80"/>
              <w:left w:type="dxa" w:w="120"/>
              <w:bottom w:type="dxa" w:w="80"/>
              <w:right w:type="dxa" w:w="120"/>
            </w:tcMar>
          </w:tcPr>
          <w:p>
            <w:pPr>
              <w:spacing w:after="60" w:before="60"/>
            </w:pPr>
            <w:r>
              <w:rPr>
                <w:color w:val="1a1a1a"/>
                <w:sz w:val="20"/>
                <w:szCs w:val="20"/>
              </w:rPr>
              <w:t xml:space="preserve">₦150 / check</w:t>
            </w:r>
          </w:p>
        </w:tc>
        <w:tc>
          <w:tcPr>
            <w:tcW w:type="dxa" w:w="3000"/>
            <w:tcMar>
              <w:top w:type="dxa" w:w="80"/>
              <w:left w:type="dxa" w:w="120"/>
              <w:bottom w:type="dxa" w:w="80"/>
              <w:right w:type="dxa" w:w="120"/>
            </w:tcMar>
          </w:tcPr>
          <w:p>
            <w:pPr>
              <w:spacing w:after="60" w:before="60"/>
            </w:pPr>
            <w:r>
              <w:rPr>
                <w:color w:val="1a1a1a"/>
                <w:sz w:val="20"/>
                <w:szCs w:val="20"/>
              </w:rPr>
              <w:t xml:space="preserve">Per successful lookup</w:t>
            </w:r>
          </w:p>
        </w:tc>
      </w:tr>
      <w:tr>
        <w:tc>
          <w:tcPr>
            <w:tcW w:type="dxa" w:w="3800"/>
            <w:shd w:fill="f0f7f3" w:color="f0f7f3" w:val="solid"/>
            <w:tcMar>
              <w:top w:type="dxa" w:w="80"/>
              <w:left w:type="dxa" w:w="120"/>
              <w:bottom w:type="dxa" w:w="80"/>
              <w:right w:type="dxa" w:w="120"/>
            </w:tcMar>
          </w:tcPr>
          <w:p>
            <w:pPr>
              <w:spacing w:after="60" w:before="60"/>
            </w:pPr>
            <w:r>
              <w:rPr>
                <w:color w:val="1a1a1a"/>
                <w:sz w:val="20"/>
                <w:szCs w:val="20"/>
              </w:rPr>
              <w:t xml:space="preserve">Document Authentication</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₦300 / document</w:t>
            </w:r>
          </w:p>
        </w:tc>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Includes AI forgery detection</w:t>
            </w:r>
          </w:p>
        </w:tc>
      </w:tr>
      <w:tr>
        <w:tc>
          <w:tcPr>
            <w:tcW w:type="dxa" w:w="3800"/>
            <w:tcMar>
              <w:top w:type="dxa" w:w="80"/>
              <w:left w:type="dxa" w:w="120"/>
              <w:bottom w:type="dxa" w:w="80"/>
              <w:right w:type="dxa" w:w="120"/>
            </w:tcMar>
          </w:tcPr>
          <w:p>
            <w:pPr>
              <w:spacing w:after="60" w:before="60"/>
            </w:pPr>
            <w:r>
              <w:rPr>
                <w:color w:val="1a1a1a"/>
                <w:sz w:val="20"/>
                <w:szCs w:val="20"/>
              </w:rPr>
              <w:t xml:space="preserve">Biometric / Liveness Check</w:t>
            </w:r>
          </w:p>
        </w:tc>
        <w:tc>
          <w:tcPr>
            <w:tcW w:type="dxa" w:w="2200"/>
            <w:tcMar>
              <w:top w:type="dxa" w:w="80"/>
              <w:left w:type="dxa" w:w="120"/>
              <w:bottom w:type="dxa" w:w="80"/>
              <w:right w:type="dxa" w:w="120"/>
            </w:tcMar>
          </w:tcPr>
          <w:p>
            <w:pPr>
              <w:spacing w:after="60" w:before="60"/>
            </w:pPr>
            <w:r>
              <w:rPr>
                <w:color w:val="1a1a1a"/>
                <w:sz w:val="20"/>
                <w:szCs w:val="20"/>
              </w:rPr>
              <w:t xml:space="preserve">₦400 / check</w:t>
            </w:r>
          </w:p>
        </w:tc>
        <w:tc>
          <w:tcPr>
            <w:tcW w:type="dxa" w:w="3000"/>
            <w:tcMar>
              <w:top w:type="dxa" w:w="80"/>
              <w:left w:type="dxa" w:w="120"/>
              <w:bottom w:type="dxa" w:w="80"/>
              <w:right w:type="dxa" w:w="120"/>
            </w:tcMar>
          </w:tcPr>
          <w:p>
            <w:pPr>
              <w:spacing w:after="60" w:before="60"/>
            </w:pPr>
            <w:r>
              <w:rPr>
                <w:color w:val="1a1a1a"/>
                <w:sz w:val="20"/>
                <w:szCs w:val="20"/>
              </w:rPr>
              <w:t xml:space="preserve">Face match + liveness detection</w:t>
            </w:r>
          </w:p>
        </w:tc>
      </w:tr>
      <w:tr>
        <w:tc>
          <w:tcPr>
            <w:tcW w:type="dxa" w:w="3800"/>
            <w:shd w:fill="f0f7f3" w:color="f0f7f3" w:val="solid"/>
            <w:tcMar>
              <w:top w:type="dxa" w:w="80"/>
              <w:left w:type="dxa" w:w="120"/>
              <w:bottom w:type="dxa" w:w="80"/>
              <w:right w:type="dxa" w:w="120"/>
            </w:tcMar>
          </w:tcPr>
          <w:p>
            <w:pPr>
              <w:spacing w:after="60" w:before="60"/>
            </w:pPr>
            <w:r>
              <w:rPr>
                <w:color w:val="1a1a1a"/>
                <w:sz w:val="20"/>
                <w:szCs w:val="20"/>
              </w:rPr>
              <w:t xml:space="preserve">Full Individual KYC Bundle (Steps 1–4)</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₦1,200 / person</w:t>
            </w:r>
          </w:p>
        </w:tc>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Discounted bundle vs. individual steps</w:t>
            </w:r>
          </w:p>
        </w:tc>
      </w:tr>
      <w:tr>
        <w:tc>
          <w:tcPr>
            <w:tcW w:type="dxa" w:w="3800"/>
            <w:tcMar>
              <w:top w:type="dxa" w:w="80"/>
              <w:left w:type="dxa" w:w="120"/>
              <w:bottom w:type="dxa" w:w="80"/>
              <w:right w:type="dxa" w:w="120"/>
            </w:tcMar>
          </w:tcPr>
          <w:p>
            <w:pPr>
              <w:spacing w:after="60" w:before="60"/>
            </w:pPr>
            <w:r>
              <w:rPr>
                <w:color w:val="1a1a1a"/>
                <w:sz w:val="20"/>
                <w:szCs w:val="20"/>
              </w:rPr>
              <w:t xml:space="preserve">Corporate KYB Verification</w:t>
            </w:r>
          </w:p>
        </w:tc>
        <w:tc>
          <w:tcPr>
            <w:tcW w:type="dxa" w:w="2200"/>
            <w:tcMar>
              <w:top w:type="dxa" w:w="80"/>
              <w:left w:type="dxa" w:w="120"/>
              <w:bottom w:type="dxa" w:w="80"/>
              <w:right w:type="dxa" w:w="120"/>
            </w:tcMar>
          </w:tcPr>
          <w:p>
            <w:pPr>
              <w:spacing w:after="60" w:before="60"/>
            </w:pPr>
            <w:r>
              <w:rPr>
                <w:color w:val="1a1a1a"/>
                <w:sz w:val="20"/>
                <w:szCs w:val="20"/>
              </w:rPr>
              <w:t xml:space="preserve">₦5,000 / entity</w:t>
            </w:r>
          </w:p>
        </w:tc>
        <w:tc>
          <w:tcPr>
            <w:tcW w:type="dxa" w:w="3000"/>
            <w:tcMar>
              <w:top w:type="dxa" w:w="80"/>
              <w:left w:type="dxa" w:w="120"/>
              <w:bottom w:type="dxa" w:w="80"/>
              <w:right w:type="dxa" w:w="120"/>
            </w:tcMar>
          </w:tcPr>
          <w:p>
            <w:pPr>
              <w:spacing w:after="60" w:before="60"/>
            </w:pPr>
            <w:r>
              <w:rPr>
                <w:color w:val="1a1a1a"/>
                <w:sz w:val="20"/>
                <w:szCs w:val="20"/>
              </w:rPr>
              <w:t xml:space="preserve">Includes CAC check + up to 5 UBO verifications</w:t>
            </w:r>
          </w:p>
        </w:tc>
      </w:tr>
      <w:tr>
        <w:tc>
          <w:tcPr>
            <w:tcW w:type="dxa" w:w="3800"/>
            <w:shd w:fill="f0f7f3" w:color="f0f7f3" w:val="solid"/>
            <w:tcMar>
              <w:top w:type="dxa" w:w="80"/>
              <w:left w:type="dxa" w:w="120"/>
              <w:bottom w:type="dxa" w:w="80"/>
              <w:right w:type="dxa" w:w="120"/>
            </w:tcMar>
          </w:tcPr>
          <w:p>
            <w:pPr>
              <w:spacing w:after="60" w:before="60"/>
            </w:pPr>
            <w:r>
              <w:rPr>
                <w:color w:val="1a1a1a"/>
                <w:sz w:val="20"/>
                <w:szCs w:val="20"/>
              </w:rPr>
              <w:t xml:space="preserve">AML / Sanctions Screening</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₦500 / screen</w:t>
            </w:r>
          </w:p>
        </w:tc>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Included in bundles; charged separately on-demand</w:t>
            </w:r>
          </w:p>
        </w:tc>
      </w:tr>
      <w:tr>
        <w:tc>
          <w:tcPr>
            <w:tcW w:type="dxa" w:w="3800"/>
            <w:tcMar>
              <w:top w:type="dxa" w:w="80"/>
              <w:left w:type="dxa" w:w="120"/>
              <w:bottom w:type="dxa" w:w="80"/>
              <w:right w:type="dxa" w:w="120"/>
            </w:tcMar>
          </w:tcPr>
          <w:p>
            <w:pPr>
              <w:spacing w:after="60" w:before="60"/>
            </w:pPr>
            <w:r>
              <w:rPr>
                <w:color w:val="1a1a1a"/>
                <w:sz w:val="20"/>
                <w:szCs w:val="20"/>
              </w:rPr>
              <w:t xml:space="preserve">Ongoing Monthly AML Monitoring</w:t>
            </w:r>
          </w:p>
        </w:tc>
        <w:tc>
          <w:tcPr>
            <w:tcW w:type="dxa" w:w="2200"/>
            <w:tcMar>
              <w:top w:type="dxa" w:w="80"/>
              <w:left w:type="dxa" w:w="120"/>
              <w:bottom w:type="dxa" w:w="80"/>
              <w:right w:type="dxa" w:w="120"/>
            </w:tcMar>
          </w:tcPr>
          <w:p>
            <w:pPr>
              <w:spacing w:after="60" w:before="60"/>
            </w:pPr>
            <w:r>
              <w:rPr>
                <w:color w:val="1a1a1a"/>
                <w:sz w:val="20"/>
                <w:szCs w:val="20"/>
              </w:rPr>
              <w:t xml:space="preserve">₦200 / profile / month</w:t>
            </w:r>
          </w:p>
        </w:tc>
        <w:tc>
          <w:tcPr>
            <w:tcW w:type="dxa" w:w="3000"/>
            <w:tcMar>
              <w:top w:type="dxa" w:w="80"/>
              <w:left w:type="dxa" w:w="120"/>
              <w:bottom w:type="dxa" w:w="80"/>
              <w:right w:type="dxa" w:w="120"/>
            </w:tcMar>
          </w:tcPr>
          <w:p>
            <w:pPr>
              <w:spacing w:after="60" w:before="60"/>
            </w:pPr>
            <w:r>
              <w:rPr>
                <w:color w:val="1a1a1a"/>
                <w:sz w:val="20"/>
                <w:szCs w:val="20"/>
              </w:rPr>
              <w:t xml:space="preserve">Weekly automated re-screening</w:t>
            </w:r>
          </w:p>
        </w:tc>
      </w:tr>
      <w:tr>
        <w:tc>
          <w:tcPr>
            <w:tcW w:type="dxa" w:w="3800"/>
            <w:shd w:fill="f0f7f3" w:color="f0f7f3" w:val="solid"/>
            <w:tcMar>
              <w:top w:type="dxa" w:w="80"/>
              <w:left w:type="dxa" w:w="120"/>
              <w:bottom w:type="dxa" w:w="80"/>
              <w:right w:type="dxa" w:w="120"/>
            </w:tcMar>
          </w:tcPr>
          <w:p>
            <w:pPr>
              <w:spacing w:after="60" w:before="60"/>
            </w:pPr>
            <w:r>
              <w:rPr>
                <w:color w:val="1a1a1a"/>
                <w:sz w:val="20"/>
                <w:szCs w:val="20"/>
              </w:rPr>
              <w:t xml:space="preserve">Hosted Session (White-label UI)</w:t>
            </w:r>
          </w:p>
        </w:tc>
        <w:tc>
          <w:tcPr>
            <w:tcW w:type="dxa" w:w="2200"/>
            <w:shd w:fill="f0f7f3" w:color="f0f7f3" w:val="solid"/>
            <w:tcMar>
              <w:top w:type="dxa" w:w="80"/>
              <w:left w:type="dxa" w:w="120"/>
              <w:bottom w:type="dxa" w:w="80"/>
              <w:right w:type="dxa" w:w="120"/>
            </w:tcMar>
          </w:tcPr>
          <w:p>
            <w:pPr>
              <w:spacing w:after="60" w:before="60"/>
            </w:pPr>
            <w:r>
              <w:rPr>
                <w:color w:val="1a1a1a"/>
                <w:sz w:val="20"/>
                <w:szCs w:val="20"/>
              </w:rPr>
              <w:t xml:space="preserve">₦250 / session</w:t>
            </w:r>
          </w:p>
        </w:tc>
        <w:tc>
          <w:tcPr>
            <w:tcW w:type="dxa" w:w="3000"/>
            <w:shd w:fill="f0f7f3" w:color="f0f7f3" w:val="solid"/>
            <w:tcMar>
              <w:top w:type="dxa" w:w="80"/>
              <w:left w:type="dxa" w:w="120"/>
              <w:bottom w:type="dxa" w:w="80"/>
              <w:right w:type="dxa" w:w="120"/>
            </w:tcMar>
          </w:tcPr>
          <w:p>
            <w:pPr>
              <w:spacing w:after="60" w:before="60"/>
            </w:pPr>
            <w:r>
              <w:rPr>
                <w:color w:val="1a1a1a"/>
                <w:sz w:val="20"/>
                <w:szCs w:val="20"/>
              </w:rPr>
              <w:t xml:space="preserve">Additional to underlying check fees</w:t>
            </w:r>
          </w:p>
        </w:tc>
      </w:tr>
    </w:tbl>
    <w:p>
      <w:pPr>
        <w:spacing w:after="60" w:before="0"/>
      </w:pPr>
    </w:p>
    <w:p>
      <w:pPr>
        <w:spacing w:after="80" w:before="80"/>
        <w:jc w:val="both"/>
      </w:pPr>
      <w:r>
        <w:rPr>
          <w:i/>
          <w:iCs/>
          <w:color w:val="888888"/>
          <w:sz w:val="22"/>
          <w:szCs w:val="22"/>
        </w:rPr>
        <w:t xml:space="preserve">Volume discounts of 15–30% are available for commitments exceeding 500 verifications per month. Enterprise pricing is available on request.</w:t>
      </w:r>
    </w:p>
    <w:p>
      <w:pPr>
        <w:pBdr>
          <w:bottom w:val="single" w:color="1a5c3a" w:sz="4" w:space="4"/>
        </w:pBdr>
        <w:spacing w:after="120" w:before="320"/>
      </w:pPr>
      <w:r>
        <w:rPr>
          <w:b/>
          <w:bCs/>
          <w:color w:val="1a5c3a"/>
          <w:sz w:val="28"/>
          <w:szCs w:val="28"/>
        </w:rPr>
        <w:t xml:space="preserve">9.  IMPLEMENTATION &amp; ONBOARDING</w:t>
      </w:r>
    </w:p>
    <w:p>
      <w:pPr>
        <w:spacing w:after="80" w:before="80"/>
        <w:jc w:val="both"/>
      </w:pPr>
      <w:r>
        <w:rPr>
          <w:color w:val="1a1a1a"/>
          <w:sz w:val="22"/>
          <w:szCs w:val="22"/>
        </w:rPr>
        <w:t xml:space="preserve">Getting started with Cellion One VaaS is a straightforward 4-step process:</w:t>
      </w:r>
    </w:p>
    <w:p>
      <w:pPr>
        <w:pStyle w:val="ListParagraph"/>
        <w:numPr>
          <w:ilvl w:val="0"/>
          <w:numId w:val="2"/>
        </w:numPr>
        <w:spacing w:after="40" w:before="40"/>
      </w:pPr>
      <w:r>
        <w:rPr>
          <w:color w:val="1a1a1a"/>
          <w:sz w:val="22"/>
          <w:szCs w:val="22"/>
        </w:rPr>
        <w:t xml:space="preserve"/>
      </w:r>
      <w:r>
        <w:rPr>
          <w:b/>
          <w:bCs/>
          <w:color w:val="1a1a1a"/>
          <w:sz w:val="22"/>
          <w:szCs w:val="22"/>
        </w:rPr>
        <w:t xml:space="preserve">Account Registration</w:t>
      </w:r>
      <w:r>
        <w:rPr>
          <w:color w:val="1a1a1a"/>
          <w:sz w:val="22"/>
          <w:szCs w:val="22"/>
        </w:rPr>
        <w:t xml:space="preserve"> — Register your organisation on the Cellion One platform and complete the KYB process for your entity (typically 24–48 hours).</w:t>
      </w:r>
    </w:p>
    <w:p>
      <w:pPr>
        <w:pStyle w:val="ListParagraph"/>
        <w:numPr>
          <w:ilvl w:val="0"/>
          <w:numId w:val="2"/>
        </w:numPr>
        <w:spacing w:after="40" w:before="40"/>
      </w:pPr>
      <w:r>
        <w:rPr>
          <w:color w:val="1a1a1a"/>
          <w:sz w:val="22"/>
          <w:szCs w:val="22"/>
        </w:rPr>
        <w:t xml:space="preserve"/>
      </w:r>
      <w:r>
        <w:rPr>
          <w:b/>
          <w:bCs/>
          <w:color w:val="1a1a1a"/>
          <w:sz w:val="22"/>
          <w:szCs w:val="22"/>
        </w:rPr>
        <w:t xml:space="preserve">API Key Issuance</w:t>
      </w:r>
      <w:r>
        <w:rPr>
          <w:color w:val="1a1a1a"/>
          <w:sz w:val="22"/>
          <w:szCs w:val="22"/>
        </w:rPr>
        <w:t xml:space="preserve"> — Generate an API key with the required scopes from the developer dashboard. Keys are active immediately.</w:t>
      </w:r>
    </w:p>
    <w:p>
      <w:pPr>
        <w:pStyle w:val="ListParagraph"/>
        <w:numPr>
          <w:ilvl w:val="0"/>
          <w:numId w:val="2"/>
        </w:numPr>
        <w:spacing w:after="40" w:before="40"/>
      </w:pPr>
      <w:r>
        <w:rPr>
          <w:color w:val="1a1a1a"/>
          <w:sz w:val="22"/>
          <w:szCs w:val="22"/>
        </w:rPr>
        <w:t xml:space="preserve"/>
      </w:r>
      <w:r>
        <w:rPr>
          <w:b/>
          <w:bCs/>
          <w:color w:val="1a1a1a"/>
          <w:sz w:val="22"/>
          <w:szCs w:val="22"/>
        </w:rPr>
        <w:t xml:space="preserve">Integration</w:t>
      </w:r>
      <w:r>
        <w:rPr>
          <w:color w:val="1a1a1a"/>
          <w:sz w:val="22"/>
          <w:szCs w:val="22"/>
        </w:rPr>
        <w:t xml:space="preserve"> — Call the verification endpoints from your backend. Full API documentation is available on the platform. Average integration time is 1–3 business days for a standard onboarding flow.</w:t>
      </w:r>
    </w:p>
    <w:p>
      <w:pPr>
        <w:pStyle w:val="ListParagraph"/>
        <w:numPr>
          <w:ilvl w:val="0"/>
          <w:numId w:val="2"/>
        </w:numPr>
        <w:spacing w:after="40" w:before="40"/>
      </w:pPr>
      <w:r>
        <w:rPr>
          <w:color w:val="1a1a1a"/>
          <w:sz w:val="22"/>
          <w:szCs w:val="22"/>
        </w:rPr>
        <w:t xml:space="preserve"/>
      </w:r>
      <w:r>
        <w:rPr>
          <w:b/>
          <w:bCs/>
          <w:color w:val="1a1a1a"/>
          <w:sz w:val="22"/>
          <w:szCs w:val="22"/>
        </w:rPr>
        <w:t xml:space="preserve">Go Live</w:t>
      </w:r>
      <w:r>
        <w:rPr>
          <w:color w:val="1a1a1a"/>
          <w:sz w:val="22"/>
          <w:szCs w:val="22"/>
        </w:rPr>
        <w:t xml:space="preserve"> — Webhook configuration for real-time result delivery is completed during integration. Cellion One's technical support team provides dedicated onboarding assistance.</w:t>
      </w:r>
    </w:p>
    <w:p>
      <w:pPr>
        <w:pBdr>
          <w:bottom w:val="single" w:color="1a5c3a" w:sz="4" w:space="4"/>
        </w:pBdr>
        <w:spacing w:after="120" w:before="320"/>
      </w:pPr>
      <w:r>
        <w:rPr>
          <w:b/>
          <w:bCs/>
          <w:color w:val="1a5c3a"/>
          <w:sz w:val="28"/>
          <w:szCs w:val="28"/>
        </w:rPr>
        <w:t xml:space="preserve">10.  CONTACT &amp; NEXT STEPS</w:t>
      </w:r>
    </w:p>
    <w:p>
      <w:pPr>
        <w:spacing w:after="80" w:before="80"/>
        <w:jc w:val="both"/>
      </w:pPr>
      <w:r>
        <w:rPr>
          <w:color w:val="1a1a1a"/>
          <w:sz w:val="22"/>
          <w:szCs w:val="22"/>
        </w:rPr>
        <w:t xml:space="preserve">To discuss a pilot programme, volume pricing, or a custom integration, please reach out to:</w:t>
      </w:r>
    </w:p>
    <w:p>
      <w:pPr>
        <w:spacing w:after="60" w:before="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500"/>
            <w:shd w:fill="1a5c3a" w:color="1a5c3a" w:val="solid"/>
            <w:tcMar>
              <w:top w:type="dxa" w:w="80"/>
              <w:left w:type="dxa" w:w="120"/>
              <w:bottom w:type="dxa" w:w="80"/>
              <w:right w:type="dxa" w:w="120"/>
            </w:tcMar>
          </w:tcPr>
          <w:p>
            <w:pPr>
              <w:spacing w:after="60" w:before="60"/>
            </w:pPr>
            <w:r>
              <w:rPr>
                <w:b/>
                <w:bCs/>
                <w:color w:val="FFFFFF"/>
                <w:sz w:val="20"/>
                <w:szCs w:val="20"/>
              </w:rPr>
              <w:t xml:space="preserve"/>
            </w:r>
          </w:p>
        </w:tc>
        <w:tc>
          <w:tcPr>
            <w:tcW w:type="dxa" w:w="6500"/>
            <w:shd w:fill="1a5c3a" w:color="1a5c3a" w:val="solid"/>
            <w:tcMar>
              <w:top w:type="dxa" w:w="80"/>
              <w:left w:type="dxa" w:w="120"/>
              <w:bottom w:type="dxa" w:w="80"/>
              <w:right w:type="dxa" w:w="120"/>
            </w:tcMar>
          </w:tcPr>
          <w:p>
            <w:pPr>
              <w:spacing w:after="60" w:before="60"/>
            </w:pPr>
            <w:r>
              <w:rPr>
                <w:b/>
                <w:bCs/>
                <w:color w:val="FFFFFF"/>
                <w:sz w:val="20"/>
                <w:szCs w:val="20"/>
              </w:rPr>
              <w:t xml:space="preserve"/>
            </w:r>
          </w:p>
        </w:tc>
      </w:tr>
      <w:tr>
        <w:tc>
          <w:tcPr>
            <w:tcW w:type="dxa" w:w="25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Platform</w:t>
            </w:r>
            <w:r>
              <w:rPr>
                <w:color w:val="1a1a1a"/>
                <w:sz w:val="20"/>
                <w:szCs w:val="20"/>
              </w:rPr>
              <w:t xml:space="preserve"/>
            </w:r>
          </w:p>
        </w:tc>
        <w:tc>
          <w:tcPr>
            <w:tcW w:type="dxa" w:w="6500"/>
            <w:tcMar>
              <w:top w:type="dxa" w:w="80"/>
              <w:left w:type="dxa" w:w="120"/>
              <w:bottom w:type="dxa" w:w="80"/>
              <w:right w:type="dxa" w:w="120"/>
            </w:tcMar>
          </w:tcPr>
          <w:p>
            <w:pPr>
              <w:spacing w:after="60" w:before="60"/>
            </w:pPr>
            <w:r>
              <w:rPr>
                <w:color w:val="1a1a1a"/>
                <w:sz w:val="20"/>
                <w:szCs w:val="20"/>
              </w:rPr>
              <w:t xml:space="preserve">Cellion One</w:t>
            </w:r>
          </w:p>
        </w:tc>
      </w:tr>
      <w:tr>
        <w:tc>
          <w:tcPr>
            <w:tcW w:type="dxa" w:w="25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Email</w:t>
            </w:r>
            <w:r>
              <w:rPr>
                <w:color w:val="1a1a1a"/>
                <w:sz w:val="20"/>
                <w:szCs w:val="20"/>
              </w:rPr>
              <w:t xml:space="preserve"/>
            </w:r>
          </w:p>
        </w:tc>
        <w:tc>
          <w:tcPr>
            <w:tcW w:type="dxa" w:w="6500"/>
            <w:shd w:fill="f0f7f3" w:color="f0f7f3" w:val="solid"/>
            <w:tcMar>
              <w:top w:type="dxa" w:w="80"/>
              <w:left w:type="dxa" w:w="120"/>
              <w:bottom w:type="dxa" w:w="80"/>
              <w:right w:type="dxa" w:w="120"/>
            </w:tcMar>
          </w:tcPr>
          <w:p>
            <w:pPr>
              <w:spacing w:after="60" w:before="60"/>
            </w:pPr>
            <w:r>
              <w:rPr>
                <w:color w:val="1a1a1a"/>
                <w:sz w:val="20"/>
                <w:szCs w:val="20"/>
              </w:rPr>
              <w:t xml:space="preserve">partnerships@cellionone.com</w:t>
            </w:r>
          </w:p>
        </w:tc>
      </w:tr>
      <w:tr>
        <w:tc>
          <w:tcPr>
            <w:tcW w:type="dxa" w:w="2500"/>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Web</w:t>
            </w:r>
            <w:r>
              <w:rPr>
                <w:color w:val="1a1a1a"/>
                <w:sz w:val="20"/>
                <w:szCs w:val="20"/>
              </w:rPr>
              <w:t xml:space="preserve"/>
            </w:r>
          </w:p>
        </w:tc>
        <w:tc>
          <w:tcPr>
            <w:tcW w:type="dxa" w:w="6500"/>
            <w:tcMar>
              <w:top w:type="dxa" w:w="80"/>
              <w:left w:type="dxa" w:w="120"/>
              <w:bottom w:type="dxa" w:w="80"/>
              <w:right w:type="dxa" w:w="120"/>
            </w:tcMar>
          </w:tcPr>
          <w:p>
            <w:pPr>
              <w:spacing w:after="60" w:before="60"/>
            </w:pPr>
            <w:r>
              <w:rPr>
                <w:color w:val="1a1a1a"/>
                <w:sz w:val="20"/>
                <w:szCs w:val="20"/>
              </w:rPr>
              <w:t xml:space="preserve">www.cellionone.com</w:t>
            </w:r>
          </w:p>
        </w:tc>
      </w:tr>
      <w:tr>
        <w:tc>
          <w:tcPr>
            <w:tcW w:type="dxa" w:w="2500"/>
            <w:shd w:fill="f0f7f3" w:color="f0f7f3" w:val="solid"/>
            <w:tcMar>
              <w:top w:type="dxa" w:w="80"/>
              <w:left w:type="dxa" w:w="120"/>
              <w:bottom w:type="dxa" w:w="80"/>
              <w:right w:type="dxa" w:w="120"/>
            </w:tcMar>
          </w:tcPr>
          <w:p>
            <w:pPr>
              <w:spacing w:after="60" w:before="60"/>
            </w:pPr>
            <w:r>
              <w:rPr>
                <w:color w:val="1a1a1a"/>
                <w:sz w:val="20"/>
                <w:szCs w:val="20"/>
              </w:rPr>
              <w:t xml:space="preserve"/>
            </w:r>
            <w:r>
              <w:rPr>
                <w:b/>
                <w:bCs/>
                <w:color w:val="1a1a1a"/>
                <w:sz w:val="20"/>
                <w:szCs w:val="20"/>
              </w:rPr>
              <w:t xml:space="preserve">API Documentation</w:t>
            </w:r>
            <w:r>
              <w:rPr>
                <w:color w:val="1a1a1a"/>
                <w:sz w:val="20"/>
                <w:szCs w:val="20"/>
              </w:rPr>
              <w:t xml:space="preserve"/>
            </w:r>
          </w:p>
        </w:tc>
        <w:tc>
          <w:tcPr>
            <w:tcW w:type="dxa" w:w="6500"/>
            <w:shd w:fill="f0f7f3" w:color="f0f7f3" w:val="solid"/>
            <w:tcMar>
              <w:top w:type="dxa" w:w="80"/>
              <w:left w:type="dxa" w:w="120"/>
              <w:bottom w:type="dxa" w:w="80"/>
              <w:right w:type="dxa" w:w="120"/>
            </w:tcMar>
          </w:tcPr>
          <w:p>
            <w:pPr>
              <w:spacing w:after="60" w:before="60"/>
            </w:pPr>
            <w:r>
              <w:rPr>
                <w:color w:val="1a1a1a"/>
                <w:sz w:val="20"/>
                <w:szCs w:val="20"/>
              </w:rPr>
              <w:t xml:space="preserve">www.cellionone.com/api-docs</w:t>
            </w:r>
          </w:p>
        </w:tc>
      </w:tr>
    </w:tbl>
    <w:p>
      <w:pPr>
        <w:spacing w:after="120" w:before="0"/>
      </w:pPr>
    </w:p>
    <w:p>
      <w:pPr>
        <w:pBdr>
          <w:top w:val="single" w:color="dddddd" w:sz="4" w:space="8"/>
        </w:pBdr>
        <w:spacing w:after="0" w:before="480"/>
        <w:jc w:val="center"/>
      </w:pPr>
      <w:r>
        <w:rPr>
          <w:i/>
          <w:iCs/>
          <w:color w:val="888888"/>
          <w:sz w:val="18"/>
          <w:szCs w:val="18"/>
        </w:rPr>
        <w:t xml:space="preserve">This proposal is confidential and intended solely for the named recipient. The pricing, capabilities, and specifications described herein are subject to change. Cellion One reserves the right to modify its service offering without notice.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c3a" w:sz="4" w:space="4"/>
      </w:pBdr>
      <w:jc w:val="center"/>
    </w:pPr>
    <w:r>
      <w:rPr>
        <w:color w:val="888888"/>
        <w:sz w:val="18"/>
        <w:szCs w:val="18"/>
      </w:rPr>
      <w:t xml:space="preserve">Cellion One  |  Verification as a Service Proposal  |  Confidential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rPr>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pPr>
    <w:rPr>
      <w:rFonts w:ascii="Calibri" w:cs="Calibri" w:eastAsia="Calibri" w:hAnsi="Calibri"/>
      <w:b/>
      <w:bCs/>
      <w:color w:val="1a5c3a"/>
      <w:sz w:val="36"/>
      <w:szCs w:val="36"/>
    </w:rPr>
  </w:style>
  <w:style w:type="paragraph" w:styleId="Heading2">
    <w:name w:val="Heading 2"/>
    <w:basedOn w:val="Normal"/>
    <w:next w:val="Normal"/>
    <w:pPr>
      <w:spacing w:after="120" w:before="320"/>
    </w:pPr>
    <w:rPr>
      <w:rFonts w:ascii="Calibri" w:cs="Calibri" w:eastAsia="Calibri" w:hAnsi="Calibri"/>
      <w:b/>
      <w:bCs/>
      <w:color w:val="1a5c3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2026-04-04T21:36:40.564Z</dcterms:created>
  <dcterms:modified xsi:type="dcterms:W3CDTF">2026-04-04T21:36:40.564Z</dcterms:modified>
</cp:coreProperties>
</file>

<file path=docProps/custom.xml><?xml version="1.0" encoding="utf-8"?>
<Properties xmlns="http://schemas.openxmlformats.org/officeDocument/2006/custom-properties" xmlns:vt="http://schemas.openxmlformats.org/officeDocument/2006/docPropsVTypes"/>
</file>