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6" w:type="default"/>
    </w:sectPr>
    <w:p>
      <w:pPr>
        <w:spacing w:lineRule="auto"/>
      </w:pPr>
      <w:r>
        <w:rPr/>
        <w:t xml:space="preserve"/>
      </w:r>
    </w:p>
    <w:p>
      <w:pPr>
        <w:pStyle w:val="Heading1"/>
        <w:jc w:val="center"/>
        <w:spacing w:lineRule="auto"/>
      </w:pPr>
      <w:r>
        <w:rPr>
          <w:color w:val="1a5c3a"/>
          <w:sz w:val="44"/>
        </w:rPr>
        <w:t xml:space="preserve">VERIFICATION AS A SERVICE</w:t>
      </w:r>
    </w:p>
    <w:p>
      <w:pPr>
        <w:pStyle w:val="Heading2"/>
        <w:jc w:val="center"/>
        <w:spacing w:lineRule="auto"/>
      </w:pPr>
      <w:r>
        <w:rPr>
          <w:color w:val="1a5c3a"/>
          <w:sz w:val="32"/>
        </w:rPr>
        <w:t xml:space="preserve">Service Capability Proposal</w:t>
      </w:r>
    </w:p>
    <w:p>
      <w:pPr>
        <w:jc w:val="center"/>
        <w:spacing w:lineRule="auto"/>
      </w:pPr>
      <w:r>
        <w:rPr>
          <w:color w:val="555555"/>
        </w:rPr>
        <w:t xml:space="preserve">Cellion One  |  Nigeria Legal &amp; Compliance Technology Platform</w:t>
      </w:r>
    </w:p>
    <w:p>
      <w:pPr>
        <w:jc w:val="center"/>
        <w:spacing w:lineRule="auto"/>
      </w:pPr>
      <w:r>
        <w:rPr>
          <w:color w:val="555555"/>
        </w:rPr>
        <w:t xml:space="preserve">Date: 4 April 2026  |  Version 1.0  |  Confidential</w:t>
      </w:r>
    </w:p>
    <w:p>
      <w:pPr>
        <w:pStyle w:val="Heading2"/>
        <w:spacing w:lineRule="auto"/>
      </w:pPr>
      <w:r>
        <w:rPr>
          <w:color w:val="1a5c3a"/>
        </w:rPr>
        <w:t xml:space="preserve">1. EXECUTIVE SUMMARY</w:t>
      </w:r>
    </w:p>
    <w:p>
      <w:pPr>
        <w:spacing w:lineRule="auto"/>
      </w:pPr>
      <w:r>
        <w:rPr/>
        <w:t xml:space="preserve">Cellion One is Nigeria's premier legal and compliance technology platform, offering a comprehensive </w:t>
      </w:r>
      <w:r>
        <w:rPr>
          <w:b/>
        </w:rPr>
        <w:t xml:space="preserve">Verification as a Service (VaaS)</w:t>
      </w:r>
      <w:r>
        <w:rPr/>
        <w:t xml:space="preserve"> suite that enables organisations, fintechs, lenders, recruiters, and government agencies to verify the identity of both </w:t>
      </w:r>
      <w:r>
        <w:rPr>
          <w:b/>
        </w:rPr>
        <w:t xml:space="preserve">individuals</w:t>
      </w:r>
      <w:r>
        <w:rPr/>
        <w:t xml:space="preserve"> and </w:t>
      </w:r>
      <w:r>
        <w:rPr>
          <w:b/>
        </w:rPr>
        <w:t xml:space="preserve">businesses</w:t>
      </w:r>
      <w:r>
        <w:rPr/>
        <w:t xml:space="preserve"> through a single, secure API integration.</w:t>
      </w:r>
    </w:p>
    <w:p>
      <w:pPr>
        <w:spacing w:lineRule="auto"/>
      </w:pPr>
      <w:r>
        <w:rPr/>
        <w:t xml:space="preserve">Our platform combines biometric verification, document authentication, AML/sanctions screening, and corporate registry data — all delivered in real time through a RESTful API secured by HMAC-hashed API keys. Verification sessions can be hosted entirely by Cellion One, requiring zero additional infrastructure from the consuming organisation.</w:t>
      </w:r>
    </w:p>
    <w:p>
      <w:pPr>
        <w:pStyle w:val="Heading2"/>
        <w:spacing w:lineRule="auto"/>
      </w:pPr>
      <w:r>
        <w:rPr>
          <w:color w:val="1a5c3a"/>
        </w:rPr>
        <w:t xml:space="preserve">2. THE PROBLEM WE SOLVE</w:t>
      </w:r>
    </w:p>
    <w:p>
      <w:pPr>
        <w:spacing w:lineRule="auto"/>
      </w:pPr>
      <w:r>
        <w:rPr/>
        <w:t xml:space="preserve">Nigerian organisations face several critical challenges when attempting to onboard customers or business partners:</w:t>
      </w:r>
    </w:p>
    <w:p>
      <w:pPr>
        <w:numPr>
          <w:ilvl w:val="0"/>
          <w:numId w:val="1"/>
        </w:numPr>
        <w:spacing w:lineRule="auto"/>
      </w:pPr>
      <w:r>
        <w:rPr>
          <w:b/>
        </w:rPr>
        <w:t xml:space="preserve">Identity fraud</w:t>
      </w:r>
      <w:r>
        <w:rPr/>
        <w:t xml:space="preserve"> — Falsified national IDs, forged CAC documents, and synthetic identities cause significant financial losses across sectors.</w:t>
      </w:r>
    </w:p>
    <w:p>
      <w:pPr>
        <w:numPr>
          <w:ilvl w:val="0"/>
          <w:numId w:val="1"/>
        </w:numPr>
        <w:spacing w:lineRule="auto"/>
      </w:pPr>
      <w:r>
        <w:rPr>
          <w:b/>
        </w:rPr>
        <w:t xml:space="preserve">Regulatory compliance burden</w:t>
      </w:r>
      <w:r>
        <w:rPr/>
        <w:t xml:space="preserve"> — KYC requirements from the CBN, NFIU, and SEC demand multi-layered verification that is costly to implement in-house.</w:t>
      </w:r>
    </w:p>
    <w:p>
      <w:pPr>
        <w:numPr>
          <w:ilvl w:val="0"/>
          <w:numId w:val="1"/>
        </w:numPr>
        <w:spacing w:lineRule="auto"/>
      </w:pPr>
      <w:r>
        <w:rPr>
          <w:b/>
        </w:rPr>
        <w:t xml:space="preserve">Fragmented data sources</w:t>
      </w:r>
      <w:r>
        <w:rPr/>
        <w:t xml:space="preserve"> — NIN, BVN, CAC, court records, and sanctions lists exist in disconnected silos, requiring multiple integrations.</w:t>
      </w:r>
    </w:p>
    <w:p>
      <w:pPr>
        <w:numPr>
          <w:ilvl w:val="0"/>
          <w:numId w:val="1"/>
        </w:numPr>
        <w:spacing w:lineRule="auto"/>
      </w:pPr>
      <w:r>
        <w:rPr>
          <w:b/>
        </w:rPr>
        <w:t xml:space="preserve">Manual document review</w:t>
      </w:r>
      <w:r>
        <w:rPr/>
        <w:t xml:space="preserve"> — Slow, error-prone, and unable to scale with digital onboarding volumes.</w:t>
      </w:r>
    </w:p>
    <w:p>
      <w:pPr>
        <w:spacing w:lineRule="auto"/>
      </w:pPr>
      <w:r>
        <w:rPr/>
        <w:t xml:space="preserve">Cellion One resolves all of these challenges through a single API call.</w:t>
      </w:r>
    </w:p>
    <w:p>
      <w:pPr>
        <w:pStyle w:val="Heading2"/>
        <w:spacing w:lineRule="auto"/>
      </w:pPr>
      <w:r>
        <w:rPr>
          <w:color w:val="1a5c3a"/>
        </w:rPr>
        <w:t xml:space="preserve">3. INDIVIDUAL VERIFICATION CAPABILITIES</w:t>
      </w:r>
    </w:p>
    <w:p>
      <w:pPr>
        <w:spacing w:lineRule="auto"/>
      </w:pPr>
      <w:r>
        <w:rPr/>
        <w:t xml:space="preserve">Our individual verification pipeline is a 4-step process powered by </w:t>
      </w:r>
      <w:r>
        <w:rPr>
          <w:b/>
        </w:rPr>
        <w:t xml:space="preserve">Smile ID</w:t>
      </w:r>
      <w:r>
        <w:rPr/>
        <w:t xml:space="preserve">, Nigeria's leading biometric infrastructure provider: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80"/>
        <w:tblCellMar>
          <w:top w:type="dxa" w:w="80"/>
          <w:bottom w:type="dxa" w:w="80"/>
          <w:left w:type="dxa" w:w="160"/>
          <w:right w:type="dxa" w:w="160"/>
        </w:tblCellMar>
        <w:jc w:val="center"/>
      </w:tblPr>
      <w:tblGrid>
        <w:gridCol w:w="2520"/>
        <w:gridCol w:w="2520"/>
        <w:gridCol w:w="2520"/>
        <w:gridCol w:w="2520"/>
      </w:tblGrid>
      <w:tr>
        <w:trPr>
          <w:cantSplit/>
        </w:trPr>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Step</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Verification Layer</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What Is Verified</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Data Sources</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Step 1</w:t>
            </w:r>
          </w:p>
        </w:tc>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Government ID Lookup</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Full name, date of birth, gender, and phone number cross-referenced against the NIMC and NIBSS databases. Confirms the BVN/NIN holder is real and the submitted details match.</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NIMC (NIN), NIBSS (BVN)</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Step 2</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Document Authentication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Optical and AI-powered validation of physical identity documents — National ID card, International Passport, Voter's Card, and Driver's Licence. Detects tampering, expiry, and forgery.</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Smile ID Document Verification</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Step 3</w:t>
            </w:r>
          </w:p>
        </w:tc>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Biometric / Liveness Check</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Real-time selfie-to-document face match using 3D liveness detection. Confirms the person submitting the document is physically present and matches the document photo. Prevents spoofing with printed photos or videos.</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Smile ID Biometric Engine</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Step 4</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AML &amp; Sanctions Screening</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Cross-checks the verified identity against OFAC, UN, EU, HM Treasury, and Nigerian NFIU watchlists. Produces a risk score and flags PEPs (Politically Exposed Persons) and adverse media mentions.</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Smile ID AML Module, NFIU Watchlist</w:t>
            </w:r>
          </w:p>
        </w:tc>
      </w:tr>
    </w:tbl>
    <w:p>
      <w:pPr>
        <w:spacing w:lineRule="auto"/>
      </w:pPr>
      <w:r>
        <w:rPr/>
      </w:r>
    </w:p>
    <w:p>
      <w:pPr>
        <w:pStyle w:val="Heading3"/>
        <w:spacing w:lineRule="auto"/>
      </w:pPr>
      <w:r>
        <w:rPr>
          <w:color w:val="2d7a54"/>
        </w:rPr>
        <w:t xml:space="preserve">3.1 Verified Identity Profile Store</w:t>
      </w:r>
    </w:p>
    <w:p>
      <w:pPr>
        <w:spacing w:lineRule="auto"/>
      </w:pPr>
      <w:r>
        <w:rPr/>
        <w:t xml:space="preserve">Once an individual completes verification, a </w:t>
      </w:r>
      <w:r>
        <w:rPr>
          <w:b/>
        </w:rPr>
        <w:t xml:space="preserve">Verified Identity Profile</w:t>
      </w:r>
      <w:r>
        <w:rPr/>
        <w:t xml:space="preserve"> is created and stored securely in the Cellion One platform (AES-256-GCM encrypted at rest). Consuming organisations can:</w:t>
      </w:r>
    </w:p>
    <w:p>
      <w:pPr>
        <w:numPr>
          <w:ilvl w:val="0"/>
          <w:numId w:val="2"/>
        </w:numPr>
        <w:spacing w:lineRule="auto"/>
      </w:pPr>
      <w:r>
        <w:rPr/>
        <w:t xml:space="preserve">Retrieve the verified profile via API on demand, without re-running verification.</w:t>
      </w:r>
    </w:p>
    <w:p>
      <w:pPr>
        <w:numPr>
          <w:ilvl w:val="0"/>
          <w:numId w:val="2"/>
        </w:numPr>
        <w:spacing w:lineRule="auto"/>
      </w:pPr>
      <w:r>
        <w:rPr/>
        <w:t xml:space="preserve">Request time-limited, revocable </w:t>
      </w:r>
      <w:r>
        <w:rPr>
          <w:b/>
        </w:rPr>
        <w:t xml:space="preserve">consent tokens</w:t>
      </w:r>
      <w:r>
        <w:rPr/>
        <w:t xml:space="preserve"> from the individual that authorise data sharing.</w:t>
      </w:r>
    </w:p>
    <w:p>
      <w:pPr>
        <w:numPr>
          <w:ilvl w:val="0"/>
          <w:numId w:val="2"/>
        </w:numPr>
        <w:spacing w:lineRule="auto"/>
      </w:pPr>
      <w:r>
        <w:rPr/>
        <w:t xml:space="preserve">Receive webhook notifications when a profile's verification status changes.</w:t>
      </w:r>
    </w:p>
    <w:p>
      <w:pPr>
        <w:pStyle w:val="Heading3"/>
        <w:spacing w:lineRule="auto"/>
      </w:pPr>
      <w:r>
        <w:rPr>
          <w:color w:val="2d7a54"/>
        </w:rPr>
        <w:t xml:space="preserve">3.2 Hosted Verification Sessions</w:t>
      </w:r>
    </w:p>
    <w:p>
      <w:pPr>
        <w:spacing w:lineRule="auto"/>
      </w:pPr>
      <w:r>
        <w:rPr/>
        <w:t xml:space="preserve">For organisations without mobile apps or complex frontend infrastructure, Cellion One provides a fully </w:t>
      </w:r>
      <w:r>
        <w:rPr>
          <w:b/>
        </w:rPr>
        <w:t xml:space="preserve">hosted verification journey</w:t>
      </w:r>
      <w:r>
        <w:rPr/>
        <w:t xml:space="preserve">. The consuming organisation simply generates a session URL via API; the individual completes all verification steps on Cellion One's secure interface, and results are delivered via webhook.</w:t>
      </w:r>
    </w:p>
    <w:p>
      <w:pPr>
        <w:pStyle w:val="Heading2"/>
        <w:spacing w:lineRule="auto"/>
      </w:pPr>
      <w:r>
        <w:rPr>
          <w:color w:val="1a5c3a"/>
        </w:rPr>
        <w:t xml:space="preserve">4. BUSINESS / CORPORATE VERIFICATION CAPABILITIES</w:t>
      </w:r>
    </w:p>
    <w:p>
      <w:pPr>
        <w:spacing w:lineRule="auto"/>
      </w:pPr>
      <w:r>
        <w:rPr/>
        <w:t xml:space="preserve">Cellion One's corporate KYC module verifies the legal existence, ownership structure, and compliance status of Nigerian-registered businesses: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80"/>
        <w:tblCellMar>
          <w:top w:type="dxa" w:w="80"/>
          <w:bottom w:type="dxa" w:w="80"/>
          <w:left w:type="dxa" w:w="160"/>
          <w:right w:type="dxa" w:w="160"/>
        </w:tblCellMar>
        <w:jc w:val="center"/>
      </w:tblPr>
      <w:tblGrid>
        <w:gridCol w:w="3360"/>
        <w:gridCol w:w="3360"/>
        <w:gridCol w:w="3360"/>
      </w:tblGrid>
      <w:tr>
        <w:trPr>
          <w:cantSplit/>
        </w:trPr>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Verification Layer</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What Is Verified</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Data Sources</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CAC Registration Check</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Confirms the company is duly registered with the Corporate Affairs Commission. Verifies RC number, company name, registration date, registered address, and current status (active / wound-up / dormant).</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Corporate Affairs Commission (CAC)</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Director &amp; Shareholder Verification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Each director and significant shareholder (≥5% beneficial ownership) is individually verified through the individual pipeline (Steps 1–4 above). UBO mapping is generated automatically.</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CAC Beneficial Ownership Register, Individual Pipeline</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Document Package Review</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AI-assisted review and authenticity checks for: Certificate of Incorporation, Memorandum &amp; Articles of Association, Status Report, Board Resolution, Tax Identification Number (TIN) certificate, and bank statements.</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FIRS (TIN), Uploaded Corporate Documents</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Corporate AML &amp; Sanctions Screening</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The entity name and all associated UBOs are screened against international and Nigerian sanctions lists. Adverse media monitoring flags relevant news and litigation records.</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OFAC, UN, EU, NFIU, Adverse Media</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Ongoing Monitoring</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Automated weekly re-screening of verified corporate entities and their UBOs against updated sanctions lists. Alerts are generated and delivered via webhook when status changes are detected.</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Continuous monitoring (platform-scheduled)</w:t>
            </w:r>
          </w:p>
        </w:tc>
      </w:tr>
    </w:tbl>
    <w:p>
      <w:pPr>
        <w:spacing w:lineRule="auto"/>
      </w:pPr>
      <w:r>
        <w:rPr/>
      </w:r>
    </w:p>
    <w:p>
      <w:pPr>
        <w:pStyle w:val="Heading2"/>
        <w:spacing w:lineRule="auto"/>
      </w:pPr>
      <w:r>
        <w:rPr>
          <w:color w:val="1a5c3a"/>
        </w:rPr>
        <w:t xml:space="preserve">5. API INTEGRATION OVERVIEW</w:t>
      </w:r>
    </w:p>
    <w:p>
      <w:pPr>
        <w:spacing w:lineRule="auto"/>
      </w:pPr>
      <w:r>
        <w:rPr/>
        <w:t xml:space="preserve">All verification services are exposed through Cellion One's secure public REST API. Integration requires a single API key with configurable permission scopes: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80"/>
        <w:tblCellMar>
          <w:top w:type="dxa" w:w="80"/>
          <w:bottom w:type="dxa" w:w="80"/>
          <w:left w:type="dxa" w:w="160"/>
          <w:right w:type="dxa" w:w="160"/>
        </w:tblCellMar>
        <w:jc w:val="center"/>
      </w:tblPr>
      <w:tblGrid>
        <w:gridCol w:w="3360"/>
        <w:gridCol w:w="3360"/>
        <w:gridCol w:w="3360"/>
      </w:tblGrid>
      <w:tr>
        <w:trPr>
          <w:cantSplit/>
        </w:trPr>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Endpoint</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Scope Required</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Description</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t xml:space="preserve">POST /api/v1/kyc/sessions</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kyc:write</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Create a hosted individual verification session. Returns a session URL to redirect the end-user to.</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GET /api/v1/kyc/sessions/:id</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kyc:read</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Retrieve the current status and results of a verification session.</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t xml:space="preserve">GET /api/v1/kyc/profiles/:id</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kyc:read</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Retrieve a stored Verified Identity Profile (individual or corporate).</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POST /api/v1/kyc/corporate</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kyc:write</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Initiate a full corporate KYC verification for a registered business.</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t xml:space="preserve">GET /api/v1/kyc/aml/report/:id</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kyc:aml</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Retrieve a detailed AML/sanctions screening report for an individual or entity.</w:t>
            </w:r>
          </w:p>
        </w:tc>
      </w:tr>
    </w:tbl>
    <w:p>
      <w:pPr>
        <w:spacing w:lineRule="auto"/>
      </w:pPr>
      <w:r>
        <w:rPr/>
      </w:r>
    </w:p>
    <w:p>
      <w:pPr>
        <w:pStyle w:val="Heading3"/>
        <w:spacing w:lineRule="auto"/>
      </w:pPr>
      <w:r>
        <w:rPr>
          <w:color w:val="2d7a54"/>
        </w:rPr>
        <w:t xml:space="preserve">5.1 Security &amp; Compliance</w:t>
      </w:r>
    </w:p>
    <w:p>
      <w:pPr>
        <w:numPr>
          <w:ilvl w:val="0"/>
          <w:numId w:val="3"/>
        </w:numPr>
        <w:spacing w:lineRule="auto"/>
      </w:pPr>
      <w:r>
        <w:rPr>
          <w:b/>
        </w:rPr>
        <w:t xml:space="preserve">API Key authentication</w:t>
      </w:r>
      <w:r>
        <w:rPr/>
        <w:t xml:space="preserve"> — Keys are SHA-256 hashed at rest; never stored in plaintext.</w:t>
      </w:r>
    </w:p>
    <w:p>
      <w:pPr>
        <w:numPr>
          <w:ilvl w:val="0"/>
          <w:numId w:val="3"/>
        </w:numPr>
        <w:spacing w:lineRule="auto"/>
      </w:pPr>
      <w:r>
        <w:rPr>
          <w:b/>
        </w:rPr>
        <w:t xml:space="preserve">Rate limiting</w:t>
      </w:r>
      <w:r>
        <w:rPr/>
        <w:t xml:space="preserve"> — 60 requests per minute per key; 200 requests per 15 minutes via network-layer controls.</w:t>
      </w:r>
    </w:p>
    <w:p>
      <w:pPr>
        <w:numPr>
          <w:ilvl w:val="0"/>
          <w:numId w:val="3"/>
        </w:numPr>
        <w:spacing w:lineRule="auto"/>
      </w:pPr>
      <w:r>
        <w:rPr>
          <w:b/>
        </w:rPr>
        <w:t xml:space="preserve">Data encryption</w:t>
      </w:r>
      <w:r>
        <w:rPr/>
        <w:t xml:space="preserve"> — All PII fields (NIN, BVN, biometric paths) encrypted with AES-256-GCM.</w:t>
      </w:r>
    </w:p>
    <w:p>
      <w:pPr>
        <w:numPr>
          <w:ilvl w:val="0"/>
          <w:numId w:val="3"/>
        </w:numPr>
        <w:spacing w:lineRule="auto"/>
      </w:pPr>
      <w:r>
        <w:rPr>
          <w:b/>
        </w:rPr>
        <w:t xml:space="preserve">NDPR compliant</w:t>
      </w:r>
      <w:r>
        <w:rPr/>
        <w:t xml:space="preserve"> — Consent-based data collection, purpose limitation, and data subject rights are built into the platform.</w:t>
      </w:r>
    </w:p>
    <w:p>
      <w:pPr>
        <w:numPr>
          <w:ilvl w:val="0"/>
          <w:numId w:val="3"/>
        </w:numPr>
        <w:spacing w:lineRule="auto"/>
      </w:pPr>
      <w:r>
        <w:rPr>
          <w:b/>
        </w:rPr>
        <w:t xml:space="preserve">Audit logging</w:t>
      </w:r>
      <w:r>
        <w:rPr/>
        <w:t xml:space="preserve"> — Every verification request, data access, and result delivery is immutably logged.</w:t>
      </w:r>
    </w:p>
    <w:p>
      <w:pPr>
        <w:numPr>
          <w:ilvl w:val="0"/>
          <w:numId w:val="3"/>
        </w:numPr>
        <w:spacing w:lineRule="auto"/>
      </w:pPr>
      <w:r>
        <w:rPr>
          <w:b/>
        </w:rPr>
        <w:t xml:space="preserve">TLS enforced</w:t>
      </w:r>
      <w:r>
        <w:rPr/>
        <w:t xml:space="preserve"> — All API traffic over HTTPS with HSTS (1-year max-age and preload).</w:t>
      </w:r>
    </w:p>
    <w:p>
      <w:pPr>
        <w:pStyle w:val="Heading2"/>
        <w:spacing w:lineRule="auto"/>
      </w:pPr>
      <w:r>
        <w:rPr>
          <w:color w:val="1a5c3a"/>
        </w:rPr>
        <w:t xml:space="preserve">6. USE CASES BY SECTOR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80"/>
        <w:tblCellMar>
          <w:top w:type="dxa" w:w="80"/>
          <w:bottom w:type="dxa" w:w="80"/>
          <w:left w:type="dxa" w:w="160"/>
          <w:right w:type="dxa" w:w="160"/>
        </w:tblCellMar>
        <w:jc w:val="center"/>
      </w:tblPr>
      <w:tblGrid>
        <w:gridCol w:w="3360"/>
        <w:gridCol w:w="3360"/>
        <w:gridCol w:w="3360"/>
      </w:tblGrid>
      <w:tr>
        <w:trPr>
          <w:cantSplit/>
        </w:trPr>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Sector</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Individual Verification Use</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Business Verification Use</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Fintech / Lending</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Customer onboarding KYC, loan applicant identity verification, BVN/NIN validation</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SME loan KYB, merchant onboarding, UBO checks</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Insurance</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Policy applicant verification, claims identity validation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Corporate client due diligence, broker/agent verification</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Real Estate</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Tenant screening, buyer identity checks for property transactions</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Developer verification, corporate landlord KYB</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HR &amp; Recruitment</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Pre-employment background checks, candidate identity screening</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Client company verification before placement</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Legal &amp; Compliance</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Client onboarding KYC for law firms and accountants</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Corporate due diligence for M&amp;A, AML reporting</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E-commerce &amp; Marketplaces</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Seller identity verification, high-value buyer authentication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Merchant onboarding, corporate seller KYB</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Government &amp; Regulated Entities</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Beneficiary identity checks, contractor verification</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Vendor registration checks, procurement KYB</w:t>
            </w:r>
          </w:p>
        </w:tc>
      </w:tr>
    </w:tbl>
    <w:p>
      <w:pPr>
        <w:spacing w:lineRule="auto"/>
      </w:pPr>
      <w:r>
        <w:rPr/>
      </w:r>
    </w:p>
    <w:p>
      <w:pPr>
        <w:pStyle w:val="Heading2"/>
        <w:spacing w:lineRule="auto"/>
      </w:pPr>
      <w:r>
        <w:rPr>
          <w:color w:val="1a5c3a"/>
        </w:rPr>
        <w:t xml:space="preserve">7. PLATFORM DIFFERENTIATORS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80"/>
        <w:tblCellMar>
          <w:top w:type="dxa" w:w="80"/>
          <w:bottom w:type="dxa" w:w="80"/>
          <w:left w:type="dxa" w:w="160"/>
          <w:right w:type="dxa" w:w="160"/>
        </w:tblCellMar>
        <w:jc w:val="center"/>
      </w:tblPr>
      <w:tblGrid>
        <w:gridCol w:w="5040"/>
        <w:gridCol w:w="5040"/>
      </w:tblGrid>
      <w:tr>
        <w:trPr>
          <w:cantSplit/>
        </w:trPr>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Feature</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Cellion One Advantage</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Single API, all verifications</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Individual, corporate, AML, and document checks through one integration — no need to manage multiple vendor contracts.</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Hosted sessions (zero frontend code)</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Generate a session URL, redirect the user — Cellion One handles the entire verification UX.</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Verified Profile Store</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Re-use verified identities across multiple checks. Reduces cost and friction for returning users.</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Consent-based data sharing</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Time-limited, revocable consent tokens ensure NDPR compliance and give individuals control over their data.</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Continuous AML monitoring</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Weekly automated re-screening means you are always alerted to new sanctions hits — not just at onboarding.</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b/>
              </w:rPr>
              <w:t xml:space="preserve">Nigeria-first data sources</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Direct integrations with NIMC, NIBSS, and CAC via Smile ID — built for the Nigerian regulatory environment.</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b/>
              </w:rPr>
              <w:t xml:space="preserve">STR Report Builder</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Structured Suspicious Transaction Reports can be generated directly from the platform and submitted to NFIU.</w:t>
            </w:r>
          </w:p>
        </w:tc>
      </w:tr>
    </w:tbl>
    <w:p>
      <w:pPr>
        <w:spacing w:lineRule="auto"/>
      </w:pPr>
      <w:r>
        <w:rPr/>
      </w:r>
    </w:p>
    <w:p>
      <w:pPr>
        <w:pStyle w:val="Heading2"/>
        <w:spacing w:lineRule="auto"/>
      </w:pPr>
      <w:r>
        <w:rPr>
          <w:color w:val="1a5c3a"/>
        </w:rPr>
        <w:t xml:space="preserve">8. PRICING MODEL</w:t>
      </w:r>
    </w:p>
    <w:p>
      <w:pPr>
        <w:spacing w:lineRule="auto"/>
      </w:pPr>
      <w:r>
        <w:rPr/>
        <w:t xml:space="preserve">Cellion One's VaaS offering is structured around a simple consumption-based model with optional monthly volume commitments: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80"/>
        <w:tblCellMar>
          <w:top w:type="dxa" w:w="80"/>
          <w:bottom w:type="dxa" w:w="80"/>
          <w:left w:type="dxa" w:w="160"/>
          <w:right w:type="dxa" w:w="160"/>
        </w:tblCellMar>
        <w:jc w:val="center"/>
      </w:tblPr>
      <w:tblGrid>
        <w:gridCol w:w="3360"/>
        <w:gridCol w:w="3360"/>
        <w:gridCol w:w="3360"/>
      </w:tblGrid>
      <w:tr>
        <w:trPr>
          <w:cantSplit/>
        </w:trPr>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Service</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Unit Price (NGN)</w:t>
            </w:r>
          </w:p>
        </w:tc>
        <w:tc>
          <w:tcPr>
            <w:shd w:val="clear" w:fill="1a5c3a"/>
            <w:tcBorders>
              <w:top w:val="single" w:sz="8" w:space="0" w:color="AAAAAA"/>
              <w:left w:val="single" w:sz="8" w:space="0" w:color="AAAAAA"/>
              <w:bottom w:val="single" w:sz="8" w:space="0" w:color="AAAAAA"/>
              <w:right w:val="single" w:sz="8" w:space="0" w:color="AAAAAA"/>
            </w:tcBorders>
          </w:tcPr>
          <w:p>
            <w:pPr>
              <w:spacing w:lineRule="auto"/>
            </w:pPr>
            <w:r>
              <w:rPr>
                <w:color w:val="ffffff"/>
              </w:rPr>
              <w:t xml:space="preserve">Notes</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t xml:space="preserve">BVN / NIN Lookup</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₦150 / check</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Per successful lookup</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Document Authentication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₦300 / document</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Includes AI forgery detection</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t xml:space="preserve">Biometric / Liveness Check</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₦400 / check</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Face match + liveness detection</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Full Individual KYC Bundle (Steps 1–4)</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₦1,200 / person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Discounted bundle vs. individual steps</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t xml:space="preserve">Corporate KYB Verification</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₦5,000 / entity</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Includes CAC check + up to 5 UBO verifications</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AML / Sanctions Screening</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₦500 / screen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Included in bundles; charged separately on-demand</w:t>
            </w:r>
          </w:p>
        </w:tc>
      </w:tr>
      <w:tr>
        <w:trPr>
          <w:cantSplit/>
        </w:trPr>
        <w:tc>
          <w:tcPr>
            <w:tcBorders>
              <w:top w:val="single" w:sz="8" w:space="0" w:color="AAAAAA"/>
              <w:left w:val="single" w:sz="8" w:space="0" w:color="AAAAAA"/>
              <w:bottom w:val="single" w:sz="8" w:space="0" w:color="AAAAAA"/>
              <w:right w:val="single" w:sz="8" w:space="0" w:color="AAAAAA"/>
            </w:tcBorders>
          </w:tcPr>
          <w:p>
            <w:pPr>
              <w:spacing w:lineRule="auto"/>
            </w:pPr>
            <w:r>
              <w:rPr/>
              <w:t xml:space="preserve">Ongoing Monthly AML Monitoring</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₦200 / profile / month</w:t>
            </w:r>
          </w:p>
        </w:tc>
        <w:tc>
          <w:tcPr>
            <w:tcBorders>
              <w:top w:val="single" w:sz="8" w:space="0" w:color="AAAAAA"/>
              <w:left w:val="single" w:sz="8" w:space="0" w:color="AAAAAA"/>
              <w:bottom w:val="single" w:sz="8" w:space="0" w:color="AAAAAA"/>
              <w:right w:val="single" w:sz="8" w:space="0" w:color="AAAAAA"/>
            </w:tcBorders>
          </w:tcPr>
          <w:p>
            <w:pPr>
              <w:spacing w:lineRule="auto"/>
            </w:pPr>
            <w:r>
              <w:rPr/>
              <w:t xml:space="preserve">Weekly automated re-screening</w:t>
            </w:r>
          </w:p>
        </w:tc>
      </w:tr>
      <w:tr>
        <w:trPr>
          <w:cantSplit/>
        </w:trPr>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Hosted Session (White-label UI)</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₦250 / session</w:t>
            </w:r>
          </w:p>
        </w:tc>
        <w:tc>
          <w:tcPr>
            <w:shd w:val="clear" w:fill="f5f9f6"/>
            <w:tcBorders>
              <w:top w:val="single" w:sz="8" w:space="0" w:color="AAAAAA"/>
              <w:left w:val="single" w:sz="8" w:space="0" w:color="AAAAAA"/>
              <w:bottom w:val="single" w:sz="8" w:space="0" w:color="AAAAAA"/>
              <w:right w:val="single" w:sz="8" w:space="0" w:color="AAAAAA"/>
            </w:tcBorders>
          </w:tcPr>
          <w:p>
            <w:pPr>
              <w:spacing w:lineRule="auto"/>
            </w:pPr>
            <w:r>
              <w:rPr/>
              <w:t xml:space="preserve">Additional to underlying check fees</w:t>
            </w:r>
          </w:p>
        </w:tc>
      </w:tr>
    </w:tbl>
    <w:p>
      <w:pPr>
        <w:spacing w:lineRule="auto"/>
      </w:pPr>
      <w:r>
        <w:rPr/>
      </w:r>
    </w:p>
    <w:p>
      <w:pPr>
        <w:spacing w:lineRule="auto"/>
      </w:pPr>
      <w:r>
        <w:rPr/>
        <w:t xml:space="preserve">Volume discounts of 15–30% are available for commitments exceeding 500 verifications per month. Enterprise pricing is available on request.</w:t>
      </w:r>
    </w:p>
    <w:p>
      <w:pPr>
        <w:pStyle w:val="Heading2"/>
        <w:spacing w:lineRule="auto"/>
      </w:pPr>
      <w:r>
        <w:rPr>
          <w:color w:val="1a5c3a"/>
        </w:rPr>
        <w:t xml:space="preserve">9. IMPLEMENTATION &amp; ONBOARDING</w:t>
      </w:r>
    </w:p>
    <w:p>
      <w:pPr>
        <w:spacing w:lineRule="auto"/>
      </w:pPr>
      <w:r>
        <w:rPr/>
        <w:t xml:space="preserve">Getting started with Cellion One VaaS is a straightforward 4-step process:</w:t>
      </w:r>
    </w:p>
    <w:p>
      <w:pPr>
        <w:numPr>
          <w:ilvl w:val="0"/>
          <w:numId w:val="4"/>
        </w:numPr>
        <w:spacing w:lineRule="auto"/>
      </w:pPr>
      <w:r>
        <w:rPr>
          <w:b/>
        </w:rPr>
        <w:t xml:space="preserve">Account Registration</w:t>
      </w:r>
      <w:r>
        <w:rPr/>
        <w:t xml:space="preserve"> — Register your organisation on the Cellion One platform and complete the KYB process for your entity (typically 24–48 hours).</w:t>
      </w:r>
    </w:p>
    <w:p>
      <w:pPr>
        <w:numPr>
          <w:ilvl w:val="0"/>
          <w:numId w:val="4"/>
        </w:numPr>
        <w:spacing w:lineRule="auto"/>
      </w:pPr>
      <w:r>
        <w:rPr>
          <w:b/>
        </w:rPr>
        <w:t xml:space="preserve">API Key Issuance</w:t>
      </w:r>
      <w:r>
        <w:rPr/>
        <w:t xml:space="preserve"> — Generate an API key with the required scopes from the developer dashboard. Keys are active immediately.</w:t>
      </w:r>
    </w:p>
    <w:p>
      <w:pPr>
        <w:numPr>
          <w:ilvl w:val="0"/>
          <w:numId w:val="4"/>
        </w:numPr>
        <w:spacing w:lineRule="auto"/>
      </w:pPr>
      <w:r>
        <w:rPr>
          <w:b/>
        </w:rPr>
        <w:t xml:space="preserve">Integration</w:t>
      </w:r>
      <w:r>
        <w:rPr/>
        <w:t xml:space="preserve"> — Call the verification endpoints from your backend. Full API documentation is available on the platform. Average integration time is 1–3 business days for a standard onboarding flow.</w:t>
      </w:r>
    </w:p>
    <w:p>
      <w:pPr>
        <w:numPr>
          <w:ilvl w:val="0"/>
          <w:numId w:val="4"/>
        </w:numPr>
        <w:spacing w:lineRule="auto"/>
      </w:pPr>
      <w:r>
        <w:rPr>
          <w:b/>
        </w:rPr>
        <w:t xml:space="preserve">Go Live</w:t>
      </w:r>
      <w:r>
        <w:rPr/>
        <w:t xml:space="preserve"> — Webhook configuration for real-time result delivery is completed during integration. Cellion One's technical support team provides dedicated onboarding assistance.</w:t>
      </w:r>
    </w:p>
    <w:p>
      <w:pPr>
        <w:pStyle w:val="Heading2"/>
        <w:spacing w:lineRule="auto"/>
      </w:pPr>
      <w:r>
        <w:rPr>
          <w:color w:val="1a5c3a"/>
        </w:rPr>
        <w:t xml:space="preserve">10. CONTACT &amp; NEXT STEPS</w:t>
      </w:r>
    </w:p>
    <w:p>
      <w:pPr>
        <w:spacing w:lineRule="auto"/>
      </w:pPr>
      <w:r>
        <w:rPr/>
        <w:t xml:space="preserve">To discuss a pilot programme, volume pricing, or a custom integration, please reach out to:</w:t>
      </w:r>
    </w:p>
    <w:p>
      <w:pPr>
        <w:numPr>
          <w:ilvl w:val="0"/>
          <w:numId w:val="5"/>
        </w:numPr>
        <w:spacing w:lineRule="auto"/>
      </w:pPr>
      <w:r>
        <w:rPr>
          <w:b/>
        </w:rPr>
        <w:t xml:space="preserve">Platform:</w:t>
      </w:r>
      <w:r>
        <w:rPr/>
        <w:t xml:space="preserve"> Cellion One</w:t>
      </w:r>
    </w:p>
    <w:p>
      <w:pPr>
        <w:numPr>
          <w:ilvl w:val="0"/>
          <w:numId w:val="5"/>
        </w:numPr>
        <w:spacing w:lineRule="auto"/>
      </w:pPr>
      <w:r>
        <w:rPr>
          <w:b/>
        </w:rPr>
        <w:t xml:space="preserve">Email:</w:t>
      </w:r>
      <w:r>
        <w:rPr/>
        <w:t xml:space="preserve"> partnerships@cellionone.com</w:t>
      </w:r>
    </w:p>
    <w:p>
      <w:pPr>
        <w:numPr>
          <w:ilvl w:val="0"/>
          <w:numId w:val="5"/>
        </w:numPr>
        <w:spacing w:lineRule="auto"/>
      </w:pPr>
      <w:r>
        <w:rPr>
          <w:b/>
        </w:rPr>
        <w:t xml:space="preserve">Web:</w:t>
      </w:r>
      <w:r>
        <w:rPr/>
        <w:t xml:space="preserve"> www.cellionone.com</w:t>
      </w:r>
    </w:p>
    <w:p>
      <w:pPr>
        <w:numPr>
          <w:ilvl w:val="0"/>
          <w:numId w:val="5"/>
        </w:numPr>
        <w:spacing w:lineRule="auto"/>
      </w:pPr>
      <w:r>
        <w:rPr>
          <w:b/>
        </w:rPr>
        <w:t xml:space="preserve">API Documentation:</w:t>
      </w:r>
      <w:r>
        <w:rPr/>
        <w:t xml:space="preserve"> www.cellionone.com/api-docs</w:t>
      </w:r>
    </w:p>
    <w:p>
      <w:pPr>
        <w:spacing w:lineRule="auto"/>
      </w:pPr>
      <w:r>
        <w:rPr>
          <w:color w:val="888888"/>
        </w:rPr>
        <w:t xml:space="preserve">This proposal is confidential and intended solely for the named recipient. The pricing, capabilities, and specifications described herein are subject to change. Cellion One reserves the right to modify its service offering without notice.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Cellion One – Verification as a Service Proposal</dc:title>
  <dc:subject>VaaS Service Capability Proposal</dc:subject>
  <dc:creator>Cellion One</dc:creator>
  <cp:keywords>html-to-docx</cp:keywords>
  <dc:description>Verification as a Service – capability and pricing proposal</dc:description>
  <cp:lastModifiedBy>html-to-docx</cp:lastModifiedBy>
  <cp:revision>1</cp:revision>
  <dcterms:created xsi:type="dcterms:W3CDTF">2026-04-04T19:58:33.761Z</dcterms:created>
  <dcterms:modified xsi:type="dcterms:W3CDTF">2026-04-04T19:58:33.761Z</dcterms:modified>
</cp:coreProperties>
</file>