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footer+xml" PartName="/word/footer46.xml"/>
  <Override ContentType="application/vnd.openxmlformats-officedocument.wordprocessingml.header+xml" PartName="/word/header47.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footer+xml" PartName="/word/footer49.xml"/>
  <Override ContentType="application/vnd.openxmlformats-officedocument.wordprocessingml.header+xml" PartName="/word/header50.xml"/>
  <Override ContentType="application/vnd.openxmlformats-officedocument.wordprocessingml.footer+xml" PartName="/word/footer50.xml"/>
  <Override ContentType="application/vnd.openxmlformats-officedocument.wordprocessingml.header+xml" PartName="/word/header51.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footer+xml" PartName="/word/footer52.xml"/>
  <Override ContentType="application/vnd.openxmlformats-officedocument.wordprocessingml.header+xml" PartName="/word/header53.xml"/>
  <Override ContentType="application/vnd.openxmlformats-officedocument.wordprocessingml.footer+xml" PartName="/word/footer53.xml"/>
  <Override ContentType="application/vnd.openxmlformats-officedocument.wordprocessingml.header+xml" PartName="/word/header54.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footer+xml" PartName="/word/footer55.xml"/>
  <Override ContentType="application/vnd.openxmlformats-officedocument.wordprocessingml.header+xml" PartName="/word/header56.xml"/>
  <Override ContentType="application/vnd.openxmlformats-officedocument.wordprocessingml.footer+xml" PartName="/word/footer5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238250" cy="1238250"/>
                    </a:xfrm>
                    <a:prstGeom prst="rect">
                      <a:avLst/>
                    </a:prstGeom>
                  </pic:spPr>
                </pic:pic>
              </a:graphicData>
            </a:graphic>
          </wp:inline>
        </w:drawing>
      </w:r>
    </w:p>
    <w:p>
      <w:pPr>
        <w:spacing w:before="500"/>
        <w:jc w:val="center"/>
      </w:pPr>
      <w:r>
        <w:rPr>
          <w:rFonts w:ascii="Cambria" w:cs="Cambria" w:eastAsia="Cambria" w:hAnsi="Cambria"/>
          <w:b/>
          <w:bCs/>
          <w:color w:val="0B1120"/>
          <w:sz w:val="72"/>
          <w:szCs w:val="72"/>
        </w:rPr>
        <w:t xml:space="preserve">CELOHT</w:t>
      </w:r>
    </w:p>
    <w:p>
      <w:pPr>
        <w:spacing w:before="200"/>
        <w:jc w:val="center"/>
      </w:pPr>
      <w:r>
        <w:rPr>
          <w:rFonts w:ascii="Cambria" w:cs="Cambria" w:eastAsia="Cambria" w:hAnsi="Cambria"/>
          <w:color w:val="333333"/>
          <w:sz w:val="30"/>
          <w:szCs w:val="30"/>
        </w:rPr>
        <w:t xml:space="preserve">Building Financial Inclusion Through Open Source,</w:t>
      </w:r>
    </w:p>
    <w:p>
      <w:pPr>
        <w:jc w:val="center"/>
      </w:pPr>
      <w:r>
        <w:rPr>
          <w:rFonts w:ascii="Cambria" w:cs="Cambria" w:eastAsia="Cambria" w:hAnsi="Cambria"/>
          <w:color w:val="333333"/>
          <w:sz w:val="30"/>
          <w:szCs w:val="30"/>
        </w:rPr>
        <w:t xml:space="preserve">Community Education, and Regenerative Impact</w:t>
      </w:r>
    </w:p>
    <w:p>
      <w:pPr>
        <w:pBdr>
          <w:top w:val="single" w:color="F5C842" w:sz="12" w:space="12"/>
        </w:pBdr>
        <w:spacing w:before="500"/>
        <w:jc w:val="center"/>
      </w:pPr>
    </w:p>
    <w:p>
      <w:pPr>
        <w:spacing w:before="300"/>
        <w:jc w:val="center"/>
      </w:pPr>
      <w:r>
        <w:rPr>
          <w:rFonts w:ascii="Calibri" w:cs="Calibri" w:eastAsia="Calibri" w:hAnsi="Calibri"/>
          <w:b/>
          <w:bCs/>
          <w:color w:val="C79A1E"/>
          <w:spacing w:val="20"/>
          <w:sz w:val="24"/>
          <w:szCs w:val="24"/>
        </w:rPr>
        <w:t xml:space="preserve">THE OFFICIAL INVESTOR &amp; OPEN SOURCE PROJECT BOOK</w:t>
      </w:r>
    </w:p>
    <w:p>
      <w:pPr>
        <w:spacing w:before="3200"/>
        <w:jc w:val="center"/>
      </w:pPr>
      <w:r>
        <w:rPr>
          <w:rFonts w:ascii="Calibri" w:cs="Calibri" w:eastAsia="Calibri" w:hAnsi="Calibri"/>
          <w:color w:val="555555"/>
          <w:sz w:val="22"/>
          <w:szCs w:val="22"/>
        </w:rPr>
        <w:t xml:space="preserve">Léogâne, Haiti</w:t>
      </w:r>
    </w:p>
    <w:p>
      <w:pPr>
        <w:jc w:val="center"/>
      </w:pPr>
      <w:r>
        <w:rPr>
          <w:rFonts w:ascii="Calibri" w:cs="Calibri" w:eastAsia="Calibri" w:hAnsi="Calibri"/>
          <w:color w:val="555555"/>
          <w:sz w:val="22"/>
          <w:szCs w:val="22"/>
        </w:rPr>
        <w:t xml:space="preserve">2026</w:t>
      </w:r>
    </w:p>
    <w:p>
      <w:pPr>
        <w:sectPr>
          <w:pgSz w:w="12240" w:h="15840" w:orient="portrait"/>
          <w:pgMar w:top="0" w:right="0" w:bottom="0" w:left="0" w:header="708" w:footer="708" w:gutter="0"/>
          <w:pgNumType/>
          <w:docGrid w:linePitch="360"/>
        </w:sectPr>
      </w:pPr>
    </w:p>
    <w:p>
      <w:pPr>
        <w:spacing w:after="200" w:line="300"/>
        <w:jc w:val="left"/>
      </w:pPr>
      <w:r>
        <w:rPr>
          <w:rFonts w:ascii="Calibri" w:cs="Calibri" w:eastAsia="Calibri" w:hAnsi="Calibri"/>
          <w:b w:val="false"/>
          <w:bCs w:val="false"/>
          <w:i w:val="false"/>
          <w:iCs w:val="false"/>
          <w:color w:val="1A1A1A"/>
          <w:sz w:val="22"/>
          <w:szCs w:val="22"/>
        </w:rPr>
        <w:t xml:space="preserve">© 2026 CeloHT. This document is published under an open documentation policy consistent with CeloHT's commitment to transparency. Portions of this work may be reproduced for research, journalistic, and evaluative purposes with attribution to CeloHT.</w:t>
      </w:r>
    </w:p>
    <w:p>
      <w:pPr>
        <w:spacing w:after="200" w:line="300"/>
        <w:jc w:val="left"/>
      </w:pPr>
      <w:r>
        <w:rPr>
          <w:rFonts w:ascii="Calibri" w:cs="Calibri" w:eastAsia="Calibri" w:hAnsi="Calibri"/>
          <w:b w:val="false"/>
          <w:bCs w:val="false"/>
          <w:i w:val="false"/>
          <w:iCs w:val="false"/>
          <w:color w:val="1A1A1A"/>
          <w:sz w:val="22"/>
          <w:szCs w:val="22"/>
        </w:rPr>
        <w:t xml:space="preserve">CeloHT is an open-source, community-driven financial inclusion and education initiative built on the Celo blockchain, based in Léogâne, Haiti. CeloHT is not a token, a cryptocurrency, or a decentralized finance protocol. It is an educational and infrastructural initiative that uses existing, regulated digital-payment rails, principally the USDm stablecoin (formerly known as cUSD, renamed by Mento Labs in December 2025) and the Valora wallet, to teach digital financial literacy and expand access to low-cost financial tools.</w:t>
      </w:r>
    </w:p>
    <w:p>
      <w:r>
        <w:br w:type="page"/>
      </w:r>
    </w:p>
    <w:p>
      <w:pPr>
        <w:pStyle w:val="Heading1"/>
        <w:pBdr>
          <w:bottom w:val="single" w:color="0B1120" w:sz="6" w:space="8"/>
        </w:pBdr>
        <w:spacing w:after="260" w:before="200"/>
      </w:pPr>
      <w:r>
        <w:rPr>
          <w:rFonts w:ascii="Cambria" w:cs="Cambria" w:eastAsia="Cambria" w:hAnsi="Cambria"/>
          <w:b/>
          <w:bCs/>
          <w:color w:val="0B1120"/>
          <w:sz w:val="40"/>
          <w:szCs w:val="40"/>
        </w:rPr>
        <w:t xml:space="preserve">Table of Contents</w:t>
      </w:r>
    </w:p>
    <w:p>
      <w:pPr>
        <w:spacing w:after="100" w:before="220"/>
      </w:pPr>
      <w:r>
        <w:rPr>
          <w:rFonts w:ascii="Cambria" w:cs="Cambria" w:eastAsia="Cambria" w:hAnsi="Cambria"/>
          <w:b/>
          <w:bCs/>
          <w:caps/>
          <w:color w:val="0B1120"/>
          <w:sz w:val="21"/>
          <w:szCs w:val="21"/>
        </w:rPr>
        <w:t xml:space="preserve">Front Matter</w:t>
      </w:r>
    </w:p>
    <w:p>
      <w:pPr>
        <w:tabs>
          <w:tab w:val="right" w:pos="9026" w:leader="dot"/>
        </w:tabs>
        <w:spacing w:after="130"/>
        <w:ind/>
      </w:pPr>
      <w:r>
        <w:rPr>
          <w:rFonts w:ascii="Calibri" w:cs="Calibri" w:eastAsia="Calibri" w:hAnsi="Calibri"/>
          <w:color w:val="1A1A1A"/>
          <w:sz w:val="20"/>
          <w:szCs w:val="20"/>
        </w:rPr>
        <w:t xml:space="preserve">Foreword</w:t>
      </w:r>
      <w:r>
        <w:rPr>
          <w:rFonts w:ascii="Calibri" w:cs="Calibri" w:eastAsia="Calibri" w:hAnsi="Calibri"/>
          <w:color w:val="1A1A1A"/>
          <w:sz w:val="20"/>
          <w:szCs w:val="20"/>
        </w:rPr>
        <w:t xml:space="preserve">	6</w:t>
      </w:r>
    </w:p>
    <w:p>
      <w:pPr>
        <w:tabs>
          <w:tab w:val="right" w:pos="9026" w:leader="dot"/>
        </w:tabs>
        <w:spacing w:after="130"/>
        <w:ind/>
      </w:pPr>
      <w:r>
        <w:rPr>
          <w:rFonts w:ascii="Calibri" w:cs="Calibri" w:eastAsia="Calibri" w:hAnsi="Calibri"/>
          <w:color w:val="1A1A1A"/>
          <w:sz w:val="20"/>
          <w:szCs w:val="20"/>
        </w:rPr>
        <w:t xml:space="preserve">Letter from the Founder</w:t>
      </w:r>
      <w:r>
        <w:rPr>
          <w:rFonts w:ascii="Calibri" w:cs="Calibri" w:eastAsia="Calibri" w:hAnsi="Calibri"/>
          <w:color w:val="1A1A1A"/>
          <w:sz w:val="20"/>
          <w:szCs w:val="20"/>
        </w:rPr>
        <w:t xml:space="preserve">	7</w:t>
      </w:r>
    </w:p>
    <w:p>
      <w:pPr>
        <w:tabs>
          <w:tab w:val="right" w:pos="9026" w:leader="dot"/>
        </w:tabs>
        <w:spacing w:after="130"/>
        <w:ind/>
      </w:pPr>
      <w:r>
        <w:rPr>
          <w:rFonts w:ascii="Calibri" w:cs="Calibri" w:eastAsia="Calibri" w:hAnsi="Calibri"/>
          <w:color w:val="1A1A1A"/>
          <w:sz w:val="20"/>
          <w:szCs w:val="20"/>
        </w:rPr>
        <w:t xml:space="preserve">Executive Summary</w:t>
      </w:r>
      <w:r>
        <w:rPr>
          <w:rFonts w:ascii="Calibri" w:cs="Calibri" w:eastAsia="Calibri" w:hAnsi="Calibri"/>
          <w:color w:val="1A1A1A"/>
          <w:sz w:val="20"/>
          <w:szCs w:val="20"/>
        </w:rPr>
        <w:t xml:space="preserve">	8</w:t>
      </w:r>
    </w:p>
    <w:p>
      <w:pPr>
        <w:spacing w:after="100" w:before="220"/>
      </w:pPr>
      <w:r>
        <w:rPr>
          <w:rFonts w:ascii="Cambria" w:cs="Cambria" w:eastAsia="Cambria" w:hAnsi="Cambria"/>
          <w:b/>
          <w:bCs/>
          <w:caps/>
          <w:color w:val="0B1120"/>
          <w:sz w:val="21"/>
          <w:szCs w:val="21"/>
        </w:rPr>
        <w:t xml:space="preserve">Part I: Foundations</w:t>
      </w:r>
    </w:p>
    <w:p>
      <w:pPr>
        <w:tabs>
          <w:tab w:val="right" w:pos="9026" w:leader="dot"/>
        </w:tabs>
        <w:spacing w:after="130"/>
        <w:ind/>
      </w:pPr>
      <w:r>
        <w:rPr>
          <w:rFonts w:ascii="Calibri" w:cs="Calibri" w:eastAsia="Calibri" w:hAnsi="Calibri"/>
          <w:b/>
          <w:bCs/>
          <w:color w:val="C79A1E"/>
          <w:sz w:val="20"/>
          <w:szCs w:val="20"/>
        </w:rPr>
        <w:t xml:space="preserve">4  </w:t>
      </w:r>
      <w:r>
        <w:rPr>
          <w:rFonts w:ascii="Calibri" w:cs="Calibri" w:eastAsia="Calibri" w:hAnsi="Calibri"/>
          <w:color w:val="1A1A1A"/>
          <w:sz w:val="20"/>
          <w:szCs w:val="20"/>
        </w:rPr>
        <w:t xml:space="preserve">The Story Behind CeloHT</w:t>
      </w:r>
      <w:r>
        <w:rPr>
          <w:rFonts w:ascii="Calibri" w:cs="Calibri" w:eastAsia="Calibri" w:hAnsi="Calibri"/>
          <w:color w:val="1A1A1A"/>
          <w:sz w:val="20"/>
          <w:szCs w:val="20"/>
        </w:rPr>
        <w:t xml:space="preserve">	9</w:t>
      </w:r>
    </w:p>
    <w:p>
      <w:pPr>
        <w:tabs>
          <w:tab w:val="right" w:pos="9026" w:leader="dot"/>
        </w:tabs>
        <w:spacing w:after="130"/>
        <w:ind/>
      </w:pPr>
      <w:r>
        <w:rPr>
          <w:rFonts w:ascii="Calibri" w:cs="Calibri" w:eastAsia="Calibri" w:hAnsi="Calibri"/>
          <w:b/>
          <w:bCs/>
          <w:color w:val="C79A1E"/>
          <w:sz w:val="20"/>
          <w:szCs w:val="20"/>
        </w:rPr>
        <w:t xml:space="preserve">5  </w:t>
      </w:r>
      <w:r>
        <w:rPr>
          <w:rFonts w:ascii="Calibri" w:cs="Calibri" w:eastAsia="Calibri" w:hAnsi="Calibri"/>
          <w:color w:val="1A1A1A"/>
          <w:sz w:val="20"/>
          <w:szCs w:val="20"/>
        </w:rPr>
        <w:t xml:space="preserve">The Problems We Are Solving</w:t>
      </w:r>
      <w:r>
        <w:rPr>
          <w:rFonts w:ascii="Calibri" w:cs="Calibri" w:eastAsia="Calibri" w:hAnsi="Calibri"/>
          <w:color w:val="1A1A1A"/>
          <w:sz w:val="20"/>
          <w:szCs w:val="20"/>
        </w:rPr>
        <w:t xml:space="preserve">	10</w:t>
      </w:r>
    </w:p>
    <w:p>
      <w:pPr>
        <w:tabs>
          <w:tab w:val="right" w:pos="9026" w:leader="dot"/>
        </w:tabs>
        <w:spacing w:after="130"/>
        <w:ind/>
      </w:pPr>
      <w:r>
        <w:rPr>
          <w:rFonts w:ascii="Calibri" w:cs="Calibri" w:eastAsia="Calibri" w:hAnsi="Calibri"/>
          <w:b/>
          <w:bCs/>
          <w:color w:val="C79A1E"/>
          <w:sz w:val="20"/>
          <w:szCs w:val="20"/>
        </w:rPr>
        <w:t xml:space="preserve">6  </w:t>
      </w:r>
      <w:r>
        <w:rPr>
          <w:rFonts w:ascii="Calibri" w:cs="Calibri" w:eastAsia="Calibri" w:hAnsi="Calibri"/>
          <w:color w:val="1A1A1A"/>
          <w:sz w:val="20"/>
          <w:szCs w:val="20"/>
        </w:rPr>
        <w:t xml:space="preserve">Why Haiti Needs This Project</w:t>
      </w:r>
      <w:r>
        <w:rPr>
          <w:rFonts w:ascii="Calibri" w:cs="Calibri" w:eastAsia="Calibri" w:hAnsi="Calibri"/>
          <w:color w:val="1A1A1A"/>
          <w:sz w:val="20"/>
          <w:szCs w:val="20"/>
        </w:rPr>
        <w:t xml:space="preserve">	12</w:t>
      </w:r>
    </w:p>
    <w:p>
      <w:pPr>
        <w:tabs>
          <w:tab w:val="right" w:pos="9026" w:leader="dot"/>
        </w:tabs>
        <w:spacing w:after="130"/>
        <w:ind/>
      </w:pPr>
      <w:r>
        <w:rPr>
          <w:rFonts w:ascii="Calibri" w:cs="Calibri" w:eastAsia="Calibri" w:hAnsi="Calibri"/>
          <w:b/>
          <w:bCs/>
          <w:color w:val="C79A1E"/>
          <w:sz w:val="20"/>
          <w:szCs w:val="20"/>
        </w:rPr>
        <w:t xml:space="preserve">7  </w:t>
      </w:r>
      <w:r>
        <w:rPr>
          <w:rFonts w:ascii="Calibri" w:cs="Calibri" w:eastAsia="Calibri" w:hAnsi="Calibri"/>
          <w:color w:val="1A1A1A"/>
          <w:sz w:val="20"/>
          <w:szCs w:val="20"/>
        </w:rPr>
        <w:t xml:space="preserve">Why Financial Inclusion Matters</w:t>
      </w:r>
      <w:r>
        <w:rPr>
          <w:rFonts w:ascii="Calibri" w:cs="Calibri" w:eastAsia="Calibri" w:hAnsi="Calibri"/>
          <w:color w:val="1A1A1A"/>
          <w:sz w:val="20"/>
          <w:szCs w:val="20"/>
        </w:rPr>
        <w:t xml:space="preserve">	13</w:t>
      </w:r>
    </w:p>
    <w:p>
      <w:pPr>
        <w:tabs>
          <w:tab w:val="right" w:pos="9026" w:leader="dot"/>
        </w:tabs>
        <w:spacing w:after="130"/>
        <w:ind/>
      </w:pPr>
      <w:r>
        <w:rPr>
          <w:rFonts w:ascii="Calibri" w:cs="Calibri" w:eastAsia="Calibri" w:hAnsi="Calibri"/>
          <w:b/>
          <w:bCs/>
          <w:color w:val="C79A1E"/>
          <w:sz w:val="20"/>
          <w:szCs w:val="20"/>
        </w:rPr>
        <w:t xml:space="preserve">8  </w:t>
      </w:r>
      <w:r>
        <w:rPr>
          <w:rFonts w:ascii="Calibri" w:cs="Calibri" w:eastAsia="Calibri" w:hAnsi="Calibri"/>
          <w:color w:val="1A1A1A"/>
          <w:sz w:val="20"/>
          <w:szCs w:val="20"/>
        </w:rPr>
        <w:t xml:space="preserve">Why Celo Blockchain</w:t>
      </w:r>
      <w:r>
        <w:rPr>
          <w:rFonts w:ascii="Calibri" w:cs="Calibri" w:eastAsia="Calibri" w:hAnsi="Calibri"/>
          <w:color w:val="1A1A1A"/>
          <w:sz w:val="20"/>
          <w:szCs w:val="20"/>
        </w:rPr>
        <w:t xml:space="preserve">	14</w:t>
      </w:r>
    </w:p>
    <w:p>
      <w:pPr>
        <w:tabs>
          <w:tab w:val="right" w:pos="9026" w:leader="dot"/>
        </w:tabs>
        <w:spacing w:after="130"/>
        <w:ind/>
      </w:pPr>
      <w:r>
        <w:rPr>
          <w:rFonts w:ascii="Calibri" w:cs="Calibri" w:eastAsia="Calibri" w:hAnsi="Calibri"/>
          <w:b/>
          <w:bCs/>
          <w:color w:val="C79A1E"/>
          <w:sz w:val="20"/>
          <w:szCs w:val="20"/>
        </w:rPr>
        <w:t xml:space="preserve">9  </w:t>
      </w:r>
      <w:r>
        <w:rPr>
          <w:rFonts w:ascii="Calibri" w:cs="Calibri" w:eastAsia="Calibri" w:hAnsi="Calibri"/>
          <w:color w:val="1A1A1A"/>
          <w:sz w:val="20"/>
          <w:szCs w:val="20"/>
        </w:rPr>
        <w:t xml:space="preserve">Our Mission</w:t>
      </w:r>
      <w:r>
        <w:rPr>
          <w:rFonts w:ascii="Calibri" w:cs="Calibri" w:eastAsia="Calibri" w:hAnsi="Calibri"/>
          <w:color w:val="1A1A1A"/>
          <w:sz w:val="20"/>
          <w:szCs w:val="20"/>
        </w:rPr>
        <w:t xml:space="preserve">	16</w:t>
      </w:r>
    </w:p>
    <w:p>
      <w:pPr>
        <w:tabs>
          <w:tab w:val="right" w:pos="9026" w:leader="dot"/>
        </w:tabs>
        <w:spacing w:after="130"/>
        <w:ind/>
      </w:pPr>
      <w:r>
        <w:rPr>
          <w:rFonts w:ascii="Calibri" w:cs="Calibri" w:eastAsia="Calibri" w:hAnsi="Calibri"/>
          <w:b/>
          <w:bCs/>
          <w:color w:val="C79A1E"/>
          <w:sz w:val="20"/>
          <w:szCs w:val="20"/>
        </w:rPr>
        <w:t xml:space="preserve">10  </w:t>
      </w:r>
      <w:r>
        <w:rPr>
          <w:rFonts w:ascii="Calibri" w:cs="Calibri" w:eastAsia="Calibri" w:hAnsi="Calibri"/>
          <w:color w:val="1A1A1A"/>
          <w:sz w:val="20"/>
          <w:szCs w:val="20"/>
        </w:rPr>
        <w:t xml:space="preserve">Our Vision</w:t>
      </w:r>
      <w:r>
        <w:rPr>
          <w:rFonts w:ascii="Calibri" w:cs="Calibri" w:eastAsia="Calibri" w:hAnsi="Calibri"/>
          <w:color w:val="1A1A1A"/>
          <w:sz w:val="20"/>
          <w:szCs w:val="20"/>
        </w:rPr>
        <w:t xml:space="preserve">	17</w:t>
      </w:r>
    </w:p>
    <w:p>
      <w:pPr>
        <w:tabs>
          <w:tab w:val="right" w:pos="9026" w:leader="dot"/>
        </w:tabs>
        <w:spacing w:after="130"/>
        <w:ind/>
      </w:pPr>
      <w:r>
        <w:rPr>
          <w:rFonts w:ascii="Calibri" w:cs="Calibri" w:eastAsia="Calibri" w:hAnsi="Calibri"/>
          <w:b/>
          <w:bCs/>
          <w:color w:val="C79A1E"/>
          <w:sz w:val="20"/>
          <w:szCs w:val="20"/>
        </w:rPr>
        <w:t xml:space="preserve">11  </w:t>
      </w:r>
      <w:r>
        <w:rPr>
          <w:rFonts w:ascii="Calibri" w:cs="Calibri" w:eastAsia="Calibri" w:hAnsi="Calibri"/>
          <w:color w:val="1A1A1A"/>
          <w:sz w:val="20"/>
          <w:szCs w:val="20"/>
        </w:rPr>
        <w:t xml:space="preserve">Core Values</w:t>
      </w:r>
      <w:r>
        <w:rPr>
          <w:rFonts w:ascii="Calibri" w:cs="Calibri" w:eastAsia="Calibri" w:hAnsi="Calibri"/>
          <w:color w:val="1A1A1A"/>
          <w:sz w:val="20"/>
          <w:szCs w:val="20"/>
        </w:rPr>
        <w:t xml:space="preserve">	18</w:t>
      </w:r>
    </w:p>
    <w:p>
      <w:pPr>
        <w:tabs>
          <w:tab w:val="right" w:pos="9026" w:leader="dot"/>
        </w:tabs>
        <w:spacing w:after="130"/>
        <w:ind/>
      </w:pPr>
      <w:r>
        <w:rPr>
          <w:rFonts w:ascii="Calibri" w:cs="Calibri" w:eastAsia="Calibri" w:hAnsi="Calibri"/>
          <w:b/>
          <w:bCs/>
          <w:color w:val="C79A1E"/>
          <w:sz w:val="20"/>
          <w:szCs w:val="20"/>
        </w:rPr>
        <w:t xml:space="preserve">12  </w:t>
      </w:r>
      <w:r>
        <w:rPr>
          <w:rFonts w:ascii="Calibri" w:cs="Calibri" w:eastAsia="Calibri" w:hAnsi="Calibri"/>
          <w:color w:val="1A1A1A"/>
          <w:sz w:val="20"/>
          <w:szCs w:val="20"/>
        </w:rPr>
        <w:t xml:space="preserve">Guiding Principles</w:t>
      </w:r>
      <w:r>
        <w:rPr>
          <w:rFonts w:ascii="Calibri" w:cs="Calibri" w:eastAsia="Calibri" w:hAnsi="Calibri"/>
          <w:color w:val="1A1A1A"/>
          <w:sz w:val="20"/>
          <w:szCs w:val="20"/>
        </w:rPr>
        <w:t xml:space="preserve">	19</w:t>
      </w:r>
    </w:p>
    <w:p>
      <w:pPr>
        <w:tabs>
          <w:tab w:val="right" w:pos="9026" w:leader="dot"/>
        </w:tabs>
        <w:spacing w:after="130"/>
        <w:ind/>
      </w:pPr>
      <w:r>
        <w:rPr>
          <w:rFonts w:ascii="Calibri" w:cs="Calibri" w:eastAsia="Calibri" w:hAnsi="Calibri"/>
          <w:b/>
          <w:bCs/>
          <w:color w:val="C79A1E"/>
          <w:sz w:val="20"/>
          <w:szCs w:val="20"/>
        </w:rPr>
        <w:t xml:space="preserve">13  </w:t>
      </w:r>
      <w:r>
        <w:rPr>
          <w:rFonts w:ascii="Calibri" w:cs="Calibri" w:eastAsia="Calibri" w:hAnsi="Calibri"/>
          <w:color w:val="1A1A1A"/>
          <w:sz w:val="20"/>
          <w:szCs w:val="20"/>
        </w:rPr>
        <w:t xml:space="preserve">Our Open Source Philosophy</w:t>
      </w:r>
      <w:r>
        <w:rPr>
          <w:rFonts w:ascii="Calibri" w:cs="Calibri" w:eastAsia="Calibri" w:hAnsi="Calibri"/>
          <w:color w:val="1A1A1A"/>
          <w:sz w:val="20"/>
          <w:szCs w:val="20"/>
        </w:rPr>
        <w:t xml:space="preserve">	20</w:t>
      </w:r>
    </w:p>
    <w:p>
      <w:pPr>
        <w:spacing w:after="100" w:before="220"/>
      </w:pPr>
      <w:r>
        <w:rPr>
          <w:rFonts w:ascii="Cambria" w:cs="Cambria" w:eastAsia="Cambria" w:hAnsi="Cambria"/>
          <w:b/>
          <w:bCs/>
          <w:caps/>
          <w:color w:val="0B1120"/>
          <w:sz w:val="21"/>
          <w:szCs w:val="21"/>
        </w:rPr>
        <w:t xml:space="preserve">Part II: Governance &amp; Architecture</w:t>
      </w:r>
    </w:p>
    <w:p>
      <w:pPr>
        <w:tabs>
          <w:tab w:val="right" w:pos="9026" w:leader="dot"/>
        </w:tabs>
        <w:spacing w:after="130"/>
        <w:ind/>
      </w:pPr>
      <w:r>
        <w:rPr>
          <w:rFonts w:ascii="Calibri" w:cs="Calibri" w:eastAsia="Calibri" w:hAnsi="Calibri"/>
          <w:b/>
          <w:bCs/>
          <w:color w:val="C79A1E"/>
          <w:sz w:val="20"/>
          <w:szCs w:val="20"/>
        </w:rPr>
        <w:t xml:space="preserve">14  </w:t>
      </w:r>
      <w:r>
        <w:rPr>
          <w:rFonts w:ascii="Calibri" w:cs="Calibri" w:eastAsia="Calibri" w:hAnsi="Calibri"/>
          <w:color w:val="1A1A1A"/>
          <w:sz w:val="20"/>
          <w:szCs w:val="20"/>
        </w:rPr>
        <w:t xml:space="preserve">Community Governance</w:t>
      </w:r>
      <w:r>
        <w:rPr>
          <w:rFonts w:ascii="Calibri" w:cs="Calibri" w:eastAsia="Calibri" w:hAnsi="Calibri"/>
          <w:color w:val="1A1A1A"/>
          <w:sz w:val="20"/>
          <w:szCs w:val="20"/>
        </w:rPr>
        <w:t xml:space="preserve">	21</w:t>
      </w:r>
    </w:p>
    <w:p>
      <w:pPr>
        <w:tabs>
          <w:tab w:val="right" w:pos="9026" w:leader="dot"/>
        </w:tabs>
        <w:spacing w:after="130"/>
        <w:ind/>
      </w:pPr>
      <w:r>
        <w:rPr>
          <w:rFonts w:ascii="Calibri" w:cs="Calibri" w:eastAsia="Calibri" w:hAnsi="Calibri"/>
          <w:b/>
          <w:bCs/>
          <w:color w:val="C79A1E"/>
          <w:sz w:val="20"/>
          <w:szCs w:val="20"/>
        </w:rPr>
        <w:t xml:space="preserve">15  </w:t>
      </w:r>
      <w:r>
        <w:rPr>
          <w:rFonts w:ascii="Calibri" w:cs="Calibri" w:eastAsia="Calibri" w:hAnsi="Calibri"/>
          <w:color w:val="1A1A1A"/>
          <w:sz w:val="20"/>
          <w:szCs w:val="20"/>
        </w:rPr>
        <w:t xml:space="preserve">How Decisions Are Made</w:t>
      </w:r>
      <w:r>
        <w:rPr>
          <w:rFonts w:ascii="Calibri" w:cs="Calibri" w:eastAsia="Calibri" w:hAnsi="Calibri"/>
          <w:color w:val="1A1A1A"/>
          <w:sz w:val="20"/>
          <w:szCs w:val="20"/>
        </w:rPr>
        <w:t xml:space="preserve">	22</w:t>
      </w:r>
    </w:p>
    <w:p>
      <w:pPr>
        <w:tabs>
          <w:tab w:val="right" w:pos="9026" w:leader="dot"/>
        </w:tabs>
        <w:spacing w:after="130"/>
        <w:ind/>
      </w:pPr>
      <w:r>
        <w:rPr>
          <w:rFonts w:ascii="Calibri" w:cs="Calibri" w:eastAsia="Calibri" w:hAnsi="Calibri"/>
          <w:b/>
          <w:bCs/>
          <w:color w:val="C79A1E"/>
          <w:sz w:val="20"/>
          <w:szCs w:val="20"/>
        </w:rPr>
        <w:t xml:space="preserve">16  </w:t>
      </w:r>
      <w:r>
        <w:rPr>
          <w:rFonts w:ascii="Calibri" w:cs="Calibri" w:eastAsia="Calibri" w:hAnsi="Calibri"/>
          <w:color w:val="1A1A1A"/>
          <w:sz w:val="20"/>
          <w:szCs w:val="20"/>
        </w:rPr>
        <w:t xml:space="preserve">Organizational Structure</w:t>
      </w:r>
      <w:r>
        <w:rPr>
          <w:rFonts w:ascii="Calibri" w:cs="Calibri" w:eastAsia="Calibri" w:hAnsi="Calibri"/>
          <w:color w:val="1A1A1A"/>
          <w:sz w:val="20"/>
          <w:szCs w:val="20"/>
        </w:rPr>
        <w:t xml:space="preserve">	23</w:t>
      </w:r>
    </w:p>
    <w:p>
      <w:pPr>
        <w:tabs>
          <w:tab w:val="right" w:pos="9026" w:leader="dot"/>
        </w:tabs>
        <w:spacing w:after="130"/>
        <w:ind/>
      </w:pPr>
      <w:r>
        <w:rPr>
          <w:rFonts w:ascii="Calibri" w:cs="Calibri" w:eastAsia="Calibri" w:hAnsi="Calibri"/>
          <w:b/>
          <w:bCs/>
          <w:color w:val="C79A1E"/>
          <w:sz w:val="20"/>
          <w:szCs w:val="20"/>
        </w:rPr>
        <w:t xml:space="preserve">17  </w:t>
      </w:r>
      <w:r>
        <w:rPr>
          <w:rFonts w:ascii="Calibri" w:cs="Calibri" w:eastAsia="Calibri" w:hAnsi="Calibri"/>
          <w:color w:val="1A1A1A"/>
          <w:sz w:val="20"/>
          <w:szCs w:val="20"/>
        </w:rPr>
        <w:t xml:space="preserve">Transparency Standards</w:t>
      </w:r>
      <w:r>
        <w:rPr>
          <w:rFonts w:ascii="Calibri" w:cs="Calibri" w:eastAsia="Calibri" w:hAnsi="Calibri"/>
          <w:color w:val="1A1A1A"/>
          <w:sz w:val="20"/>
          <w:szCs w:val="20"/>
        </w:rPr>
        <w:t xml:space="preserve">	24</w:t>
      </w:r>
    </w:p>
    <w:p>
      <w:pPr>
        <w:tabs>
          <w:tab w:val="right" w:pos="9026" w:leader="dot"/>
        </w:tabs>
        <w:spacing w:after="130"/>
        <w:ind/>
      </w:pPr>
      <w:r>
        <w:rPr>
          <w:rFonts w:ascii="Calibri" w:cs="Calibri" w:eastAsia="Calibri" w:hAnsi="Calibri"/>
          <w:b/>
          <w:bCs/>
          <w:color w:val="C79A1E"/>
          <w:sz w:val="20"/>
          <w:szCs w:val="20"/>
        </w:rPr>
        <w:t xml:space="preserve">18  </w:t>
      </w:r>
      <w:r>
        <w:rPr>
          <w:rFonts w:ascii="Calibri" w:cs="Calibri" w:eastAsia="Calibri" w:hAnsi="Calibri"/>
          <w:color w:val="1A1A1A"/>
          <w:sz w:val="20"/>
          <w:szCs w:val="20"/>
        </w:rPr>
        <w:t xml:space="preserve">Treasury Principles</w:t>
      </w:r>
      <w:r>
        <w:rPr>
          <w:rFonts w:ascii="Calibri" w:cs="Calibri" w:eastAsia="Calibri" w:hAnsi="Calibri"/>
          <w:color w:val="1A1A1A"/>
          <w:sz w:val="20"/>
          <w:szCs w:val="20"/>
        </w:rPr>
        <w:t xml:space="preserve">	25</w:t>
      </w:r>
    </w:p>
    <w:p>
      <w:pPr>
        <w:tabs>
          <w:tab w:val="right" w:pos="9026" w:leader="dot"/>
        </w:tabs>
        <w:spacing w:after="130"/>
        <w:ind/>
      </w:pPr>
      <w:r>
        <w:rPr>
          <w:rFonts w:ascii="Calibri" w:cs="Calibri" w:eastAsia="Calibri" w:hAnsi="Calibri"/>
          <w:b/>
          <w:bCs/>
          <w:color w:val="C79A1E"/>
          <w:sz w:val="20"/>
          <w:szCs w:val="20"/>
        </w:rPr>
        <w:t xml:space="preserve">19  </w:t>
      </w:r>
      <w:r>
        <w:rPr>
          <w:rFonts w:ascii="Calibri" w:cs="Calibri" w:eastAsia="Calibri" w:hAnsi="Calibri"/>
          <w:color w:val="1A1A1A"/>
          <w:sz w:val="20"/>
          <w:szCs w:val="20"/>
        </w:rPr>
        <w:t xml:space="preserve">Risk Management</w:t>
      </w:r>
      <w:r>
        <w:rPr>
          <w:rFonts w:ascii="Calibri" w:cs="Calibri" w:eastAsia="Calibri" w:hAnsi="Calibri"/>
          <w:color w:val="1A1A1A"/>
          <w:sz w:val="20"/>
          <w:szCs w:val="20"/>
        </w:rPr>
        <w:t xml:space="preserve">	26</w:t>
      </w:r>
    </w:p>
    <w:p>
      <w:pPr>
        <w:tabs>
          <w:tab w:val="right" w:pos="9026" w:leader="dot"/>
        </w:tabs>
        <w:spacing w:after="130"/>
        <w:ind/>
      </w:pPr>
      <w:r>
        <w:rPr>
          <w:rFonts w:ascii="Calibri" w:cs="Calibri" w:eastAsia="Calibri" w:hAnsi="Calibri"/>
          <w:b/>
          <w:bCs/>
          <w:color w:val="C79A1E"/>
          <w:sz w:val="20"/>
          <w:szCs w:val="20"/>
        </w:rPr>
        <w:t xml:space="preserve">20  </w:t>
      </w:r>
      <w:r>
        <w:rPr>
          <w:rFonts w:ascii="Calibri" w:cs="Calibri" w:eastAsia="Calibri" w:hAnsi="Calibri"/>
          <w:color w:val="1A1A1A"/>
          <w:sz w:val="20"/>
          <w:szCs w:val="20"/>
        </w:rPr>
        <w:t xml:space="preserve">Security Philosophy</w:t>
      </w:r>
      <w:r>
        <w:rPr>
          <w:rFonts w:ascii="Calibri" w:cs="Calibri" w:eastAsia="Calibri" w:hAnsi="Calibri"/>
          <w:color w:val="1A1A1A"/>
          <w:sz w:val="20"/>
          <w:szCs w:val="20"/>
        </w:rPr>
        <w:t xml:space="preserve">	27</w:t>
      </w:r>
    </w:p>
    <w:p>
      <w:pPr>
        <w:tabs>
          <w:tab w:val="right" w:pos="9026" w:leader="dot"/>
        </w:tabs>
        <w:spacing w:after="130"/>
        <w:ind/>
      </w:pPr>
      <w:r>
        <w:rPr>
          <w:rFonts w:ascii="Calibri" w:cs="Calibri" w:eastAsia="Calibri" w:hAnsi="Calibri"/>
          <w:b/>
          <w:bCs/>
          <w:color w:val="C79A1E"/>
          <w:sz w:val="20"/>
          <w:szCs w:val="20"/>
        </w:rPr>
        <w:t xml:space="preserve">21  </w:t>
      </w:r>
      <w:r>
        <w:rPr>
          <w:rFonts w:ascii="Calibri" w:cs="Calibri" w:eastAsia="Calibri" w:hAnsi="Calibri"/>
          <w:color w:val="1A1A1A"/>
          <w:sz w:val="20"/>
          <w:szCs w:val="20"/>
        </w:rPr>
        <w:t xml:space="preserve">Technical Architecture</w:t>
      </w:r>
      <w:r>
        <w:rPr>
          <w:rFonts w:ascii="Calibri" w:cs="Calibri" w:eastAsia="Calibri" w:hAnsi="Calibri"/>
          <w:color w:val="1A1A1A"/>
          <w:sz w:val="20"/>
          <w:szCs w:val="20"/>
        </w:rPr>
        <w:t xml:space="preserve">	28</w:t>
      </w:r>
    </w:p>
    <w:p>
      <w:pPr>
        <w:spacing w:after="100" w:before="220"/>
      </w:pPr>
      <w:r>
        <w:rPr>
          <w:rFonts w:ascii="Cambria" w:cs="Cambria" w:eastAsia="Cambria" w:hAnsi="Cambria"/>
          <w:b/>
          <w:bCs/>
          <w:caps/>
          <w:color w:val="0B1120"/>
          <w:sz w:val="21"/>
          <w:szCs w:val="21"/>
        </w:rPr>
        <w:t xml:space="preserve">Part III: Product &amp; Programs</w:t>
      </w:r>
    </w:p>
    <w:p>
      <w:pPr>
        <w:tabs>
          <w:tab w:val="right" w:pos="9026" w:leader="dot"/>
        </w:tabs>
        <w:spacing w:after="130"/>
        <w:ind/>
      </w:pPr>
      <w:r>
        <w:rPr>
          <w:rFonts w:ascii="Calibri" w:cs="Calibri" w:eastAsia="Calibri" w:hAnsi="Calibri"/>
          <w:b/>
          <w:bCs/>
          <w:color w:val="C79A1E"/>
          <w:sz w:val="20"/>
          <w:szCs w:val="20"/>
        </w:rPr>
        <w:t xml:space="preserve">22  </w:t>
      </w:r>
      <w:r>
        <w:rPr>
          <w:rFonts w:ascii="Calibri" w:cs="Calibri" w:eastAsia="Calibri" w:hAnsi="Calibri"/>
          <w:color w:val="1A1A1A"/>
          <w:sz w:val="20"/>
          <w:szCs w:val="20"/>
        </w:rPr>
        <w:t xml:space="preserve">The dApp Architecture</w:t>
      </w:r>
      <w:r>
        <w:rPr>
          <w:rFonts w:ascii="Calibri" w:cs="Calibri" w:eastAsia="Calibri" w:hAnsi="Calibri"/>
          <w:color w:val="1A1A1A"/>
          <w:sz w:val="20"/>
          <w:szCs w:val="20"/>
        </w:rPr>
        <w:t xml:space="preserve">	30</w:t>
      </w:r>
    </w:p>
    <w:p>
      <w:pPr>
        <w:tabs>
          <w:tab w:val="right" w:pos="9026" w:leader="dot"/>
        </w:tabs>
        <w:spacing w:after="130"/>
        <w:ind/>
      </w:pPr>
      <w:r>
        <w:rPr>
          <w:rFonts w:ascii="Calibri" w:cs="Calibri" w:eastAsia="Calibri" w:hAnsi="Calibri"/>
          <w:b/>
          <w:bCs/>
          <w:color w:val="C79A1E"/>
          <w:sz w:val="20"/>
          <w:szCs w:val="20"/>
        </w:rPr>
        <w:t xml:space="preserve">23  </w:t>
      </w:r>
      <w:r>
        <w:rPr>
          <w:rFonts w:ascii="Calibri" w:cs="Calibri" w:eastAsia="Calibri" w:hAnsi="Calibri"/>
          <w:color w:val="1A1A1A"/>
          <w:sz w:val="20"/>
          <w:szCs w:val="20"/>
        </w:rPr>
        <w:t xml:space="preserve">Wallet Integration</w:t>
      </w:r>
      <w:r>
        <w:rPr>
          <w:rFonts w:ascii="Calibri" w:cs="Calibri" w:eastAsia="Calibri" w:hAnsi="Calibri"/>
          <w:color w:val="1A1A1A"/>
          <w:sz w:val="20"/>
          <w:szCs w:val="20"/>
        </w:rPr>
        <w:t xml:space="preserve">	31</w:t>
      </w:r>
    </w:p>
    <w:p>
      <w:pPr>
        <w:tabs>
          <w:tab w:val="right" w:pos="9026" w:leader="dot"/>
        </w:tabs>
        <w:spacing w:after="130"/>
        <w:ind/>
      </w:pPr>
      <w:r>
        <w:rPr>
          <w:rFonts w:ascii="Calibri" w:cs="Calibri" w:eastAsia="Calibri" w:hAnsi="Calibri"/>
          <w:b/>
          <w:bCs/>
          <w:color w:val="C79A1E"/>
          <w:sz w:val="20"/>
          <w:szCs w:val="20"/>
        </w:rPr>
        <w:t xml:space="preserve">24  </w:t>
      </w:r>
      <w:r>
        <w:rPr>
          <w:rFonts w:ascii="Calibri" w:cs="Calibri" w:eastAsia="Calibri" w:hAnsi="Calibri"/>
          <w:color w:val="1A1A1A"/>
          <w:sz w:val="20"/>
          <w:szCs w:val="20"/>
        </w:rPr>
        <w:t xml:space="preserve">Educational Platform</w:t>
      </w:r>
      <w:r>
        <w:rPr>
          <w:rFonts w:ascii="Calibri" w:cs="Calibri" w:eastAsia="Calibri" w:hAnsi="Calibri"/>
          <w:color w:val="1A1A1A"/>
          <w:sz w:val="20"/>
          <w:szCs w:val="20"/>
        </w:rPr>
        <w:t xml:space="preserve">	32</w:t>
      </w:r>
    </w:p>
    <w:p>
      <w:pPr>
        <w:tabs>
          <w:tab w:val="right" w:pos="9026" w:leader="dot"/>
        </w:tabs>
        <w:spacing w:after="130"/>
        <w:ind/>
      </w:pPr>
      <w:r>
        <w:rPr>
          <w:rFonts w:ascii="Calibri" w:cs="Calibri" w:eastAsia="Calibri" w:hAnsi="Calibri"/>
          <w:b/>
          <w:bCs/>
          <w:color w:val="C79A1E"/>
          <w:sz w:val="20"/>
          <w:szCs w:val="20"/>
        </w:rPr>
        <w:t xml:space="preserve">25  </w:t>
      </w:r>
      <w:r>
        <w:rPr>
          <w:rFonts w:ascii="Calibri" w:cs="Calibri" w:eastAsia="Calibri" w:hAnsi="Calibri"/>
          <w:color w:val="1A1A1A"/>
          <w:sz w:val="20"/>
          <w:szCs w:val="20"/>
        </w:rPr>
        <w:t xml:space="preserve">Agent Network</w:t>
      </w:r>
      <w:r>
        <w:rPr>
          <w:rFonts w:ascii="Calibri" w:cs="Calibri" w:eastAsia="Calibri" w:hAnsi="Calibri"/>
          <w:color w:val="1A1A1A"/>
          <w:sz w:val="20"/>
          <w:szCs w:val="20"/>
        </w:rPr>
        <w:t xml:space="preserve">	33</w:t>
      </w:r>
    </w:p>
    <w:p>
      <w:pPr>
        <w:tabs>
          <w:tab w:val="right" w:pos="9026" w:leader="dot"/>
        </w:tabs>
        <w:spacing w:after="130"/>
        <w:ind/>
      </w:pPr>
      <w:r>
        <w:rPr>
          <w:rFonts w:ascii="Calibri" w:cs="Calibri" w:eastAsia="Calibri" w:hAnsi="Calibri"/>
          <w:b/>
          <w:bCs/>
          <w:color w:val="C79A1E"/>
          <w:sz w:val="20"/>
          <w:szCs w:val="20"/>
        </w:rPr>
        <w:t xml:space="preserve">26  </w:t>
      </w:r>
      <w:r>
        <w:rPr>
          <w:rFonts w:ascii="Calibri" w:cs="Calibri" w:eastAsia="Calibri" w:hAnsi="Calibri"/>
          <w:color w:val="1A1A1A"/>
          <w:sz w:val="20"/>
          <w:szCs w:val="20"/>
        </w:rPr>
        <w:t xml:space="preserve">Community Programs</w:t>
      </w:r>
      <w:r>
        <w:rPr>
          <w:rFonts w:ascii="Calibri" w:cs="Calibri" w:eastAsia="Calibri" w:hAnsi="Calibri"/>
          <w:color w:val="1A1A1A"/>
          <w:sz w:val="20"/>
          <w:szCs w:val="20"/>
        </w:rPr>
        <w:t xml:space="preserve">	34</w:t>
      </w:r>
    </w:p>
    <w:p>
      <w:pPr>
        <w:tabs>
          <w:tab w:val="right" w:pos="9026" w:leader="dot"/>
        </w:tabs>
        <w:spacing w:after="130"/>
        <w:ind/>
      </w:pPr>
      <w:r>
        <w:rPr>
          <w:rFonts w:ascii="Calibri" w:cs="Calibri" w:eastAsia="Calibri" w:hAnsi="Calibri"/>
          <w:b/>
          <w:bCs/>
          <w:color w:val="C79A1E"/>
          <w:sz w:val="20"/>
          <w:szCs w:val="20"/>
        </w:rPr>
        <w:t xml:space="preserve">27  </w:t>
      </w:r>
      <w:r>
        <w:rPr>
          <w:rFonts w:ascii="Calibri" w:cs="Calibri" w:eastAsia="Calibri" w:hAnsi="Calibri"/>
          <w:color w:val="1A1A1A"/>
          <w:sz w:val="20"/>
          <w:szCs w:val="20"/>
        </w:rPr>
        <w:t xml:space="preserve">Environmental Initiatives</w:t>
      </w:r>
      <w:r>
        <w:rPr>
          <w:rFonts w:ascii="Calibri" w:cs="Calibri" w:eastAsia="Calibri" w:hAnsi="Calibri"/>
          <w:color w:val="1A1A1A"/>
          <w:sz w:val="20"/>
          <w:szCs w:val="20"/>
        </w:rPr>
        <w:t xml:space="preserve">	35</w:t>
      </w:r>
    </w:p>
    <w:p>
      <w:pPr>
        <w:tabs>
          <w:tab w:val="right" w:pos="9026" w:leader="dot"/>
        </w:tabs>
        <w:spacing w:after="130"/>
        <w:ind/>
      </w:pPr>
      <w:r>
        <w:rPr>
          <w:rFonts w:ascii="Calibri" w:cs="Calibri" w:eastAsia="Calibri" w:hAnsi="Calibri"/>
          <w:b/>
          <w:bCs/>
          <w:color w:val="C79A1E"/>
          <w:sz w:val="20"/>
          <w:szCs w:val="20"/>
        </w:rPr>
        <w:t xml:space="preserve">28  </w:t>
      </w:r>
      <w:r>
        <w:rPr>
          <w:rFonts w:ascii="Calibri" w:cs="Calibri" w:eastAsia="Calibri" w:hAnsi="Calibri"/>
          <w:color w:val="1A1A1A"/>
          <w:sz w:val="20"/>
          <w:szCs w:val="20"/>
        </w:rPr>
        <w:t xml:space="preserve">Impact Measurement</w:t>
      </w:r>
      <w:r>
        <w:rPr>
          <w:rFonts w:ascii="Calibri" w:cs="Calibri" w:eastAsia="Calibri" w:hAnsi="Calibri"/>
          <w:color w:val="1A1A1A"/>
          <w:sz w:val="20"/>
          <w:szCs w:val="20"/>
        </w:rPr>
        <w:t xml:space="preserve">	36</w:t>
      </w:r>
    </w:p>
    <w:p>
      <w:pPr>
        <w:tabs>
          <w:tab w:val="right" w:pos="9026" w:leader="dot"/>
        </w:tabs>
        <w:spacing w:after="130"/>
        <w:ind/>
      </w:pPr>
      <w:r>
        <w:rPr>
          <w:rFonts w:ascii="Calibri" w:cs="Calibri" w:eastAsia="Calibri" w:hAnsi="Calibri"/>
          <w:b/>
          <w:bCs/>
          <w:color w:val="C79A1E"/>
          <w:sz w:val="20"/>
          <w:szCs w:val="20"/>
        </w:rPr>
        <w:t xml:space="preserve">29  </w:t>
      </w:r>
      <w:r>
        <w:rPr>
          <w:rFonts w:ascii="Calibri" w:cs="Calibri" w:eastAsia="Calibri" w:hAnsi="Calibri"/>
          <w:color w:val="1A1A1A"/>
          <w:sz w:val="20"/>
          <w:szCs w:val="20"/>
        </w:rPr>
        <w:t xml:space="preserve">Economic Model</w:t>
      </w:r>
      <w:r>
        <w:rPr>
          <w:rFonts w:ascii="Calibri" w:cs="Calibri" w:eastAsia="Calibri" w:hAnsi="Calibri"/>
          <w:color w:val="1A1A1A"/>
          <w:sz w:val="20"/>
          <w:szCs w:val="20"/>
        </w:rPr>
        <w:t xml:space="preserve">	37</w:t>
      </w:r>
    </w:p>
    <w:p>
      <w:r>
        <w:br w:type="page"/>
      </w:r>
    </w:p>
    <w:p>
      <w:pPr>
        <w:spacing w:after="100" w:before="220"/>
      </w:pPr>
      <w:r>
        <w:rPr>
          <w:rFonts w:ascii="Cambria" w:cs="Cambria" w:eastAsia="Cambria" w:hAnsi="Cambria"/>
          <w:b/>
          <w:bCs/>
          <w:caps/>
          <w:color w:val="0B1120"/>
          <w:sz w:val="21"/>
          <w:szCs w:val="21"/>
        </w:rPr>
        <w:t xml:space="preserve">Part IV: Sustainability &amp; Growth</w:t>
      </w:r>
    </w:p>
    <w:p>
      <w:pPr>
        <w:tabs>
          <w:tab w:val="right" w:pos="9026" w:leader="dot"/>
        </w:tabs>
        <w:spacing w:after="130"/>
        <w:ind/>
      </w:pPr>
      <w:r>
        <w:rPr>
          <w:rFonts w:ascii="Calibri" w:cs="Calibri" w:eastAsia="Calibri" w:hAnsi="Calibri"/>
          <w:b/>
          <w:bCs/>
          <w:color w:val="C79A1E"/>
          <w:sz w:val="20"/>
          <w:szCs w:val="20"/>
        </w:rPr>
        <w:t xml:space="preserve">30  </w:t>
      </w:r>
      <w:r>
        <w:rPr>
          <w:rFonts w:ascii="Calibri" w:cs="Calibri" w:eastAsia="Calibri" w:hAnsi="Calibri"/>
          <w:color w:val="1A1A1A"/>
          <w:sz w:val="20"/>
          <w:szCs w:val="20"/>
        </w:rPr>
        <w:t xml:space="preserve">Business Sustainability</w:t>
      </w:r>
      <w:r>
        <w:rPr>
          <w:rFonts w:ascii="Calibri" w:cs="Calibri" w:eastAsia="Calibri" w:hAnsi="Calibri"/>
          <w:color w:val="1A1A1A"/>
          <w:sz w:val="20"/>
          <w:szCs w:val="20"/>
        </w:rPr>
        <w:t xml:space="preserve">	38</w:t>
      </w:r>
    </w:p>
    <w:p>
      <w:pPr>
        <w:tabs>
          <w:tab w:val="right" w:pos="9026" w:leader="dot"/>
        </w:tabs>
        <w:spacing w:after="130"/>
        <w:ind/>
      </w:pPr>
      <w:r>
        <w:rPr>
          <w:rFonts w:ascii="Calibri" w:cs="Calibri" w:eastAsia="Calibri" w:hAnsi="Calibri"/>
          <w:b/>
          <w:bCs/>
          <w:color w:val="C79A1E"/>
          <w:sz w:val="20"/>
          <w:szCs w:val="20"/>
        </w:rPr>
        <w:t xml:space="preserve">31  </w:t>
      </w:r>
      <w:r>
        <w:rPr>
          <w:rFonts w:ascii="Calibri" w:cs="Calibri" w:eastAsia="Calibri" w:hAnsi="Calibri"/>
          <w:color w:val="1A1A1A"/>
          <w:sz w:val="20"/>
          <w:szCs w:val="20"/>
        </w:rPr>
        <w:t xml:space="preserve">Funding Strategy</w:t>
      </w:r>
      <w:r>
        <w:rPr>
          <w:rFonts w:ascii="Calibri" w:cs="Calibri" w:eastAsia="Calibri" w:hAnsi="Calibri"/>
          <w:color w:val="1A1A1A"/>
          <w:sz w:val="20"/>
          <w:szCs w:val="20"/>
        </w:rPr>
        <w:t xml:space="preserve">	39</w:t>
      </w:r>
    </w:p>
    <w:p>
      <w:pPr>
        <w:tabs>
          <w:tab w:val="right" w:pos="9026" w:leader="dot"/>
        </w:tabs>
        <w:spacing w:after="130"/>
        <w:ind/>
      </w:pPr>
      <w:r>
        <w:rPr>
          <w:rFonts w:ascii="Calibri" w:cs="Calibri" w:eastAsia="Calibri" w:hAnsi="Calibri"/>
          <w:b/>
          <w:bCs/>
          <w:color w:val="C79A1E"/>
          <w:sz w:val="20"/>
          <w:szCs w:val="20"/>
        </w:rPr>
        <w:t xml:space="preserve">32  </w:t>
      </w:r>
      <w:r>
        <w:rPr>
          <w:rFonts w:ascii="Calibri" w:cs="Calibri" w:eastAsia="Calibri" w:hAnsi="Calibri"/>
          <w:color w:val="1A1A1A"/>
          <w:sz w:val="20"/>
          <w:szCs w:val="20"/>
        </w:rPr>
        <w:t xml:space="preserve">Revenue Streams</w:t>
      </w:r>
      <w:r>
        <w:rPr>
          <w:rFonts w:ascii="Calibri" w:cs="Calibri" w:eastAsia="Calibri" w:hAnsi="Calibri"/>
          <w:color w:val="1A1A1A"/>
          <w:sz w:val="20"/>
          <w:szCs w:val="20"/>
        </w:rPr>
        <w:t xml:space="preserve">	40</w:t>
      </w:r>
    </w:p>
    <w:p>
      <w:pPr>
        <w:tabs>
          <w:tab w:val="right" w:pos="9026" w:leader="dot"/>
        </w:tabs>
        <w:spacing w:after="130"/>
        <w:ind/>
      </w:pPr>
      <w:r>
        <w:rPr>
          <w:rFonts w:ascii="Calibri" w:cs="Calibri" w:eastAsia="Calibri" w:hAnsi="Calibri"/>
          <w:b/>
          <w:bCs/>
          <w:color w:val="C79A1E"/>
          <w:sz w:val="20"/>
          <w:szCs w:val="20"/>
        </w:rPr>
        <w:t xml:space="preserve">33  </w:t>
      </w:r>
      <w:r>
        <w:rPr>
          <w:rFonts w:ascii="Calibri" w:cs="Calibri" w:eastAsia="Calibri" w:hAnsi="Calibri"/>
          <w:color w:val="1A1A1A"/>
          <w:sz w:val="20"/>
          <w:szCs w:val="20"/>
        </w:rPr>
        <w:t xml:space="preserve">Strategic Partnerships</w:t>
      </w:r>
      <w:r>
        <w:rPr>
          <w:rFonts w:ascii="Calibri" w:cs="Calibri" w:eastAsia="Calibri" w:hAnsi="Calibri"/>
          <w:color w:val="1A1A1A"/>
          <w:sz w:val="20"/>
          <w:szCs w:val="20"/>
        </w:rPr>
        <w:t xml:space="preserve">	41</w:t>
      </w:r>
    </w:p>
    <w:p>
      <w:pPr>
        <w:tabs>
          <w:tab w:val="right" w:pos="9026" w:leader="dot"/>
        </w:tabs>
        <w:spacing w:after="130"/>
        <w:ind/>
      </w:pPr>
      <w:r>
        <w:rPr>
          <w:rFonts w:ascii="Calibri" w:cs="Calibri" w:eastAsia="Calibri" w:hAnsi="Calibri"/>
          <w:b/>
          <w:bCs/>
          <w:color w:val="C79A1E"/>
          <w:sz w:val="20"/>
          <w:szCs w:val="20"/>
        </w:rPr>
        <w:t xml:space="preserve">34  </w:t>
      </w:r>
      <w:r>
        <w:rPr>
          <w:rFonts w:ascii="Calibri" w:cs="Calibri" w:eastAsia="Calibri" w:hAnsi="Calibri"/>
          <w:color w:val="1A1A1A"/>
          <w:sz w:val="20"/>
          <w:szCs w:val="20"/>
        </w:rPr>
        <w:t xml:space="preserve">Developer Ecosystem</w:t>
      </w:r>
      <w:r>
        <w:rPr>
          <w:rFonts w:ascii="Calibri" w:cs="Calibri" w:eastAsia="Calibri" w:hAnsi="Calibri"/>
          <w:color w:val="1A1A1A"/>
          <w:sz w:val="20"/>
          <w:szCs w:val="20"/>
        </w:rPr>
        <w:t xml:space="preserve">	42</w:t>
      </w:r>
    </w:p>
    <w:p>
      <w:pPr>
        <w:tabs>
          <w:tab w:val="right" w:pos="9026" w:leader="dot"/>
        </w:tabs>
        <w:spacing w:after="130"/>
        <w:ind/>
      </w:pPr>
      <w:r>
        <w:rPr>
          <w:rFonts w:ascii="Calibri" w:cs="Calibri" w:eastAsia="Calibri" w:hAnsi="Calibri"/>
          <w:b/>
          <w:bCs/>
          <w:color w:val="C79A1E"/>
          <w:sz w:val="20"/>
          <w:szCs w:val="20"/>
        </w:rPr>
        <w:t xml:space="preserve">35  </w:t>
      </w:r>
      <w:r>
        <w:rPr>
          <w:rFonts w:ascii="Calibri" w:cs="Calibri" w:eastAsia="Calibri" w:hAnsi="Calibri"/>
          <w:color w:val="1A1A1A"/>
          <w:sz w:val="20"/>
          <w:szCs w:val="20"/>
        </w:rPr>
        <w:t xml:space="preserve">Documentation Strategy</w:t>
      </w:r>
      <w:r>
        <w:rPr>
          <w:rFonts w:ascii="Calibri" w:cs="Calibri" w:eastAsia="Calibri" w:hAnsi="Calibri"/>
          <w:color w:val="1A1A1A"/>
          <w:sz w:val="20"/>
          <w:szCs w:val="20"/>
        </w:rPr>
        <w:t xml:space="preserve">	43</w:t>
      </w:r>
    </w:p>
    <w:p>
      <w:pPr>
        <w:tabs>
          <w:tab w:val="right" w:pos="9026" w:leader="dot"/>
        </w:tabs>
        <w:spacing w:after="130"/>
        <w:ind/>
      </w:pPr>
      <w:r>
        <w:rPr>
          <w:rFonts w:ascii="Calibri" w:cs="Calibri" w:eastAsia="Calibri" w:hAnsi="Calibri"/>
          <w:b/>
          <w:bCs/>
          <w:color w:val="C79A1E"/>
          <w:sz w:val="20"/>
          <w:szCs w:val="20"/>
        </w:rPr>
        <w:t xml:space="preserve">36  </w:t>
      </w:r>
      <w:r>
        <w:rPr>
          <w:rFonts w:ascii="Calibri" w:cs="Calibri" w:eastAsia="Calibri" w:hAnsi="Calibri"/>
          <w:color w:val="1A1A1A"/>
          <w:sz w:val="20"/>
          <w:szCs w:val="20"/>
        </w:rPr>
        <w:t xml:space="preserve">Roadmap</w:t>
      </w:r>
      <w:r>
        <w:rPr>
          <w:rFonts w:ascii="Calibri" w:cs="Calibri" w:eastAsia="Calibri" w:hAnsi="Calibri"/>
          <w:color w:val="1A1A1A"/>
          <w:sz w:val="20"/>
          <w:szCs w:val="20"/>
        </w:rPr>
        <w:t xml:space="preserve">	44</w:t>
      </w:r>
    </w:p>
    <w:p>
      <w:pPr>
        <w:tabs>
          <w:tab w:val="right" w:pos="9026" w:leader="dot"/>
        </w:tabs>
        <w:spacing w:after="130"/>
        <w:ind/>
      </w:pPr>
      <w:r>
        <w:rPr>
          <w:rFonts w:ascii="Calibri" w:cs="Calibri" w:eastAsia="Calibri" w:hAnsi="Calibri"/>
          <w:b/>
          <w:bCs/>
          <w:color w:val="C79A1E"/>
          <w:sz w:val="20"/>
          <w:szCs w:val="20"/>
        </w:rPr>
        <w:t xml:space="preserve">37  </w:t>
      </w:r>
      <w:r>
        <w:rPr>
          <w:rFonts w:ascii="Calibri" w:cs="Calibri" w:eastAsia="Calibri" w:hAnsi="Calibri"/>
          <w:color w:val="1A1A1A"/>
          <w:sz w:val="20"/>
          <w:szCs w:val="20"/>
        </w:rPr>
        <w:t xml:space="preserve">Milestones</w:t>
      </w:r>
      <w:r>
        <w:rPr>
          <w:rFonts w:ascii="Calibri" w:cs="Calibri" w:eastAsia="Calibri" w:hAnsi="Calibri"/>
          <w:color w:val="1A1A1A"/>
          <w:sz w:val="20"/>
          <w:szCs w:val="20"/>
        </w:rPr>
        <w:t xml:space="preserve">	45</w:t>
      </w:r>
    </w:p>
    <w:p>
      <w:pPr>
        <w:spacing w:after="100" w:before="220"/>
      </w:pPr>
      <w:r>
        <w:rPr>
          <w:rFonts w:ascii="Cambria" w:cs="Cambria" w:eastAsia="Cambria" w:hAnsi="Cambria"/>
          <w:b/>
          <w:bCs/>
          <w:caps/>
          <w:color w:val="0B1120"/>
          <w:sz w:val="21"/>
          <w:szCs w:val="21"/>
        </w:rPr>
        <w:t xml:space="preserve">Part V: Evidence &amp; Reflection</w:t>
      </w:r>
    </w:p>
    <w:p>
      <w:pPr>
        <w:tabs>
          <w:tab w:val="right" w:pos="9026" w:leader="dot"/>
        </w:tabs>
        <w:spacing w:after="130"/>
        <w:ind/>
      </w:pPr>
      <w:r>
        <w:rPr>
          <w:rFonts w:ascii="Calibri" w:cs="Calibri" w:eastAsia="Calibri" w:hAnsi="Calibri"/>
          <w:b/>
          <w:bCs/>
          <w:color w:val="C79A1E"/>
          <w:sz w:val="20"/>
          <w:szCs w:val="20"/>
        </w:rPr>
        <w:t xml:space="preserve">38  </w:t>
      </w:r>
      <w:r>
        <w:rPr>
          <w:rFonts w:ascii="Calibri" w:cs="Calibri" w:eastAsia="Calibri" w:hAnsi="Calibri"/>
          <w:color w:val="1A1A1A"/>
          <w:sz w:val="20"/>
          <w:szCs w:val="20"/>
        </w:rPr>
        <w:t xml:space="preserve">Key Metrics</w:t>
      </w:r>
      <w:r>
        <w:rPr>
          <w:rFonts w:ascii="Calibri" w:cs="Calibri" w:eastAsia="Calibri" w:hAnsi="Calibri"/>
          <w:color w:val="1A1A1A"/>
          <w:sz w:val="20"/>
          <w:szCs w:val="20"/>
        </w:rPr>
        <w:t xml:space="preserve">	46</w:t>
      </w:r>
    </w:p>
    <w:p>
      <w:pPr>
        <w:tabs>
          <w:tab w:val="right" w:pos="9026" w:leader="dot"/>
        </w:tabs>
        <w:spacing w:after="130"/>
        <w:ind/>
      </w:pPr>
      <w:r>
        <w:rPr>
          <w:rFonts w:ascii="Calibri" w:cs="Calibri" w:eastAsia="Calibri" w:hAnsi="Calibri"/>
          <w:b/>
          <w:bCs/>
          <w:color w:val="C79A1E"/>
          <w:sz w:val="20"/>
          <w:szCs w:val="20"/>
        </w:rPr>
        <w:t xml:space="preserve">39  </w:t>
      </w:r>
      <w:r>
        <w:rPr>
          <w:rFonts w:ascii="Calibri" w:cs="Calibri" w:eastAsia="Calibri" w:hAnsi="Calibri"/>
          <w:color w:val="1A1A1A"/>
          <w:sz w:val="20"/>
          <w:szCs w:val="20"/>
        </w:rPr>
        <w:t xml:space="preserve">Case Studies</w:t>
      </w:r>
      <w:r>
        <w:rPr>
          <w:rFonts w:ascii="Calibri" w:cs="Calibri" w:eastAsia="Calibri" w:hAnsi="Calibri"/>
          <w:color w:val="1A1A1A"/>
          <w:sz w:val="20"/>
          <w:szCs w:val="20"/>
        </w:rPr>
        <w:t xml:space="preserve">	47</w:t>
      </w:r>
    </w:p>
    <w:p>
      <w:pPr>
        <w:tabs>
          <w:tab w:val="right" w:pos="9026" w:leader="dot"/>
        </w:tabs>
        <w:spacing w:after="130"/>
        <w:ind/>
      </w:pPr>
      <w:r>
        <w:rPr>
          <w:rFonts w:ascii="Calibri" w:cs="Calibri" w:eastAsia="Calibri" w:hAnsi="Calibri"/>
          <w:b/>
          <w:bCs/>
          <w:color w:val="C79A1E"/>
          <w:sz w:val="20"/>
          <w:szCs w:val="20"/>
        </w:rPr>
        <w:t xml:space="preserve">40  </w:t>
      </w:r>
      <w:r>
        <w:rPr>
          <w:rFonts w:ascii="Calibri" w:cs="Calibri" w:eastAsia="Calibri" w:hAnsi="Calibri"/>
          <w:color w:val="1A1A1A"/>
          <w:sz w:val="20"/>
          <w:szCs w:val="20"/>
        </w:rPr>
        <w:t xml:space="preserve">User Stories</w:t>
      </w:r>
      <w:r>
        <w:rPr>
          <w:rFonts w:ascii="Calibri" w:cs="Calibri" w:eastAsia="Calibri" w:hAnsi="Calibri"/>
          <w:color w:val="1A1A1A"/>
          <w:sz w:val="20"/>
          <w:szCs w:val="20"/>
        </w:rPr>
        <w:t xml:space="preserve">	48</w:t>
      </w:r>
    </w:p>
    <w:p>
      <w:pPr>
        <w:tabs>
          <w:tab w:val="right" w:pos="9026" w:leader="dot"/>
        </w:tabs>
        <w:spacing w:after="130"/>
        <w:ind/>
      </w:pPr>
      <w:r>
        <w:rPr>
          <w:rFonts w:ascii="Calibri" w:cs="Calibri" w:eastAsia="Calibri" w:hAnsi="Calibri"/>
          <w:b/>
          <w:bCs/>
          <w:color w:val="C79A1E"/>
          <w:sz w:val="20"/>
          <w:szCs w:val="20"/>
        </w:rPr>
        <w:t xml:space="preserve">41  </w:t>
      </w:r>
      <w:r>
        <w:rPr>
          <w:rFonts w:ascii="Calibri" w:cs="Calibri" w:eastAsia="Calibri" w:hAnsi="Calibri"/>
          <w:color w:val="1A1A1A"/>
          <w:sz w:val="20"/>
          <w:szCs w:val="20"/>
        </w:rPr>
        <w:t xml:space="preserve">Community Testimonials</w:t>
      </w:r>
      <w:r>
        <w:rPr>
          <w:rFonts w:ascii="Calibri" w:cs="Calibri" w:eastAsia="Calibri" w:hAnsi="Calibri"/>
          <w:color w:val="1A1A1A"/>
          <w:sz w:val="20"/>
          <w:szCs w:val="20"/>
        </w:rPr>
        <w:t xml:space="preserve">	49</w:t>
      </w:r>
    </w:p>
    <w:p>
      <w:pPr>
        <w:tabs>
          <w:tab w:val="right" w:pos="9026" w:leader="dot"/>
        </w:tabs>
        <w:spacing w:after="130"/>
        <w:ind/>
      </w:pPr>
      <w:r>
        <w:rPr>
          <w:rFonts w:ascii="Calibri" w:cs="Calibri" w:eastAsia="Calibri" w:hAnsi="Calibri"/>
          <w:b/>
          <w:bCs/>
          <w:color w:val="C79A1E"/>
          <w:sz w:val="20"/>
          <w:szCs w:val="20"/>
        </w:rPr>
        <w:t xml:space="preserve">42  </w:t>
      </w:r>
      <w:r>
        <w:rPr>
          <w:rFonts w:ascii="Calibri" w:cs="Calibri" w:eastAsia="Calibri" w:hAnsi="Calibri"/>
          <w:color w:val="1A1A1A"/>
          <w:sz w:val="20"/>
          <w:szCs w:val="20"/>
        </w:rPr>
        <w:t xml:space="preserve">Lessons Learned</w:t>
      </w:r>
      <w:r>
        <w:rPr>
          <w:rFonts w:ascii="Calibri" w:cs="Calibri" w:eastAsia="Calibri" w:hAnsi="Calibri"/>
          <w:color w:val="1A1A1A"/>
          <w:sz w:val="20"/>
          <w:szCs w:val="20"/>
        </w:rPr>
        <w:t xml:space="preserve">	50</w:t>
      </w:r>
    </w:p>
    <w:p>
      <w:pPr>
        <w:tabs>
          <w:tab w:val="right" w:pos="9026" w:leader="dot"/>
        </w:tabs>
        <w:spacing w:after="130"/>
        <w:ind/>
      </w:pPr>
      <w:r>
        <w:rPr>
          <w:rFonts w:ascii="Calibri" w:cs="Calibri" w:eastAsia="Calibri" w:hAnsi="Calibri"/>
          <w:b/>
          <w:bCs/>
          <w:color w:val="C79A1E"/>
          <w:sz w:val="20"/>
          <w:szCs w:val="20"/>
        </w:rPr>
        <w:t xml:space="preserve">43  </w:t>
      </w:r>
      <w:r>
        <w:rPr>
          <w:rFonts w:ascii="Calibri" w:cs="Calibri" w:eastAsia="Calibri" w:hAnsi="Calibri"/>
          <w:color w:val="1A1A1A"/>
          <w:sz w:val="20"/>
          <w:szCs w:val="20"/>
        </w:rPr>
        <w:t xml:space="preserve">Challenges</w:t>
      </w:r>
      <w:r>
        <w:rPr>
          <w:rFonts w:ascii="Calibri" w:cs="Calibri" w:eastAsia="Calibri" w:hAnsi="Calibri"/>
          <w:color w:val="1A1A1A"/>
          <w:sz w:val="20"/>
          <w:szCs w:val="20"/>
        </w:rPr>
        <w:t xml:space="preserve">	51</w:t>
      </w:r>
    </w:p>
    <w:p>
      <w:pPr>
        <w:tabs>
          <w:tab w:val="right" w:pos="9026" w:leader="dot"/>
        </w:tabs>
        <w:spacing w:after="130"/>
        <w:ind/>
      </w:pPr>
      <w:r>
        <w:rPr>
          <w:rFonts w:ascii="Calibri" w:cs="Calibri" w:eastAsia="Calibri" w:hAnsi="Calibri"/>
          <w:b/>
          <w:bCs/>
          <w:color w:val="C79A1E"/>
          <w:sz w:val="20"/>
          <w:szCs w:val="20"/>
        </w:rPr>
        <w:t xml:space="preserve">44  </w:t>
      </w:r>
      <w:r>
        <w:rPr>
          <w:rFonts w:ascii="Calibri" w:cs="Calibri" w:eastAsia="Calibri" w:hAnsi="Calibri"/>
          <w:color w:val="1A1A1A"/>
          <w:sz w:val="20"/>
          <w:szCs w:val="20"/>
        </w:rPr>
        <w:t xml:space="preserve">Future Opportunities</w:t>
      </w:r>
      <w:r>
        <w:rPr>
          <w:rFonts w:ascii="Calibri" w:cs="Calibri" w:eastAsia="Calibri" w:hAnsi="Calibri"/>
          <w:color w:val="1A1A1A"/>
          <w:sz w:val="20"/>
          <w:szCs w:val="20"/>
        </w:rPr>
        <w:t xml:space="preserve">	52</w:t>
      </w:r>
    </w:p>
    <w:p>
      <w:pPr>
        <w:tabs>
          <w:tab w:val="right" w:pos="9026" w:leader="dot"/>
        </w:tabs>
        <w:spacing w:after="130"/>
        <w:ind/>
      </w:pPr>
      <w:r>
        <w:rPr>
          <w:rFonts w:ascii="Calibri" w:cs="Calibri" w:eastAsia="Calibri" w:hAnsi="Calibri"/>
          <w:b/>
          <w:bCs/>
          <w:color w:val="C79A1E"/>
          <w:sz w:val="20"/>
          <w:szCs w:val="20"/>
        </w:rPr>
        <w:t xml:space="preserve">45  </w:t>
      </w:r>
      <w:r>
        <w:rPr>
          <w:rFonts w:ascii="Calibri" w:cs="Calibri" w:eastAsia="Calibri" w:hAnsi="Calibri"/>
          <w:color w:val="1A1A1A"/>
          <w:sz w:val="20"/>
          <w:szCs w:val="20"/>
        </w:rPr>
        <w:t xml:space="preserve">International Expansion Strategy</w:t>
      </w:r>
      <w:r>
        <w:rPr>
          <w:rFonts w:ascii="Calibri" w:cs="Calibri" w:eastAsia="Calibri" w:hAnsi="Calibri"/>
          <w:color w:val="1A1A1A"/>
          <w:sz w:val="20"/>
          <w:szCs w:val="20"/>
        </w:rPr>
        <w:t xml:space="preserve">	53</w:t>
      </w:r>
    </w:p>
    <w:p>
      <w:pPr>
        <w:spacing w:after="100" w:before="220"/>
      </w:pPr>
      <w:r>
        <w:rPr>
          <w:rFonts w:ascii="Cambria" w:cs="Cambria" w:eastAsia="Cambria" w:hAnsi="Cambria"/>
          <w:b/>
          <w:bCs/>
          <w:caps/>
          <w:color w:val="0B1120"/>
          <w:sz w:val="21"/>
          <w:szCs w:val="21"/>
        </w:rPr>
        <w:t xml:space="preserve">Part VI: Readiness &amp; Reference</w:t>
      </w:r>
    </w:p>
    <w:p>
      <w:pPr>
        <w:tabs>
          <w:tab w:val="right" w:pos="9026" w:leader="dot"/>
        </w:tabs>
        <w:spacing w:after="130"/>
        <w:ind/>
      </w:pPr>
      <w:r>
        <w:rPr>
          <w:rFonts w:ascii="Calibri" w:cs="Calibri" w:eastAsia="Calibri" w:hAnsi="Calibri"/>
          <w:b/>
          <w:bCs/>
          <w:color w:val="C79A1E"/>
          <w:sz w:val="20"/>
          <w:szCs w:val="20"/>
        </w:rPr>
        <w:t xml:space="preserve">46  </w:t>
      </w:r>
      <w:r>
        <w:rPr>
          <w:rFonts w:ascii="Calibri" w:cs="Calibri" w:eastAsia="Calibri" w:hAnsi="Calibri"/>
          <w:color w:val="1A1A1A"/>
          <w:sz w:val="20"/>
          <w:szCs w:val="20"/>
        </w:rPr>
        <w:t xml:space="preserve">Institutional Readiness</w:t>
      </w:r>
      <w:r>
        <w:rPr>
          <w:rFonts w:ascii="Calibri" w:cs="Calibri" w:eastAsia="Calibri" w:hAnsi="Calibri"/>
          <w:color w:val="1A1A1A"/>
          <w:sz w:val="20"/>
          <w:szCs w:val="20"/>
        </w:rPr>
        <w:t xml:space="preserve">	54</w:t>
      </w:r>
    </w:p>
    <w:p>
      <w:pPr>
        <w:tabs>
          <w:tab w:val="right" w:pos="9026" w:leader="dot"/>
        </w:tabs>
        <w:spacing w:after="130"/>
        <w:ind/>
      </w:pPr>
      <w:r>
        <w:rPr>
          <w:rFonts w:ascii="Calibri" w:cs="Calibri" w:eastAsia="Calibri" w:hAnsi="Calibri"/>
          <w:b/>
          <w:bCs/>
          <w:color w:val="C79A1E"/>
          <w:sz w:val="20"/>
          <w:szCs w:val="20"/>
        </w:rPr>
        <w:t xml:space="preserve">47  </w:t>
      </w:r>
      <w:r>
        <w:rPr>
          <w:rFonts w:ascii="Calibri" w:cs="Calibri" w:eastAsia="Calibri" w:hAnsi="Calibri"/>
          <w:color w:val="1A1A1A"/>
          <w:sz w:val="20"/>
          <w:szCs w:val="20"/>
        </w:rPr>
        <w:t xml:space="preserve">Grant Readiness</w:t>
      </w:r>
      <w:r>
        <w:rPr>
          <w:rFonts w:ascii="Calibri" w:cs="Calibri" w:eastAsia="Calibri" w:hAnsi="Calibri"/>
          <w:color w:val="1A1A1A"/>
          <w:sz w:val="20"/>
          <w:szCs w:val="20"/>
        </w:rPr>
        <w:t xml:space="preserve">	55</w:t>
      </w:r>
    </w:p>
    <w:p>
      <w:pPr>
        <w:tabs>
          <w:tab w:val="right" w:pos="9026" w:leader="dot"/>
        </w:tabs>
        <w:spacing w:after="130"/>
        <w:ind/>
      </w:pPr>
      <w:r>
        <w:rPr>
          <w:rFonts w:ascii="Calibri" w:cs="Calibri" w:eastAsia="Calibri" w:hAnsi="Calibri"/>
          <w:b/>
          <w:bCs/>
          <w:color w:val="C79A1E"/>
          <w:sz w:val="20"/>
          <w:szCs w:val="20"/>
        </w:rPr>
        <w:t xml:space="preserve">48  </w:t>
      </w:r>
      <w:r>
        <w:rPr>
          <w:rFonts w:ascii="Calibri" w:cs="Calibri" w:eastAsia="Calibri" w:hAnsi="Calibri"/>
          <w:color w:val="1A1A1A"/>
          <w:sz w:val="20"/>
          <w:szCs w:val="20"/>
        </w:rPr>
        <w:t xml:space="preserve">Investor FAQ</w:t>
      </w:r>
      <w:r>
        <w:rPr>
          <w:rFonts w:ascii="Calibri" w:cs="Calibri" w:eastAsia="Calibri" w:hAnsi="Calibri"/>
          <w:color w:val="1A1A1A"/>
          <w:sz w:val="20"/>
          <w:szCs w:val="20"/>
        </w:rPr>
        <w:t xml:space="preserve">	56</w:t>
      </w:r>
    </w:p>
    <w:p>
      <w:pPr>
        <w:tabs>
          <w:tab w:val="right" w:pos="9026" w:leader="dot"/>
        </w:tabs>
        <w:spacing w:after="130"/>
        <w:ind/>
      </w:pPr>
      <w:r>
        <w:rPr>
          <w:rFonts w:ascii="Calibri" w:cs="Calibri" w:eastAsia="Calibri" w:hAnsi="Calibri"/>
          <w:b/>
          <w:bCs/>
          <w:color w:val="C79A1E"/>
          <w:sz w:val="20"/>
          <w:szCs w:val="20"/>
        </w:rPr>
        <w:t xml:space="preserve">49  </w:t>
      </w:r>
      <w:r>
        <w:rPr>
          <w:rFonts w:ascii="Calibri" w:cs="Calibri" w:eastAsia="Calibri" w:hAnsi="Calibri"/>
          <w:color w:val="1A1A1A"/>
          <w:sz w:val="20"/>
          <w:szCs w:val="20"/>
        </w:rPr>
        <w:t xml:space="preserve">Media FAQ</w:t>
      </w:r>
      <w:r>
        <w:rPr>
          <w:rFonts w:ascii="Calibri" w:cs="Calibri" w:eastAsia="Calibri" w:hAnsi="Calibri"/>
          <w:color w:val="1A1A1A"/>
          <w:sz w:val="20"/>
          <w:szCs w:val="20"/>
        </w:rPr>
        <w:t xml:space="preserve">	57</w:t>
      </w:r>
    </w:p>
    <w:p>
      <w:pPr>
        <w:tabs>
          <w:tab w:val="right" w:pos="9026" w:leader="dot"/>
        </w:tabs>
        <w:spacing w:after="130"/>
        <w:ind/>
      </w:pPr>
      <w:r>
        <w:rPr>
          <w:rFonts w:ascii="Calibri" w:cs="Calibri" w:eastAsia="Calibri" w:hAnsi="Calibri"/>
          <w:b/>
          <w:bCs/>
          <w:color w:val="C79A1E"/>
          <w:sz w:val="20"/>
          <w:szCs w:val="20"/>
        </w:rPr>
        <w:t xml:space="preserve">50  </w:t>
      </w:r>
      <w:r>
        <w:rPr>
          <w:rFonts w:ascii="Calibri" w:cs="Calibri" w:eastAsia="Calibri" w:hAnsi="Calibri"/>
          <w:color w:val="1A1A1A"/>
          <w:sz w:val="20"/>
          <w:szCs w:val="20"/>
        </w:rPr>
        <w:t xml:space="preserve">Technical FAQ</w:t>
      </w:r>
      <w:r>
        <w:rPr>
          <w:rFonts w:ascii="Calibri" w:cs="Calibri" w:eastAsia="Calibri" w:hAnsi="Calibri"/>
          <w:color w:val="1A1A1A"/>
          <w:sz w:val="20"/>
          <w:szCs w:val="20"/>
        </w:rPr>
        <w:t xml:space="preserve">	58</w:t>
      </w:r>
    </w:p>
    <w:p>
      <w:pPr>
        <w:tabs>
          <w:tab w:val="right" w:pos="9026" w:leader="dot"/>
        </w:tabs>
        <w:spacing w:after="130"/>
        <w:ind/>
      </w:pPr>
      <w:r>
        <w:rPr>
          <w:rFonts w:ascii="Calibri" w:cs="Calibri" w:eastAsia="Calibri" w:hAnsi="Calibri"/>
          <w:b/>
          <w:bCs/>
          <w:color w:val="C79A1E"/>
          <w:sz w:val="20"/>
          <w:szCs w:val="20"/>
        </w:rPr>
        <w:t xml:space="preserve">51  </w:t>
      </w:r>
      <w:r>
        <w:rPr>
          <w:rFonts w:ascii="Calibri" w:cs="Calibri" w:eastAsia="Calibri" w:hAnsi="Calibri"/>
          <w:color w:val="1A1A1A"/>
          <w:sz w:val="20"/>
          <w:szCs w:val="20"/>
        </w:rPr>
        <w:t xml:space="preserve">Open Source FAQ</w:t>
      </w:r>
      <w:r>
        <w:rPr>
          <w:rFonts w:ascii="Calibri" w:cs="Calibri" w:eastAsia="Calibri" w:hAnsi="Calibri"/>
          <w:color w:val="1A1A1A"/>
          <w:sz w:val="20"/>
          <w:szCs w:val="20"/>
        </w:rPr>
        <w:t xml:space="preserve">	59</w:t>
      </w:r>
    </w:p>
    <w:p>
      <w:pPr>
        <w:tabs>
          <w:tab w:val="right" w:pos="9026" w:leader="dot"/>
        </w:tabs>
        <w:spacing w:after="130"/>
        <w:ind/>
      </w:pPr>
      <w:r>
        <w:rPr>
          <w:rFonts w:ascii="Calibri" w:cs="Calibri" w:eastAsia="Calibri" w:hAnsi="Calibri"/>
          <w:b/>
          <w:bCs/>
          <w:color w:val="C79A1E"/>
          <w:sz w:val="20"/>
          <w:szCs w:val="20"/>
        </w:rPr>
        <w:t xml:space="preserve">52  </w:t>
      </w:r>
      <w:r>
        <w:rPr>
          <w:rFonts w:ascii="Calibri" w:cs="Calibri" w:eastAsia="Calibri" w:hAnsi="Calibri"/>
          <w:color w:val="1A1A1A"/>
          <w:sz w:val="20"/>
          <w:szCs w:val="20"/>
        </w:rPr>
        <w:t xml:space="preserve">Appendices</w:t>
      </w:r>
      <w:r>
        <w:rPr>
          <w:rFonts w:ascii="Calibri" w:cs="Calibri" w:eastAsia="Calibri" w:hAnsi="Calibri"/>
          <w:color w:val="1A1A1A"/>
          <w:sz w:val="20"/>
          <w:szCs w:val="20"/>
        </w:rPr>
        <w:t xml:space="preserve">	60</w:t>
      </w:r>
    </w:p>
    <w:p>
      <w:pPr>
        <w:tabs>
          <w:tab w:val="right" w:pos="9026" w:leader="dot"/>
        </w:tabs>
        <w:spacing w:after="130"/>
        <w:ind/>
      </w:pPr>
      <w:r>
        <w:rPr>
          <w:rFonts w:ascii="Calibri" w:cs="Calibri" w:eastAsia="Calibri" w:hAnsi="Calibri"/>
          <w:b/>
          <w:bCs/>
          <w:color w:val="C79A1E"/>
          <w:sz w:val="20"/>
          <w:szCs w:val="20"/>
        </w:rPr>
        <w:t xml:space="preserve">53  </w:t>
      </w:r>
      <w:r>
        <w:rPr>
          <w:rFonts w:ascii="Calibri" w:cs="Calibri" w:eastAsia="Calibri" w:hAnsi="Calibri"/>
          <w:color w:val="1A1A1A"/>
          <w:sz w:val="20"/>
          <w:szCs w:val="20"/>
        </w:rPr>
        <w:t xml:space="preserve">Glossary</w:t>
      </w:r>
      <w:r>
        <w:rPr>
          <w:rFonts w:ascii="Calibri" w:cs="Calibri" w:eastAsia="Calibri" w:hAnsi="Calibri"/>
          <w:color w:val="1A1A1A"/>
          <w:sz w:val="20"/>
          <w:szCs w:val="20"/>
        </w:rPr>
        <w:t xml:space="preserve">	62</w:t>
      </w:r>
    </w:p>
    <w:p>
      <w:pPr>
        <w:tabs>
          <w:tab w:val="right" w:pos="9026" w:leader="dot"/>
        </w:tabs>
        <w:spacing w:after="130"/>
        <w:ind/>
      </w:pPr>
      <w:r>
        <w:rPr>
          <w:rFonts w:ascii="Calibri" w:cs="Calibri" w:eastAsia="Calibri" w:hAnsi="Calibri"/>
          <w:b/>
          <w:bCs/>
          <w:color w:val="C79A1E"/>
          <w:sz w:val="20"/>
          <w:szCs w:val="20"/>
        </w:rPr>
        <w:t xml:space="preserve">54  </w:t>
      </w:r>
      <w:r>
        <w:rPr>
          <w:rFonts w:ascii="Calibri" w:cs="Calibri" w:eastAsia="Calibri" w:hAnsi="Calibri"/>
          <w:color w:val="1A1A1A"/>
          <w:sz w:val="20"/>
          <w:szCs w:val="20"/>
        </w:rPr>
        <w:t xml:space="preserve">References</w:t>
      </w:r>
      <w:r>
        <w:rPr>
          <w:rFonts w:ascii="Calibri" w:cs="Calibri" w:eastAsia="Calibri" w:hAnsi="Calibri"/>
          <w:color w:val="1A1A1A"/>
          <w:sz w:val="20"/>
          <w:szCs w:val="20"/>
        </w:rPr>
        <w:t xml:space="preserve">	63</w:t>
      </w:r>
    </w:p>
    <w:p>
      <w:pPr>
        <w:tabs>
          <w:tab w:val="right" w:pos="9026" w:leader="dot"/>
        </w:tabs>
        <w:spacing w:after="130"/>
        <w:ind/>
      </w:pPr>
      <w:r>
        <w:rPr>
          <w:rFonts w:ascii="Calibri" w:cs="Calibri" w:eastAsia="Calibri" w:hAnsi="Calibri"/>
          <w:b/>
          <w:bCs/>
          <w:color w:val="C79A1E"/>
          <w:sz w:val="20"/>
          <w:szCs w:val="20"/>
        </w:rPr>
        <w:t xml:space="preserve">55  </w:t>
      </w:r>
      <w:r>
        <w:rPr>
          <w:rFonts w:ascii="Calibri" w:cs="Calibri" w:eastAsia="Calibri" w:hAnsi="Calibri"/>
          <w:color w:val="1A1A1A"/>
          <w:sz w:val="20"/>
          <w:szCs w:val="20"/>
        </w:rPr>
        <w:t xml:space="preserve">Acknowledgements</w:t>
      </w:r>
      <w:r>
        <w:rPr>
          <w:rFonts w:ascii="Calibri" w:cs="Calibri" w:eastAsia="Calibri" w:hAnsi="Calibri"/>
          <w:color w:val="1A1A1A"/>
          <w:sz w:val="20"/>
          <w:szCs w:val="20"/>
        </w:rPr>
        <w:t xml:space="preserve">	64</w:t>
      </w:r>
    </w:p>
    <w:p>
      <w:r>
        <w:br w:type="page"/>
      </w:r>
    </w:p>
    <w:p>
      <w:pPr>
        <w:sectPr>
          <w:headerReference w:type="default" r:id="rId7"/>
          <w:footerReference w:type="default" r:id="rId8"/>
          <w:pgSz w:w="12240" w:h="15840" w:orient="portrait"/>
          <w:pgMar w:top="1440" w:right="1440" w:bottom="1440" w:left="1440" w:header="620" w:footer="620" w:gutter="0"/>
          <w:pgNumType/>
          <w:docGrid w:linePitch="360"/>
        </w:sectPr>
      </w:pPr>
    </w:p>
    <w:p>
      <w:pPr>
        <w:pStyle w:val="Heading1"/>
        <w:pBdr>
          <w:bottom w:val="single" w:color="0B1120" w:sz="6" w:space="8"/>
        </w:pBdr>
        <w:spacing w:after="260" w:before="200"/>
      </w:pPr>
      <w:r>
        <w:rPr>
          <w:rFonts w:ascii="Cambria" w:cs="Cambria" w:eastAsia="Cambria" w:hAnsi="Cambria"/>
          <w:b/>
          <w:bCs/>
          <w:color w:val="0B1120"/>
          <w:sz w:val="40"/>
          <w:szCs w:val="40"/>
        </w:rPr>
        <w:t xml:space="preserve">Foreword</w:t>
      </w:r>
    </w:p>
    <w:p>
      <w:pPr>
        <w:spacing w:after="200" w:line="300"/>
        <w:jc w:val="both"/>
      </w:pPr>
      <w:r>
        <w:rPr>
          <w:rFonts w:ascii="Calibri" w:cs="Calibri" w:eastAsia="Calibri" w:hAnsi="Calibri"/>
          <w:b w:val="false"/>
          <w:bCs w:val="false"/>
          <w:i w:val="false"/>
          <w:iCs w:val="false"/>
          <w:color w:val="1A1A1A"/>
          <w:sz w:val="22"/>
          <w:szCs w:val="22"/>
        </w:rPr>
        <w:t xml:space="preserve">Every so often, a small organization asks a large question. CeloHT asks one of the largest questions in international development: what happens when financial education, open-source software, and environmental stewardship are treated not as three separate problems, but as one integrated design challenge?</w:t>
      </w:r>
    </w:p>
    <w:p>
      <w:pPr>
        <w:spacing w:after="200" w:line="300"/>
        <w:jc w:val="both"/>
      </w:pPr>
      <w:r>
        <w:rPr>
          <w:rFonts w:ascii="Calibri" w:cs="Calibri" w:eastAsia="Calibri" w:hAnsi="Calibri"/>
          <w:b w:val="false"/>
          <w:bCs w:val="false"/>
          <w:i w:val="false"/>
          <w:iCs w:val="false"/>
          <w:color w:val="1A1A1A"/>
          <w:sz w:val="22"/>
          <w:szCs w:val="22"/>
        </w:rPr>
        <w:t xml:space="preserve">The conventional approach to financial inclusion in the Caribbean and much of the developing world has relied on a familiar sequence: a donor funds a pilot, a report is written, and the program ends when the grant does. CeloHT was built to interrupt that sequence. It is designed as public infrastructure: source code that anyone can inspect, curricula that anyone can teach, and a reforestation program whose outcomes can be measured independently of the organization that started it.</w:t>
      </w:r>
    </w:p>
    <w:p>
      <w:pPr>
        <w:spacing w:after="200" w:line="300"/>
        <w:jc w:val="both"/>
      </w:pPr>
      <w:r>
        <w:rPr>
          <w:rFonts w:ascii="Calibri" w:cs="Calibri" w:eastAsia="Calibri" w:hAnsi="Calibri"/>
          <w:b w:val="false"/>
          <w:bCs w:val="false"/>
          <w:i w:val="false"/>
          <w:iCs w:val="false"/>
          <w:color w:val="1A1A1A"/>
          <w:sz w:val="22"/>
          <w:szCs w:val="22"/>
        </w:rPr>
        <w:t xml:space="preserve">What distinguishes this initiative is not the technology it uses, though the technology matters. Celo was selected deliberately for its low transaction costs and its mobile-first design, both of which matter enormously in a country where banking infrastructure is thin and smartphone penetration is the primary gateway to digital services. What distinguishes CeloHT is the discipline with which it has been built: documentation before promotion, governance structures before token economics, and a refusal to describe itself as something it is not. CeloHT does not issue a cryptocurrency. It does not operate a decentralized finance protocol. It teaches people how to use tools that already exist, safely and in their own language.</w:t>
      </w:r>
    </w:p>
    <w:p>
      <w:pPr>
        <w:spacing w:after="200" w:line="300"/>
        <w:jc w:val="both"/>
      </w:pPr>
      <w:r>
        <w:rPr>
          <w:rFonts w:ascii="Calibri" w:cs="Calibri" w:eastAsia="Calibri" w:hAnsi="Calibri"/>
          <w:b w:val="false"/>
          <w:bCs w:val="false"/>
          <w:i w:val="false"/>
          <w:iCs w:val="false"/>
          <w:color w:val="1A1A1A"/>
          <w:sz w:val="22"/>
          <w:szCs w:val="22"/>
        </w:rPr>
        <w:t xml:space="preserve">This book was commissioned to give investors, grant committees, and institutional partners an honest account of what CeloHT has built, why it was built this way, and what it will take to grow. Readers who are accustomed to promotional literature from the Web3 sector may find the tone here unusually restrained. That restraint is intentional. An organization asking to be trusted with capital and with a community's financial education should be judged on the clarity of its record, not the enthusiasm of its prose.</w:t>
      </w:r>
    </w:p>
    <w:p>
      <w:pPr>
        <w:spacing w:after="200" w:line="300"/>
        <w:jc w:val="both"/>
      </w:pPr>
      <w:r>
        <w:rPr>
          <w:rFonts w:ascii="Calibri" w:cs="Calibri" w:eastAsia="Calibri" w:hAnsi="Calibri"/>
          <w:b w:val="false"/>
          <w:bCs w:val="false"/>
          <w:i w:val="false"/>
          <w:iCs w:val="false"/>
          <w:color w:val="1A1A1A"/>
          <w:sz w:val="22"/>
          <w:szCs w:val="22"/>
        </w:rPr>
        <w:t xml:space="preserve">What follows is that record.</w:t>
      </w:r>
    </w:p>
    <w:p>
      <w:pPr>
        <w:sectPr>
          <w:headerReference w:type="default" r:id="rId9"/>
          <w:footerReference w:type="default" r:id="rId10"/>
          <w:pgSz w:w="12240" w:h="15840" w:orient="portrait"/>
          <w:pgMar w:top="1440" w:right="1440" w:bottom="1440" w:left="1440" w:header="620" w:footer="620" w:gutter="0"/>
          <w:pgNumType/>
          <w:docGrid w:linePitch="360"/>
        </w:sectPr>
      </w:pPr>
    </w:p>
    <w:p>
      <w:pPr>
        <w:pStyle w:val="Heading1"/>
        <w:pBdr>
          <w:bottom w:val="single" w:color="0B1120" w:sz="6" w:space="8"/>
        </w:pBdr>
        <w:spacing w:after="260" w:before="200"/>
      </w:pPr>
      <w:r>
        <w:rPr>
          <w:rFonts w:ascii="Cambria" w:cs="Cambria" w:eastAsia="Cambria" w:hAnsi="Cambria"/>
          <w:b/>
          <w:bCs/>
          <w:color w:val="0B1120"/>
          <w:sz w:val="40"/>
          <w:szCs w:val="40"/>
        </w:rPr>
        <w:t xml:space="preserve">Letter from the Founder</w:t>
      </w:r>
    </w:p>
    <w:p>
      <w:pPr>
        <w:spacing w:after="200" w:line="300"/>
        <w:jc w:val="left"/>
      </w:pPr>
      <w:r>
        <w:rPr>
          <w:rFonts w:ascii="Calibri" w:cs="Calibri" w:eastAsia="Calibri" w:hAnsi="Calibri"/>
          <w:b w:val="false"/>
          <w:bCs w:val="false"/>
          <w:i/>
          <w:iCs/>
          <w:color w:val="1A1A1A"/>
          <w:sz w:val="22"/>
          <w:szCs w:val="22"/>
        </w:rPr>
        <w:t xml:space="preserve">Léogâne, Haiti</w:t>
      </w:r>
    </w:p>
    <w:p>
      <w:pPr>
        <w:spacing w:after="200" w:line="300"/>
        <w:jc w:val="both"/>
      </w:pPr>
      <w:r>
        <w:rPr>
          <w:rFonts w:ascii="Calibri" w:cs="Calibri" w:eastAsia="Calibri" w:hAnsi="Calibri"/>
          <w:b w:val="false"/>
          <w:bCs w:val="false"/>
          <w:i w:val="false"/>
          <w:iCs w:val="false"/>
          <w:color w:val="1A1A1A"/>
          <w:sz w:val="22"/>
          <w:szCs w:val="22"/>
        </w:rPr>
        <w:t xml:space="preserve">To our future partners,</w:t>
      </w:r>
    </w:p>
    <w:p>
      <w:pPr>
        <w:spacing w:after="200" w:line="300"/>
        <w:jc w:val="both"/>
      </w:pPr>
      <w:r>
        <w:rPr>
          <w:rFonts w:ascii="Calibri" w:cs="Calibri" w:eastAsia="Calibri" w:hAnsi="Calibri"/>
          <w:b w:val="false"/>
          <w:bCs w:val="false"/>
          <w:i w:val="false"/>
          <w:iCs w:val="false"/>
          <w:color w:val="1A1A1A"/>
          <w:sz w:val="22"/>
          <w:szCs w:val="22"/>
        </w:rPr>
        <w:t xml:space="preserve">I did not begin CeloHT with a business plan. I began it with a question that stayed with me long after I first learned about blockchain technology: why does the infrastructure of the digital economy so rarely arrive in Haitian Creole? Every major platform, every onboarding tutorial, every piece of documentation was written for someone else, in a language most of my neighbors do not read comfortably. If financial inclusion means anything, it has to start with language, because a tool nobody can understand is not inclusive. It is simply inaccessible in a different way.</w:t>
      </w:r>
    </w:p>
    <w:p>
      <w:pPr>
        <w:spacing w:after="200" w:line="300"/>
        <w:jc w:val="both"/>
      </w:pPr>
      <w:r>
        <w:rPr>
          <w:rFonts w:ascii="Calibri" w:cs="Calibri" w:eastAsia="Calibri" w:hAnsi="Calibri"/>
          <w:b w:val="false"/>
          <w:bCs w:val="false"/>
          <w:i w:val="false"/>
          <w:iCs w:val="false"/>
          <w:color w:val="1A1A1A"/>
          <w:sz w:val="22"/>
          <w:szCs w:val="22"/>
        </w:rPr>
        <w:t xml:space="preserve">CeloHT began as an attempt to close that gap for one community. It has grown into something larger: an open-source ecosystem with eight public repositories, a documentation hub, a smart-contract framework, and an education program that has already produced more than a dozen full-length instructional volumes written from the ground up in Haitian Creole. None of this happened because we had significant capital. It happened because we treated the work as infrastructure: the kind of thing you build once, correctly, so that others can build on top of it.</w:t>
      </w:r>
    </w:p>
    <w:p>
      <w:pPr>
        <w:spacing w:after="200" w:line="300"/>
        <w:jc w:val="both"/>
      </w:pPr>
      <w:r>
        <w:rPr>
          <w:rFonts w:ascii="Calibri" w:cs="Calibri" w:eastAsia="Calibri" w:hAnsi="Calibri"/>
          <w:b w:val="false"/>
          <w:bCs w:val="false"/>
          <w:i w:val="false"/>
          <w:iCs w:val="false"/>
          <w:color w:val="1A1A1A"/>
          <w:sz w:val="22"/>
          <w:szCs w:val="22"/>
        </w:rPr>
        <w:t xml:space="preserve">I want to be direct about what CeloHT is and is not, because credibility depends on precision. CeloHT is not a cryptocurrency project. We have not issued a token, and we have no plans to. We use USDm, a stablecoin already issued and regulated within the Celo ecosystem, and Valora, an existing non-custodial wallet, because rebuilding that infrastructure ourselves would waste resources that are better spent on education and reforestation. Our contribution is not a new financial instrument. It is the education, documentation, and community infrastructure that make existing instruments usable and trustworthy for people who have never had a reason to trust digital finance before.</w:t>
      </w:r>
    </w:p>
    <w:p>
      <w:pPr>
        <w:spacing w:after="200" w:line="300"/>
        <w:jc w:val="both"/>
      </w:pPr>
      <w:r>
        <w:rPr>
          <w:rFonts w:ascii="Calibri" w:cs="Calibri" w:eastAsia="Calibri" w:hAnsi="Calibri"/>
          <w:b w:val="false"/>
          <w:bCs w:val="false"/>
          <w:i w:val="false"/>
          <w:iCs w:val="false"/>
          <w:color w:val="1A1A1A"/>
          <w:sz w:val="22"/>
          <w:szCs w:val="22"/>
        </w:rPr>
        <w:t xml:space="preserve">This book explains where that work stands today, what has been completed, what remains a work in progress, and where we believe outside partners can accelerate what is already a functioning, if still young, ecosystem. I have asked that this manuscript be written with the same standard we apply to our own documentation: nothing overstated, nothing hidden, and everything written so that a stranger to Haiti, to Celo, and to Web3 can understand exactly what we do and why it matters.</w:t>
      </w:r>
    </w:p>
    <w:p>
      <w:pPr>
        <w:spacing w:after="200" w:line="300"/>
        <w:jc w:val="both"/>
      </w:pPr>
      <w:r>
        <w:rPr>
          <w:rFonts w:ascii="Calibri" w:cs="Calibri" w:eastAsia="Calibri" w:hAnsi="Calibri"/>
          <w:b w:val="false"/>
          <w:bCs w:val="false"/>
          <w:i w:val="false"/>
          <w:iCs w:val="false"/>
          <w:color w:val="1A1A1A"/>
          <w:sz w:val="22"/>
          <w:szCs w:val="22"/>
        </w:rPr>
        <w:t xml:space="preserve">Thank you for taking the time to read it.</w:t>
      </w:r>
    </w:p>
    <w:p>
      <w:pPr>
        <w:spacing w:before="300"/>
      </w:pPr>
      <w:r>
        <w:rPr>
          <w:rFonts w:ascii="Cambria" w:cs="Cambria" w:eastAsia="Cambria" w:hAnsi="Cambria"/>
          <w:b/>
          <w:bCs/>
          <w:color w:val="0B1120"/>
          <w:sz w:val="24"/>
          <w:szCs w:val="24"/>
        </w:rPr>
        <w:t xml:space="preserve">Johnny Dubic</w:t>
      </w:r>
    </w:p>
    <w:p>
      <w:pPr>
        <w:spacing w:after="200" w:line="300"/>
        <w:jc w:val="both"/>
      </w:pPr>
      <w:r>
        <w:rPr>
          <w:rFonts w:ascii="Calibri" w:cs="Calibri" w:eastAsia="Calibri" w:hAnsi="Calibri"/>
          <w:b w:val="false"/>
          <w:bCs w:val="false"/>
          <w:i/>
          <w:iCs/>
          <w:color w:val="1A1A1A"/>
          <w:sz w:val="22"/>
          <w:szCs w:val="22"/>
        </w:rPr>
        <w:t xml:space="preserve">Founder, CeloHT and FreClean</w:t>
      </w:r>
    </w:p>
    <w:p>
      <w:pPr>
        <w:sectPr>
          <w:headerReference w:type="default" r:id="rId11"/>
          <w:footerReference w:type="default" r:id="rId12"/>
          <w:pgSz w:w="12240" w:h="15840" w:orient="portrait"/>
          <w:pgMar w:top="1440" w:right="1440" w:bottom="1440" w:left="1440" w:header="620" w:footer="620" w:gutter="0"/>
          <w:pgNumType/>
          <w:docGrid w:linePitch="360"/>
        </w:sectPr>
      </w:pPr>
    </w:p>
    <w:p>
      <w:pPr>
        <w:pStyle w:val="Heading1"/>
        <w:pBdr>
          <w:bottom w:val="single" w:color="0B1120" w:sz="6" w:space="8"/>
        </w:pBdr>
        <w:spacing w:after="260" w:before="200"/>
      </w:pPr>
      <w:r>
        <w:rPr>
          <w:rFonts w:ascii="Cambria" w:cs="Cambria" w:eastAsia="Cambria" w:hAnsi="Cambria"/>
          <w:b/>
          <w:bCs/>
          <w:color w:val="0B1120"/>
          <w:sz w:val="40"/>
          <w:szCs w:val="40"/>
        </w:rPr>
        <w:t xml:space="preserve">Executive Summary</w:t>
      </w:r>
    </w:p>
    <w:p>
      <w:pPr>
        <w:spacing w:after="200" w:line="300"/>
        <w:jc w:val="both"/>
      </w:pPr>
      <w:r>
        <w:rPr>
          <w:rFonts w:ascii="Calibri" w:cs="Calibri" w:eastAsia="Calibri" w:hAnsi="Calibri"/>
          <w:b w:val="false"/>
          <w:bCs w:val="false"/>
          <w:i w:val="false"/>
          <w:iCs w:val="false"/>
          <w:color w:val="1A1A1A"/>
          <w:sz w:val="22"/>
          <w:szCs w:val="22"/>
        </w:rPr>
        <w:t xml:space="preserve">CeloHT is an open-source, community-driven initiative based in Léogâne, Haiti, that uses the Celo blockchain to advance financial inclusion through three coordinated pillars: Education, an Agent Network, and Reforestation. It is designed to give Haitian and wider Caribbean communities practical, native-language access to digital financial tools, while building local capacity in software development, community organizing, and environmental stewardship.</w:t>
      </w:r>
    </w:p>
    <w:p>
      <w:pPr>
        <w:pStyle w:val="Heading2"/>
        <w:spacing w:after="140" w:before="260"/>
      </w:pPr>
      <w:r>
        <w:rPr>
          <w:rFonts w:ascii="Cambria" w:cs="Cambria" w:eastAsia="Cambria" w:hAnsi="Cambria"/>
          <w:b/>
          <w:bCs/>
          <w:color w:val="0B1120"/>
          <w:sz w:val="26"/>
          <w:szCs w:val="26"/>
        </w:rPr>
        <w:t xml:space="preserve">What CeloHT Has Built</w:t>
      </w:r>
    </w:p>
    <w:p>
      <w:pPr>
        <w:spacing w:after="200" w:line="300"/>
        <w:jc w:val="both"/>
      </w:pPr>
      <w:r>
        <w:rPr>
          <w:rFonts w:ascii="Calibri" w:cs="Calibri" w:eastAsia="Calibri" w:hAnsi="Calibri"/>
          <w:b w:val="false"/>
          <w:bCs w:val="false"/>
          <w:i w:val="false"/>
          <w:iCs w:val="false"/>
          <w:color w:val="1A1A1A"/>
          <w:sz w:val="22"/>
          <w:szCs w:val="22"/>
        </w:rPr>
        <w:t xml:space="preserve">As of this publication, CeloHT maintains an eight-repository open-source ecosystem under its Celo-HaiTi GitHub organization, comprising a core governance and documentation repository, a dedicated documentation hub, a research repository, a public website, a decentralized-application repository, a smart-contracts repository, a brand repository, and an org-wide community health repository. Alongside this technical infrastructure, CeloHT has produced thirteen completed volumes of a planned thirty-volume educational series, the CeloHT Academy, covering blockchain fundamentals, Web3 concepts, the Celo network, and practical financial topics, all authored in Haitian Creole.</w:t>
      </w:r>
    </w:p>
    <w:p>
      <w:pPr>
        <w:pStyle w:val="Heading2"/>
        <w:spacing w:after="140" w:before="260"/>
      </w:pPr>
      <w:r>
        <w:rPr>
          <w:rFonts w:ascii="Cambria" w:cs="Cambria" w:eastAsia="Cambria" w:hAnsi="Cambria"/>
          <w:b/>
          <w:bCs/>
          <w:color w:val="0B1120"/>
          <w:sz w:val="26"/>
          <w:szCs w:val="26"/>
        </w:rPr>
        <w:t xml:space="preserve">The Investment Case</w:t>
      </w:r>
    </w:p>
    <w:p>
      <w:pPr>
        <w:spacing w:after="200" w:line="300"/>
        <w:jc w:val="both"/>
      </w:pPr>
      <w:r>
        <w:rPr>
          <w:rFonts w:ascii="Calibri" w:cs="Calibri" w:eastAsia="Calibri" w:hAnsi="Calibri"/>
          <w:b w:val="false"/>
          <w:bCs w:val="false"/>
          <w:i w:val="false"/>
          <w:iCs w:val="false"/>
          <w:color w:val="1A1A1A"/>
          <w:sz w:val="22"/>
          <w:szCs w:val="22"/>
        </w:rPr>
        <w:t xml:space="preserve">CeloHT asks for support not as a speculative technology venture but as public-interest infrastructure with a clear, auditable body of work already in place. The organization's open-source repositories, documentation standards, and educational output are independently verifiable today, before any additional capital is committed. This is a deliberate sequencing choice: build the credibility first, then scale it.</w:t>
      </w:r>
    </w:p>
    <w:p>
      <w:pPr>
        <w:sectPr>
          <w:headerReference w:type="default" r:id="rId13"/>
          <w:footerReference w:type="default" r:id="rId14"/>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4</w:t>
      </w:r>
    </w:p>
    <w:p>
      <w:pPr>
        <w:pStyle w:val="Heading1"/>
        <w:pBdr>
          <w:bottom w:val="single" w:color="0B1120" w:sz="6" w:space="8"/>
        </w:pBdr>
        <w:spacing w:after="260"/>
      </w:pPr>
      <w:r>
        <w:rPr>
          <w:rFonts w:ascii="Cambria" w:cs="Cambria" w:eastAsia="Cambria" w:hAnsi="Cambria"/>
          <w:b/>
          <w:bCs/>
          <w:color w:val="0B1120"/>
          <w:sz w:val="40"/>
          <w:szCs w:val="40"/>
        </w:rPr>
        <w:t xml:space="preserve">The Story Behind CeloHT</w:t>
      </w:r>
    </w:p>
    <w:p>
      <w:pPr>
        <w:spacing w:after="200" w:line="300"/>
        <w:jc w:val="both"/>
      </w:pPr>
      <w:r>
        <w:rPr>
          <w:rFonts w:ascii="Calibri" w:cs="Calibri" w:eastAsia="Calibri" w:hAnsi="Calibri"/>
          <w:b w:val="false"/>
          <w:bCs w:val="false"/>
          <w:i/>
          <w:iCs/>
          <w:color w:val="555555"/>
          <w:sz w:val="22"/>
          <w:szCs w:val="22"/>
        </w:rPr>
        <w:t xml:space="preserve">This chapter explains the origin of CeloHT and the reasoning that shaped its early design decisions.</w:t>
      </w:r>
    </w:p>
    <w:p>
      <w:pPr>
        <w:spacing w:after="200" w:line="300"/>
        <w:jc w:val="both"/>
      </w:pPr>
      <w:r>
        <w:rPr>
          <w:rFonts w:ascii="Calibri" w:cs="Calibri" w:eastAsia="Calibri" w:hAnsi="Calibri"/>
          <w:b w:val="false"/>
          <w:bCs w:val="false"/>
          <w:i w:val="false"/>
          <w:iCs w:val="false"/>
          <w:color w:val="1A1A1A"/>
          <w:sz w:val="22"/>
          <w:szCs w:val="22"/>
        </w:rPr>
        <w:t xml:space="preserve">CeloHT did not begin as a company. It began as a documentation exercise: an attempt to write down, in Haitian Creole, what blockchain technology actually is, stripped of the jargon and speculation that dominate most public discussion of the subject. The earliest work was a single research document and a static prototype website, built to test one hypothesis: that the primary barrier to digital financial participation in Haiti was not access to smartphones, which are widespread, but access to explanation.</w:t>
      </w:r>
    </w:p>
    <w:p>
      <w:pPr>
        <w:spacing w:after="200" w:line="300"/>
        <w:jc w:val="both"/>
      </w:pPr>
      <w:r>
        <w:rPr>
          <w:rFonts w:ascii="Calibri" w:cs="Calibri" w:eastAsia="Calibri" w:hAnsi="Calibri"/>
          <w:b w:val="false"/>
          <w:bCs w:val="false"/>
          <w:i w:val="false"/>
          <w:iCs w:val="false"/>
          <w:color w:val="1A1A1A"/>
          <w:sz w:val="22"/>
          <w:szCs w:val="22"/>
        </w:rPr>
        <w:t xml:space="preserve">That hypothesis shaped everything that followed. Rather than building a product first and explaining it later, CeloHT inverted the usual sequence. Education came first. A nine-volume trading encyclopedia, a thirty-six-week training curriculum, and an e-commerce masterclass were among the earliest large bodies of work produced, long before any smart contract was deployed. This ordering reflected a conviction that technology adoption in an underserved market depends less on the sophistication of the tool and more on whether the surrounding community understands what the tool does and why it can be trusted.</w:t>
      </w:r>
    </w:p>
    <w:p>
      <w:pPr>
        <w:spacing w:after="200" w:line="300"/>
        <w:jc w:val="both"/>
      </w:pPr>
      <w:r>
        <w:rPr>
          <w:rFonts w:ascii="Calibri" w:cs="Calibri" w:eastAsia="Calibri" w:hAnsi="Calibri"/>
          <w:b w:val="false"/>
          <w:bCs w:val="false"/>
          <w:i w:val="false"/>
          <w:iCs w:val="false"/>
          <w:color w:val="1A1A1A"/>
          <w:sz w:val="22"/>
          <w:szCs w:val="22"/>
        </w:rPr>
        <w:t xml:space="preserve">The technical ecosystem grew from that foundation. A governance repository was established to make decision-making processes public from the outset, rather than retrofitting transparency after the fact. A Next.js website was built to give the project a professional public presence in both Haitian Creole and English. A decentralized-application monorepo, built with the Hardhat development framework and written in Solidity, followed once the educational base was substantial enough to support real usage. A dedicated documentation hub was created last, with the explicit goal of becoming a reference resource comparable to those maintained by mature open-source foundations.</w:t>
      </w:r>
    </w:p>
    <w:p>
      <w:pPr>
        <w:pBdr>
          <w:left w:val="single" w:color="F5C842" w:sz="24" w:space="12"/>
        </w:pBdr>
        <w:spacing w:after="240" w:before="240"/>
        <w:ind w:left="500" w:right="500"/>
      </w:pPr>
      <w:r>
        <w:rPr>
          <w:rFonts w:ascii="Cambria" w:cs="Cambria" w:eastAsia="Cambria" w:hAnsi="Cambria"/>
          <w:i/>
          <w:iCs/>
          <w:color w:val="0B1120"/>
          <w:sz w:val="24"/>
          <w:szCs w:val="24"/>
        </w:rPr>
        <w:t xml:space="preserve">"We wanted people to understand the tool before we asked them to trust it."</w:t>
      </w:r>
      <w:r>
        <w:rPr>
          <w:rFonts w:ascii="Calibri" w:cs="Calibri" w:eastAsia="Calibri" w:hAnsi="Calibri"/>
          <w:i/>
          <w:iCs/>
          <w:color w:val="4A4A4A"/>
          <w:sz w:val="20"/>
          <w:szCs w:val="20"/>
        </w:rPr>
        <w:br/>
        <w:t xml:space="preserve">  (Johnny Dubic, Founder)</w:t>
      </w:r>
    </w:p>
    <w:p>
      <w:pPr>
        <w:spacing w:after="200" w:line="300"/>
        <w:jc w:val="both"/>
      </w:pPr>
      <w:r>
        <w:rPr>
          <w:rFonts w:ascii="Calibri" w:cs="Calibri" w:eastAsia="Calibri" w:hAnsi="Calibri"/>
          <w:b w:val="false"/>
          <w:bCs w:val="false"/>
          <w:i w:val="false"/>
          <w:iCs w:val="false"/>
          <w:color w:val="1A1A1A"/>
          <w:sz w:val="22"/>
          <w:szCs w:val="22"/>
        </w:rPr>
        <w:t xml:space="preserve">The name itself reflects this layered identity: Celo, for the blockchain network chosen for its low-cost, mobile-first architecture, and HT, the international country code for Haiti. CeloHT is, by design, a project with a specific home and a specific audience, built with the belief that solutions calibrated to one community's real constraints travel better than solutions designed for a generic global user who does not exist.</w:t>
      </w:r>
    </w:p>
    <w:p>
      <w:pPr>
        <w:sectPr>
          <w:headerReference w:type="default" r:id="rId15"/>
          <w:footerReference w:type="default" r:id="rId16"/>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5</w:t>
      </w:r>
    </w:p>
    <w:p>
      <w:pPr>
        <w:pStyle w:val="Heading1"/>
        <w:pBdr>
          <w:bottom w:val="single" w:color="0B1120" w:sz="6" w:space="8"/>
        </w:pBdr>
        <w:spacing w:after="260"/>
      </w:pPr>
      <w:r>
        <w:rPr>
          <w:rFonts w:ascii="Cambria" w:cs="Cambria" w:eastAsia="Cambria" w:hAnsi="Cambria"/>
          <w:b/>
          <w:bCs/>
          <w:color w:val="0B1120"/>
          <w:sz w:val="40"/>
          <w:szCs w:val="40"/>
        </w:rPr>
        <w:t xml:space="preserve">The Problems We Are Solving</w:t>
      </w:r>
    </w:p>
    <w:p>
      <w:pPr>
        <w:spacing w:after="200" w:line="300"/>
        <w:jc w:val="both"/>
      </w:pPr>
      <w:r>
        <w:rPr>
          <w:rFonts w:ascii="Calibri" w:cs="Calibri" w:eastAsia="Calibri" w:hAnsi="Calibri"/>
          <w:b w:val="false"/>
          <w:bCs w:val="false"/>
          <w:i/>
          <w:iCs/>
          <w:color w:val="555555"/>
          <w:sz w:val="22"/>
          <w:szCs w:val="22"/>
        </w:rPr>
        <w:t xml:space="preserve">The chapter that follows defines, with evidence, the specific gaps CeloHT was built to address.</w:t>
      </w:r>
    </w:p>
    <w:p>
      <w:pPr>
        <w:spacing w:after="200" w:line="300"/>
        <w:jc w:val="both"/>
      </w:pPr>
      <w:r>
        <w:rPr>
          <w:rFonts w:ascii="Calibri" w:cs="Calibri" w:eastAsia="Calibri" w:hAnsi="Calibri"/>
          <w:b w:val="false"/>
          <w:bCs w:val="false"/>
          <w:i w:val="false"/>
          <w:iCs w:val="false"/>
          <w:color w:val="1A1A1A"/>
          <w:sz w:val="22"/>
          <w:szCs w:val="22"/>
        </w:rPr>
        <w:t xml:space="preserve">CeloHT addresses three interlocking problems, each of which undermines the others when left unaddressed in isolation.</w:t>
      </w:r>
    </w:p>
    <w:p>
      <w:pPr>
        <w:pStyle w:val="Heading2"/>
        <w:spacing w:after="140" w:before="260"/>
      </w:pPr>
      <w:r>
        <w:rPr>
          <w:rFonts w:ascii="Cambria" w:cs="Cambria" w:eastAsia="Cambria" w:hAnsi="Cambria"/>
          <w:b/>
          <w:bCs/>
          <w:color w:val="0B1120"/>
          <w:sz w:val="26"/>
          <w:szCs w:val="26"/>
        </w:rPr>
        <w:t xml:space="preserve">1. The Language Barrier in Digital Finance</w:t>
      </w:r>
    </w:p>
    <w:p>
      <w:pPr>
        <w:spacing w:after="200" w:line="300"/>
        <w:jc w:val="both"/>
      </w:pPr>
      <w:r>
        <w:rPr>
          <w:rFonts w:ascii="Calibri" w:cs="Calibri" w:eastAsia="Calibri" w:hAnsi="Calibri"/>
          <w:b w:val="false"/>
          <w:bCs w:val="false"/>
          <w:i w:val="false"/>
          <w:iCs w:val="false"/>
          <w:color w:val="1A1A1A"/>
          <w:sz w:val="22"/>
          <w:szCs w:val="22"/>
        </w:rPr>
        <w:t xml:space="preserve">The overwhelming majority of documentation, tutorials, and user interfaces for blockchain-based financial tools are produced in English, with a smaller share in French. Haitian Creole, the first language of nearly the entire population of Haiti, is rarely represented. This is not a cosmetic gap. Financial literacy requires precision of understanding. A user who is guessing at meaning is a user exposed to avoidable risk, from mismanaged private keys to scams that rely on unfamiliar terminology.</w:t>
      </w:r>
    </w:p>
    <w:p>
      <w:pPr>
        <w:pStyle w:val="Heading2"/>
        <w:spacing w:after="140" w:before="260"/>
      </w:pPr>
      <w:r>
        <w:rPr>
          <w:rFonts w:ascii="Cambria" w:cs="Cambria" w:eastAsia="Cambria" w:hAnsi="Cambria"/>
          <w:b/>
          <w:bCs/>
          <w:color w:val="0B1120"/>
          <w:sz w:val="26"/>
          <w:szCs w:val="26"/>
        </w:rPr>
        <w:t xml:space="preserve">2. Thin Formal Banking Infrastructure</w:t>
      </w:r>
    </w:p>
    <w:p>
      <w:pPr>
        <w:spacing w:after="200" w:line="300"/>
        <w:jc w:val="both"/>
      </w:pPr>
      <w:r>
        <w:rPr>
          <w:rFonts w:ascii="Calibri" w:cs="Calibri" w:eastAsia="Calibri" w:hAnsi="Calibri"/>
          <w:b w:val="false"/>
          <w:bCs w:val="false"/>
          <w:i w:val="false"/>
          <w:iCs w:val="false"/>
          <w:color w:val="1A1A1A"/>
          <w:sz w:val="22"/>
          <w:szCs w:val="22"/>
        </w:rPr>
        <w:t xml:space="preserve">Large segments of the Haitian population remain outside the formal banking system, whether due to distance from bank branches, minimum-balance requirements, or a lack of documentation accepted by traditional institutions. Mobile-first financial tools, by contrast, require only a smartphone and a connection, which are far more widely available. The gap is not access to a device. It is access to a trustworthy, well-explained pathway to using that device for financial purposes.</w:t>
      </w:r>
    </w:p>
    <w:p>
      <w:pPr>
        <w:pStyle w:val="Heading2"/>
        <w:spacing w:after="140" w:before="260"/>
      </w:pPr>
      <w:r>
        <w:rPr>
          <w:rFonts w:ascii="Cambria" w:cs="Cambria" w:eastAsia="Cambria" w:hAnsi="Cambria"/>
          <w:b/>
          <w:bCs/>
          <w:color w:val="0B1120"/>
          <w:sz w:val="26"/>
          <w:szCs w:val="26"/>
        </w:rPr>
        <w:t xml:space="preserve">3. The Absence of Locally Rooted Technical Talent Pipelines</w:t>
      </w:r>
    </w:p>
    <w:p>
      <w:pPr>
        <w:spacing w:after="200" w:line="300"/>
        <w:jc w:val="both"/>
      </w:pPr>
      <w:r>
        <w:rPr>
          <w:rFonts w:ascii="Calibri" w:cs="Calibri" w:eastAsia="Calibri" w:hAnsi="Calibri"/>
          <w:b w:val="false"/>
          <w:bCs w:val="false"/>
          <w:i w:val="false"/>
          <w:iCs w:val="false"/>
          <w:color w:val="1A1A1A"/>
          <w:sz w:val="22"/>
          <w:szCs w:val="22"/>
        </w:rPr>
        <w:t xml:space="preserve">Software development capacity in Haiti exists but is rarely connected to structured, mentorship-driven pathways into open-source and Web3 work specifically. Without such pathways, technical opportunity in this sector tends to flow to developers already embedded in international networks, leaving local talent underrepresented in the ecosystems being built, in part, for their own communities.</w:t>
      </w:r>
    </w:p>
    <w:p>
      <w:pPr>
        <w:spacing w:after="80" w:before="120"/>
        <w:jc w:val="center"/>
      </w:pPr>
      <w:r>
        <w:drawing>
          <wp:inline distT="0" distB="0" distL="0" distR="0">
            <wp:extent cx="5334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334000" cy="36576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5.1: Three-problem framework: language access, banking infrastructure, and technical talent pipelines, and how each compounds the others.</w:t>
      </w:r>
    </w:p>
    <w:p>
      <w:pPr>
        <w:spacing w:after="200" w:line="300"/>
        <w:jc w:val="both"/>
      </w:pPr>
      <w:r>
        <w:rPr>
          <w:rFonts w:ascii="Calibri" w:cs="Calibri" w:eastAsia="Calibri" w:hAnsi="Calibri"/>
          <w:b w:val="false"/>
          <w:bCs w:val="false"/>
          <w:i w:val="false"/>
          <w:iCs w:val="false"/>
          <w:color w:val="1A1A1A"/>
          <w:sz w:val="22"/>
          <w:szCs w:val="22"/>
        </w:rPr>
        <w:t xml:space="preserve">These three problems reinforce one another. A community that cannot read the documentation cannot use the tool; a community that cannot use the tool has no reason to develop the skills to build on it; and a community without local developers has no one advocating from the inside for documentation in its own language. CeloHT's three pillars (Education, Agent Network, and Reforestation) were designed specifically to break this cycle at more than one point simultaneously, rather than addressing a single symptom.</w:t>
      </w:r>
    </w:p>
    <w:p>
      <w:pPr>
        <w:sectPr>
          <w:headerReference w:type="default" r:id="rId17"/>
          <w:footerReference w:type="default" r:id="rId18"/>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6</w:t>
      </w:r>
    </w:p>
    <w:p>
      <w:pPr>
        <w:pStyle w:val="Heading1"/>
        <w:pBdr>
          <w:bottom w:val="single" w:color="0B1120" w:sz="6" w:space="8"/>
        </w:pBdr>
        <w:spacing w:after="260"/>
      </w:pPr>
      <w:r>
        <w:rPr>
          <w:rFonts w:ascii="Cambria" w:cs="Cambria" w:eastAsia="Cambria" w:hAnsi="Cambria"/>
          <w:b/>
          <w:bCs/>
          <w:color w:val="0B1120"/>
          <w:sz w:val="40"/>
          <w:szCs w:val="40"/>
        </w:rPr>
        <w:t xml:space="preserve">Why Haiti Needs This Project</w:t>
      </w:r>
    </w:p>
    <w:p>
      <w:pPr>
        <w:spacing w:after="200" w:line="300"/>
        <w:jc w:val="both"/>
      </w:pPr>
      <w:r>
        <w:rPr>
          <w:rFonts w:ascii="Calibri" w:cs="Calibri" w:eastAsia="Calibri" w:hAnsi="Calibri"/>
          <w:b w:val="false"/>
          <w:bCs w:val="false"/>
          <w:i/>
          <w:iCs/>
          <w:color w:val="555555"/>
          <w:sz w:val="22"/>
          <w:szCs w:val="22"/>
        </w:rPr>
        <w:t xml:space="preserve">This section grounds CeloHT's mission in the specific economic and infrastructural realities of Haiti.</w:t>
      </w:r>
    </w:p>
    <w:p>
      <w:pPr>
        <w:spacing w:after="200" w:line="300"/>
        <w:jc w:val="both"/>
      </w:pPr>
      <w:r>
        <w:rPr>
          <w:rFonts w:ascii="Calibri" w:cs="Calibri" w:eastAsia="Calibri" w:hAnsi="Calibri"/>
          <w:b w:val="false"/>
          <w:bCs w:val="false"/>
          <w:i w:val="false"/>
          <w:iCs w:val="false"/>
          <w:color w:val="1A1A1A"/>
          <w:sz w:val="22"/>
          <w:szCs w:val="22"/>
        </w:rPr>
        <w:t xml:space="preserve">Haiti's economy operates under constraints that are rarely faced simultaneously anywhere else in the Western Hemisphere: a banking sector concentrated in a handful of urban centers, a national currency subject to persistent volatility, a heavy dependence on remittances from the diaspora, and a mobile-network footprint that now reaches far more households than any bank branch ever will. These conditions do not describe a market that lacks demand for financial tools. They describe a market that has been underserved by the delivery mechanisms typically used to reach it.</w:t>
      </w:r>
    </w:p>
    <w:p>
      <w:pPr>
        <w:spacing w:after="200" w:line="300"/>
        <w:jc w:val="both"/>
      </w:pPr>
      <w:r>
        <w:rPr>
          <w:rFonts w:ascii="Calibri" w:cs="Calibri" w:eastAsia="Calibri" w:hAnsi="Calibri"/>
          <w:b w:val="false"/>
          <w:bCs w:val="false"/>
          <w:i w:val="false"/>
          <w:iCs w:val="false"/>
          <w:color w:val="1A1A1A"/>
          <w:sz w:val="22"/>
          <w:szCs w:val="22"/>
        </w:rPr>
        <w:t xml:space="preserve">Remittances alone illustrate the scale of the opportunity and the cost of the status quo. Money sent from the Haitian diaspora abroad routinely passes through intermediaries that charge fees disproportionate to the amounts transferred, with delays that can stretch from hours to days depending on the corridor and the recipient's proximity to a cash-out point. A mobile-first, low-fee digital rail does not eliminate every friction in that chain, but it meaningfully shortens it for anyone with a smartphone and an internet connection, which describes a rapidly growing share of the population.</w:t>
      </w:r>
    </w:p>
    <w:p>
      <w:pPr>
        <w:pStyle w:val="Heading2"/>
        <w:spacing w:after="140" w:before="260"/>
      </w:pPr>
      <w:r>
        <w:rPr>
          <w:rFonts w:ascii="Cambria" w:cs="Cambria" w:eastAsia="Cambria" w:hAnsi="Cambria"/>
          <w:b/>
          <w:bCs/>
          <w:color w:val="0B1120"/>
          <w:sz w:val="26"/>
          <w:szCs w:val="26"/>
        </w:rPr>
        <w:t xml:space="preserve">A Market Ready for Mobile-First Finance</w:t>
      </w:r>
    </w:p>
    <w:p>
      <w:pPr>
        <w:spacing w:after="200" w:line="300"/>
        <w:jc w:val="both"/>
      </w:pPr>
      <w:r>
        <w:rPr>
          <w:rFonts w:ascii="Calibri" w:cs="Calibri" w:eastAsia="Calibri" w:hAnsi="Calibri"/>
          <w:b w:val="false"/>
          <w:bCs w:val="false"/>
          <w:i w:val="false"/>
          <w:iCs w:val="false"/>
          <w:color w:val="1A1A1A"/>
          <w:sz w:val="22"/>
          <w:szCs w:val="22"/>
        </w:rPr>
        <w:t xml:space="preserve">Haiti's mobile penetration has expanded steadily even as fixed banking infrastructure has not kept pace. This asymmetry is precisely the condition under which mobile-first financial tools tend to succeed, as demonstrated in other markets where mobile money adoption outpaced traditional banking by a wide margin once trustworthy, well-explained tools became available. CeloHT is built on the premise that Haiti is at a comparable inflection point, provided the educational groundwork is laid first.</w:t>
      </w:r>
    </w:p>
    <w:p>
      <w:pPr>
        <w:pStyle w:val="Heading2"/>
        <w:spacing w:after="140" w:before="260"/>
      </w:pPr>
      <w:r>
        <w:rPr>
          <w:rFonts w:ascii="Cambria" w:cs="Cambria" w:eastAsia="Cambria" w:hAnsi="Cambria"/>
          <w:b/>
          <w:bCs/>
          <w:color w:val="0B1120"/>
          <w:sz w:val="26"/>
          <w:szCs w:val="26"/>
        </w:rPr>
        <w:t xml:space="preserve">Local Ownership as a Design Requirement</w:t>
      </w:r>
    </w:p>
    <w:p>
      <w:pPr>
        <w:spacing w:after="200" w:line="300"/>
        <w:jc w:val="both"/>
      </w:pPr>
      <w:r>
        <w:rPr>
          <w:rFonts w:ascii="Calibri" w:cs="Calibri" w:eastAsia="Calibri" w:hAnsi="Calibri"/>
          <w:b w:val="false"/>
          <w:bCs w:val="false"/>
          <w:i w:val="false"/>
          <w:iCs w:val="false"/>
          <w:color w:val="1A1A1A"/>
          <w:sz w:val="22"/>
          <w:szCs w:val="22"/>
        </w:rPr>
        <w:t xml:space="preserve">Development literature is replete with well-intentioned programs designed elsewhere and imported into Haiti with limited local input, many of which faded once external funding ended. CeloHT was deliberately founded and is operated from Léogâne, by a Haitian team, addressing a problem its founders have lived with directly. This is not merely a matter of narrative authenticity. Local ownership shapes practical decisions, from which language documentation is written in first, to which payment corridors matter most, to which community relationships are prioritized, in ways that are difficult to replicate from outside.</w:t>
      </w:r>
    </w:p>
    <w:p>
      <w:pPr>
        <w:sectPr>
          <w:headerReference w:type="default" r:id="rId19"/>
          <w:footerReference w:type="default" r:id="rId20"/>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7</w:t>
      </w:r>
    </w:p>
    <w:p>
      <w:pPr>
        <w:pStyle w:val="Heading1"/>
        <w:pBdr>
          <w:bottom w:val="single" w:color="0B1120" w:sz="6" w:space="8"/>
        </w:pBdr>
        <w:spacing w:after="260"/>
      </w:pPr>
      <w:r>
        <w:rPr>
          <w:rFonts w:ascii="Cambria" w:cs="Cambria" w:eastAsia="Cambria" w:hAnsi="Cambria"/>
          <w:b/>
          <w:bCs/>
          <w:color w:val="0B1120"/>
          <w:sz w:val="40"/>
          <w:szCs w:val="40"/>
        </w:rPr>
        <w:t xml:space="preserve">Why Financial Inclusion Matters</w:t>
      </w:r>
    </w:p>
    <w:p>
      <w:pPr>
        <w:spacing w:after="200" w:line="300"/>
        <w:jc w:val="both"/>
      </w:pPr>
      <w:r>
        <w:rPr>
          <w:rFonts w:ascii="Calibri" w:cs="Calibri" w:eastAsia="Calibri" w:hAnsi="Calibri"/>
          <w:b w:val="false"/>
          <w:bCs w:val="false"/>
          <w:i/>
          <w:iCs/>
          <w:color w:val="555555"/>
          <w:sz w:val="22"/>
          <w:szCs w:val="22"/>
        </w:rPr>
        <w:t xml:space="preserve">The discussion here connects CeloHT's work to the broader development case for financial inclusion.</w:t>
      </w:r>
    </w:p>
    <w:p>
      <w:pPr>
        <w:spacing w:after="200" w:line="300"/>
        <w:jc w:val="both"/>
      </w:pPr>
      <w:r>
        <w:rPr>
          <w:rFonts w:ascii="Calibri" w:cs="Calibri" w:eastAsia="Calibri" w:hAnsi="Calibri"/>
          <w:b w:val="false"/>
          <w:bCs w:val="false"/>
          <w:i w:val="false"/>
          <w:iCs w:val="false"/>
          <w:color w:val="1A1A1A"/>
          <w:sz w:val="22"/>
          <w:szCs w:val="22"/>
        </w:rPr>
        <w:t xml:space="preserve">Financial inclusion is not an end in itself. It is a precondition for a wide range of outcomes that development economists and practitioners have documented across decades of research: the ability to save safely, to smooth consumption during income shocks, to access small amounts of credit for productive purposes, and to participate in an economy on terms that do not require carrying cash across long distances or storing savings in ways vulnerable to theft or loss.</w:t>
      </w:r>
    </w:p>
    <w:p>
      <w:pPr>
        <w:spacing w:after="200" w:line="300"/>
        <w:jc w:val="both"/>
      </w:pPr>
      <w:r>
        <w:rPr>
          <w:rFonts w:ascii="Calibri" w:cs="Calibri" w:eastAsia="Calibri" w:hAnsi="Calibri"/>
          <w:b w:val="false"/>
          <w:bCs w:val="false"/>
          <w:i w:val="false"/>
          <w:iCs w:val="false"/>
          <w:color w:val="1A1A1A"/>
          <w:sz w:val="22"/>
          <w:szCs w:val="22"/>
        </w:rPr>
        <w:t xml:space="preserve">For a household in rural Haiti, the absence of a nearby bank branch is not a minor inconvenience. It can mean traveling for hours to deposit or withdraw funds, relying on informal savings arrangements with uneven reliability, or forgoing formal savings altogether. Each of these workarounds carries a cost, whether in time, in risk, or in foregone opportunity. Digital financial tools do not eliminate every one of these costs, but they reduce several of them meaningfully once a user understands how to use the tools safely.</w:t>
      </w:r>
    </w:p>
    <w:p>
      <w:pPr>
        <w:pBdr>
          <w:left w:val="single" w:color="F5C842" w:sz="24" w:space="12"/>
        </w:pBdr>
        <w:spacing w:after="240" w:before="240"/>
        <w:ind w:left="500" w:right="500"/>
      </w:pPr>
      <w:r>
        <w:rPr>
          <w:rFonts w:ascii="Cambria" w:cs="Cambria" w:eastAsia="Cambria" w:hAnsi="Cambria"/>
          <w:i/>
          <w:iCs/>
          <w:color w:val="0B1120"/>
          <w:sz w:val="24"/>
          <w:szCs w:val="24"/>
        </w:rPr>
        <w:t xml:space="preserve">"Inclusion without understanding is not inclusion. It is exposure."</w:t>
      </w:r>
    </w:p>
    <w:p>
      <w:pPr>
        <w:pStyle w:val="Heading2"/>
        <w:spacing w:after="140" w:before="260"/>
      </w:pPr>
      <w:r>
        <w:rPr>
          <w:rFonts w:ascii="Cambria" w:cs="Cambria" w:eastAsia="Cambria" w:hAnsi="Cambria"/>
          <w:b/>
          <w:bCs/>
          <w:color w:val="0B1120"/>
          <w:sz w:val="26"/>
          <w:szCs w:val="26"/>
        </w:rPr>
        <w:t xml:space="preserve">Why Education Must Precede Access</w:t>
      </w:r>
    </w:p>
    <w:p>
      <w:pPr>
        <w:spacing w:after="200" w:line="300"/>
        <w:jc w:val="both"/>
      </w:pPr>
      <w:r>
        <w:rPr>
          <w:rFonts w:ascii="Calibri" w:cs="Calibri" w:eastAsia="Calibri" w:hAnsi="Calibri"/>
          <w:b w:val="false"/>
          <w:bCs w:val="false"/>
          <w:i w:val="false"/>
          <w:iCs w:val="false"/>
          <w:color w:val="1A1A1A"/>
          <w:sz w:val="22"/>
          <w:szCs w:val="22"/>
        </w:rPr>
        <w:t xml:space="preserve">A recurring failure mode in financial-inclusion initiatives worldwide is treating access as sufficient on its own. Handing someone a digital wallet without explaining how private keys work, how to recognize a scam, or how transaction fees are calculated does not produce an included user. It produces a vulnerable one. This is the central reason CeloHT places education ahead of, and alongside, every technical deployment: sustainable inclusion depends on comprehension, not merely availability.</w:t>
      </w:r>
    </w:p>
    <w:p>
      <w:pPr>
        <w:sectPr>
          <w:headerReference w:type="default" r:id="rId21"/>
          <w:footerReference w:type="default" r:id="rId22"/>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8</w:t>
      </w:r>
    </w:p>
    <w:p>
      <w:pPr>
        <w:pStyle w:val="Heading1"/>
        <w:pBdr>
          <w:bottom w:val="single" w:color="0B1120" w:sz="6" w:space="8"/>
        </w:pBdr>
        <w:spacing w:after="260"/>
      </w:pPr>
      <w:r>
        <w:rPr>
          <w:rFonts w:ascii="Cambria" w:cs="Cambria" w:eastAsia="Cambria" w:hAnsi="Cambria"/>
          <w:b/>
          <w:bCs/>
          <w:color w:val="0B1120"/>
          <w:sz w:val="40"/>
          <w:szCs w:val="40"/>
        </w:rPr>
        <w:t xml:space="preserve">Why Celo Blockchain</w:t>
      </w:r>
    </w:p>
    <w:p>
      <w:pPr>
        <w:spacing w:after="200" w:line="300"/>
        <w:jc w:val="both"/>
      </w:pPr>
      <w:r>
        <w:rPr>
          <w:rFonts w:ascii="Calibri" w:cs="Calibri" w:eastAsia="Calibri" w:hAnsi="Calibri"/>
          <w:b w:val="false"/>
          <w:bCs w:val="false"/>
          <w:i/>
          <w:iCs/>
          <w:color w:val="555555"/>
          <w:sz w:val="22"/>
          <w:szCs w:val="22"/>
        </w:rPr>
        <w:t xml:space="preserve">This chapter explains the technical rationale for building on Celo rather than an alternative network.</w:t>
      </w:r>
    </w:p>
    <w:p>
      <w:pPr>
        <w:spacing w:after="200" w:line="300"/>
        <w:jc w:val="both"/>
      </w:pPr>
      <w:r>
        <w:rPr>
          <w:rFonts w:ascii="Calibri" w:cs="Calibri" w:eastAsia="Calibri" w:hAnsi="Calibri"/>
          <w:b w:val="false"/>
          <w:bCs w:val="false"/>
          <w:i w:val="false"/>
          <w:iCs w:val="false"/>
          <w:color w:val="1A1A1A"/>
          <w:sz w:val="22"/>
          <w:szCs w:val="22"/>
        </w:rPr>
        <w:t xml:space="preserve">The choice of blockchain infrastructure is not incidental to CeloHT's mission; it is central to whether that mission is achievable at all. Three characteristics of the Celo network informed this decision: low and predictable transaction costs, mobile-first design, and the availability of USDm, a dollar-pegged stablecoin that allows users to transact in a unit of value tied to the US dollar rather than exposing first-time users to the price volatility associated with most cryptocurrencies.</w:t>
      </w:r>
    </w:p>
    <w:p>
      <w:pPr>
        <w:pStyle w:val="Heading2"/>
        <w:spacing w:after="140" w:before="260"/>
      </w:pPr>
      <w:r>
        <w:rPr>
          <w:rFonts w:ascii="Cambria" w:cs="Cambria" w:eastAsia="Cambria" w:hAnsi="Cambria"/>
          <w:b/>
          <w:bCs/>
          <w:color w:val="0B1120"/>
          <w:sz w:val="26"/>
          <w:szCs w:val="26"/>
        </w:rPr>
        <w:t xml:space="preserve">Transaction Costs That Match Real Transaction Sizes</w:t>
      </w:r>
    </w:p>
    <w:p>
      <w:pPr>
        <w:spacing w:after="200" w:line="300"/>
        <w:jc w:val="both"/>
      </w:pPr>
      <w:r>
        <w:rPr>
          <w:rFonts w:ascii="Calibri" w:cs="Calibri" w:eastAsia="Calibri" w:hAnsi="Calibri"/>
          <w:b w:val="false"/>
          <w:bCs w:val="false"/>
          <w:i w:val="false"/>
          <w:iCs w:val="false"/>
          <w:color w:val="1A1A1A"/>
          <w:sz w:val="22"/>
          <w:szCs w:val="22"/>
        </w:rPr>
        <w:t xml:space="preserve">Many blockchain networks impose transaction fees that are trivial for large transfers but disproportionate for the small, frequent transactions typical of everyday commerce in Haiti: buying groceries, paying a market vendor, or sending a modest sum to a family member. Celo's fee structure is designed to remain low relative to transaction size, which makes it viable for the transaction volumes CeloHT's target users actually need, rather than the larger transfers that dominate most blockchain use cases elsewhere.</w:t>
      </w:r>
    </w:p>
    <w:p>
      <w:pPr>
        <w:pStyle w:val="Heading2"/>
        <w:spacing w:after="140" w:before="260"/>
      </w:pPr>
      <w:r>
        <w:rPr>
          <w:rFonts w:ascii="Cambria" w:cs="Cambria" w:eastAsia="Cambria" w:hAnsi="Cambria"/>
          <w:b/>
          <w:bCs/>
          <w:color w:val="0B1120"/>
          <w:sz w:val="26"/>
          <w:szCs w:val="26"/>
        </w:rPr>
        <w:t xml:space="preserve">Mobile-First Architecture</w:t>
      </w:r>
    </w:p>
    <w:p>
      <w:pPr>
        <w:spacing w:after="200" w:line="300"/>
        <w:jc w:val="both"/>
      </w:pPr>
      <w:r>
        <w:rPr>
          <w:rFonts w:ascii="Calibri" w:cs="Calibri" w:eastAsia="Calibri" w:hAnsi="Calibri"/>
          <w:b w:val="false"/>
          <w:bCs w:val="false"/>
          <w:i w:val="false"/>
          <w:iCs w:val="false"/>
          <w:color w:val="1A1A1A"/>
          <w:sz w:val="22"/>
          <w:szCs w:val="22"/>
        </w:rPr>
        <w:t xml:space="preserve">Celo was designed from its inception with mobile use as a primary consideration rather than an afterthought, including support for lightweight wallet clients such as Valora that do not require a user to run full network infrastructure on their own device. Given that a smartphone is, for most of CeloHT's target users, the only computing device they own, this design orientation is a practical necessity rather than a preference.</w:t>
      </w:r>
    </w:p>
    <w:p>
      <w:pPr>
        <w:pStyle w:val="Heading2"/>
        <w:spacing w:after="140" w:before="260"/>
      </w:pPr>
      <w:r>
        <w:rPr>
          <w:rFonts w:ascii="Cambria" w:cs="Cambria" w:eastAsia="Cambria" w:hAnsi="Cambria"/>
          <w:b/>
          <w:bCs/>
          <w:color w:val="0B1120"/>
          <w:sz w:val="26"/>
          <w:szCs w:val="26"/>
        </w:rPr>
        <w:t xml:space="preserve">Price Stability Through USDm</w:t>
      </w:r>
    </w:p>
    <w:p>
      <w:pPr>
        <w:spacing w:after="200" w:line="300"/>
        <w:jc w:val="both"/>
      </w:pPr>
      <w:r>
        <w:rPr>
          <w:rFonts w:ascii="Calibri" w:cs="Calibri" w:eastAsia="Calibri" w:hAnsi="Calibri"/>
          <w:b w:val="false"/>
          <w:bCs w:val="false"/>
          <w:i w:val="false"/>
          <w:iCs w:val="false"/>
          <w:color w:val="1A1A1A"/>
          <w:sz w:val="22"/>
          <w:szCs w:val="22"/>
        </w:rPr>
        <w:t xml:space="preserve">USDm is a dollar-pegged stablecoin native to the Celo ecosystem, issued by the Mento Protocol. It is the direct successor to Celo Dollar (cUSD), following a rebrand Mento Labs completed in December 2025; the two names refer to the same underlying instrument, tracking the value of the US dollar. CeloHT did not create USDm and does not control its issuance; it uses an existing, already-regulated instrument. This distinction matters for both compliance and trust: a first-time user is not being asked to speculate on a new asset's value, but to use a digital representation of a currency they already understand.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50"/>
      </w:tblGrid>
      <w:tr>
        <w:trPr>
          <w:tblHeader/>
        </w:trPr>
        <w:tc>
          <w:tcPr>
            <w:tcW w:type="dxa" w:w="340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Requirement</w:t>
            </w:r>
          </w:p>
        </w:tc>
        <w:tc>
          <w:tcPr>
            <w:tcW w:type="dxa" w:w="320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Why It Matters for Haiti</w:t>
            </w:r>
          </w:p>
        </w:tc>
        <w:tc>
          <w:tcPr>
            <w:tcW w:type="dxa" w:w="275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How Celo Addresses It</w:t>
            </w:r>
          </w:p>
        </w:tc>
      </w:tr>
      <w:tr>
        <w:tc>
          <w:tcPr>
            <w:tcW w:type="dxa" w:w="3400"/>
            <w:shd w:fill="FFFFFF" w:val="clear"/>
            <w:tcMar>
              <w:top w:type="dxa" w:w="90"/>
              <w:left w:type="dxa" w:w="140"/>
              <w:bottom w:type="dxa" w:w="90"/>
              <w:right w:type="dxa" w:w="140"/>
            </w:tcMar>
          </w:tcPr>
          <w:p>
            <w:r>
              <w:rPr>
                <w:rFonts w:ascii="Calibri" w:cs="Calibri" w:eastAsia="Calibri" w:hAnsi="Calibri"/>
                <w:color w:val="1A1A1A"/>
                <w:sz w:val="19"/>
                <w:szCs w:val="19"/>
              </w:rPr>
              <w:t xml:space="preserve">Low transaction fees</w:t>
            </w:r>
          </w:p>
        </w:tc>
        <w:tc>
          <w:tcPr>
            <w:tcW w:type="dxa" w:w="3200"/>
            <w:shd w:fill="FFFFFF" w:val="clear"/>
            <w:tcMar>
              <w:top w:type="dxa" w:w="90"/>
              <w:left w:type="dxa" w:w="140"/>
              <w:bottom w:type="dxa" w:w="90"/>
              <w:right w:type="dxa" w:w="140"/>
            </w:tcMar>
          </w:tcPr>
          <w:p>
            <w:r>
              <w:rPr>
                <w:rFonts w:ascii="Calibri" w:cs="Calibri" w:eastAsia="Calibri" w:hAnsi="Calibri"/>
                <w:color w:val="1A1A1A"/>
                <w:sz w:val="19"/>
                <w:szCs w:val="19"/>
              </w:rPr>
              <w:t xml:space="preserve">Everyday transactions are small and frequent</w:t>
            </w:r>
          </w:p>
        </w:tc>
        <w:tc>
          <w:tcPr>
            <w:tcW w:type="dxa" w:w="2750"/>
            <w:shd w:fill="FFFFFF" w:val="clear"/>
            <w:tcMar>
              <w:top w:type="dxa" w:w="90"/>
              <w:left w:type="dxa" w:w="140"/>
              <w:bottom w:type="dxa" w:w="90"/>
              <w:right w:type="dxa" w:w="140"/>
            </w:tcMar>
          </w:tcPr>
          <w:p>
            <w:r>
              <w:rPr>
                <w:rFonts w:ascii="Calibri" w:cs="Calibri" w:eastAsia="Calibri" w:hAnsi="Calibri"/>
                <w:color w:val="1A1A1A"/>
                <w:sz w:val="19"/>
                <w:szCs w:val="19"/>
              </w:rPr>
              <w:t xml:space="preserve">Fee structure designed for small-value transfers</w:t>
            </w:r>
          </w:p>
        </w:tc>
      </w:tr>
      <w:tr>
        <w:tc>
          <w:tcPr>
            <w:tcW w:type="dxa" w:w="3400"/>
            <w:shd w:fill="F5F6F8" w:val="clear"/>
            <w:tcMar>
              <w:top w:type="dxa" w:w="90"/>
              <w:left w:type="dxa" w:w="140"/>
              <w:bottom w:type="dxa" w:w="90"/>
              <w:right w:type="dxa" w:w="140"/>
            </w:tcMar>
          </w:tcPr>
          <w:p>
            <w:r>
              <w:rPr>
                <w:rFonts w:ascii="Calibri" w:cs="Calibri" w:eastAsia="Calibri" w:hAnsi="Calibri"/>
                <w:color w:val="1A1A1A"/>
                <w:sz w:val="19"/>
                <w:szCs w:val="19"/>
              </w:rPr>
              <w:t xml:space="preserve">Mobile accessibility</w:t>
            </w:r>
          </w:p>
        </w:tc>
        <w:tc>
          <w:tcPr>
            <w:tcW w:type="dxa" w:w="3200"/>
            <w:shd w:fill="F5F6F8" w:val="clear"/>
            <w:tcMar>
              <w:top w:type="dxa" w:w="90"/>
              <w:left w:type="dxa" w:w="140"/>
              <w:bottom w:type="dxa" w:w="90"/>
              <w:right w:type="dxa" w:w="140"/>
            </w:tcMar>
          </w:tcPr>
          <w:p>
            <w:r>
              <w:rPr>
                <w:rFonts w:ascii="Calibri" w:cs="Calibri" w:eastAsia="Calibri" w:hAnsi="Calibri"/>
                <w:color w:val="1A1A1A"/>
                <w:sz w:val="19"/>
                <w:szCs w:val="19"/>
              </w:rPr>
              <w:t xml:space="preserve">Smartphones are the primary computing device</w:t>
            </w:r>
          </w:p>
        </w:tc>
        <w:tc>
          <w:tcPr>
            <w:tcW w:type="dxa" w:w="2750"/>
            <w:shd w:fill="F5F6F8" w:val="clear"/>
            <w:tcMar>
              <w:top w:type="dxa" w:w="90"/>
              <w:left w:type="dxa" w:w="140"/>
              <w:bottom w:type="dxa" w:w="90"/>
              <w:right w:type="dxa" w:w="140"/>
            </w:tcMar>
          </w:tcPr>
          <w:p>
            <w:r>
              <w:rPr>
                <w:rFonts w:ascii="Calibri" w:cs="Calibri" w:eastAsia="Calibri" w:hAnsi="Calibri"/>
                <w:color w:val="1A1A1A"/>
                <w:sz w:val="19"/>
                <w:szCs w:val="19"/>
              </w:rPr>
              <w:t xml:space="preserve">Mobile-first network and wallet design</w:t>
            </w:r>
          </w:p>
        </w:tc>
      </w:tr>
      <w:tr>
        <w:tc>
          <w:tcPr>
            <w:tcW w:type="dxa" w:w="3400"/>
            <w:shd w:fill="FFFFFF" w:val="clear"/>
            <w:tcMar>
              <w:top w:type="dxa" w:w="90"/>
              <w:left w:type="dxa" w:w="140"/>
              <w:bottom w:type="dxa" w:w="90"/>
              <w:right w:type="dxa" w:w="140"/>
            </w:tcMar>
          </w:tcPr>
          <w:p>
            <w:r>
              <w:rPr>
                <w:rFonts w:ascii="Calibri" w:cs="Calibri" w:eastAsia="Calibri" w:hAnsi="Calibri"/>
                <w:color w:val="1A1A1A"/>
                <w:sz w:val="19"/>
                <w:szCs w:val="19"/>
              </w:rPr>
              <w:t xml:space="preserve">Price stability</w:t>
            </w:r>
          </w:p>
        </w:tc>
        <w:tc>
          <w:tcPr>
            <w:tcW w:type="dxa" w:w="3200"/>
            <w:shd w:fill="FFFFFF" w:val="clear"/>
            <w:tcMar>
              <w:top w:type="dxa" w:w="90"/>
              <w:left w:type="dxa" w:w="140"/>
              <w:bottom w:type="dxa" w:w="90"/>
              <w:right w:type="dxa" w:w="140"/>
            </w:tcMar>
          </w:tcPr>
          <w:p>
            <w:r>
              <w:rPr>
                <w:rFonts w:ascii="Calibri" w:cs="Calibri" w:eastAsia="Calibri" w:hAnsi="Calibri"/>
                <w:color w:val="1A1A1A"/>
                <w:sz w:val="19"/>
                <w:szCs w:val="19"/>
              </w:rPr>
              <w:t xml:space="preserve">First-time users cannot absorb volatility risk</w:t>
            </w:r>
          </w:p>
        </w:tc>
        <w:tc>
          <w:tcPr>
            <w:tcW w:type="dxa" w:w="2750"/>
            <w:shd w:fill="FFFFFF" w:val="clear"/>
            <w:tcMar>
              <w:top w:type="dxa" w:w="90"/>
              <w:left w:type="dxa" w:w="140"/>
              <w:bottom w:type="dxa" w:w="90"/>
              <w:right w:type="dxa" w:w="140"/>
            </w:tcMar>
          </w:tcPr>
          <w:p>
            <w:r>
              <w:rPr>
                <w:rFonts w:ascii="Calibri" w:cs="Calibri" w:eastAsia="Calibri" w:hAnsi="Calibri"/>
                <w:color w:val="1A1A1A"/>
                <w:sz w:val="19"/>
                <w:szCs w:val="19"/>
              </w:rPr>
              <w:t xml:space="preserve">USDm stablecoin pegged to the US dollar</w:t>
            </w:r>
          </w:p>
        </w:tc>
      </w:tr>
    </w:tbl>
    <w:p>
      <w:pPr>
        <w:spacing w:after="200"/>
      </w:pPr>
    </w:p>
    <w:p>
      <w:pPr>
        <w:sectPr>
          <w:headerReference w:type="default" r:id="rId23"/>
          <w:footerReference w:type="default" r:id="rId24"/>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9</w:t>
      </w:r>
    </w:p>
    <w:p>
      <w:pPr>
        <w:pStyle w:val="Heading1"/>
        <w:pBdr>
          <w:bottom w:val="single" w:color="0B1120" w:sz="6" w:space="8"/>
        </w:pBdr>
        <w:spacing w:after="260"/>
      </w:pPr>
      <w:r>
        <w:rPr>
          <w:rFonts w:ascii="Cambria" w:cs="Cambria" w:eastAsia="Cambria" w:hAnsi="Cambria"/>
          <w:b/>
          <w:bCs/>
          <w:color w:val="0B1120"/>
          <w:sz w:val="40"/>
          <w:szCs w:val="40"/>
        </w:rPr>
        <w:t xml:space="preserve">Our Mission</w:t>
      </w:r>
    </w:p>
    <w:p>
      <w:pPr>
        <w:spacing w:after="200" w:line="300"/>
        <w:jc w:val="both"/>
      </w:pPr>
      <w:r>
        <w:rPr>
          <w:rFonts w:ascii="Calibri" w:cs="Calibri" w:eastAsia="Calibri" w:hAnsi="Calibri"/>
          <w:b w:val="false"/>
          <w:bCs w:val="false"/>
          <w:i/>
          <w:iCs/>
          <w:color w:val="555555"/>
          <w:sz w:val="22"/>
          <w:szCs w:val="22"/>
        </w:rPr>
        <w:t xml:space="preserve">The chapter that follows states CeloHT's mission precisely and explains the reasoning behind its wording.</w:t>
      </w:r>
    </w:p>
    <w:p>
      <w:pPr>
        <w:pBdr>
          <w:left w:val="single" w:color="F5C842" w:sz="24" w:space="12"/>
        </w:pBdr>
        <w:spacing w:after="240" w:before="240"/>
        <w:ind w:left="500" w:right="500"/>
      </w:pPr>
      <w:r>
        <w:rPr>
          <w:rFonts w:ascii="Cambria" w:cs="Cambria" w:eastAsia="Cambria" w:hAnsi="Cambria"/>
          <w:i/>
          <w:iCs/>
          <w:color w:val="0B1120"/>
          <w:sz w:val="24"/>
          <w:szCs w:val="24"/>
        </w:rPr>
        <w:t xml:space="preserve">"To make digital financial literacy and access genuinely usable for Haitian and Caribbean communities, in their own language, through open-source technology and hands-on education."</w:t>
      </w:r>
    </w:p>
    <w:p>
      <w:pPr>
        <w:spacing w:after="200" w:line="300"/>
        <w:jc w:val="both"/>
      </w:pPr>
      <w:r>
        <w:rPr>
          <w:rFonts w:ascii="Calibri" w:cs="Calibri" w:eastAsia="Calibri" w:hAnsi="Calibri"/>
          <w:b w:val="false"/>
          <w:bCs w:val="false"/>
          <w:i w:val="false"/>
          <w:iCs w:val="false"/>
          <w:color w:val="1A1A1A"/>
          <w:sz w:val="22"/>
          <w:szCs w:val="22"/>
        </w:rPr>
        <w:t xml:space="preserve">Each clause in this mission statement was chosen deliberately. "Genuinely usable" was selected over language like "available," because CeloHT's founding premise is that availability without comprehension does not constitute meaningful access. "In their own language" reflects the organization's Haitian Creole-first approach to documentation, curricula, and community engagement, rather than treating translation as a secondary consideration. "Open-source technology" commits the organization to public, auditable code rather than proprietary systems whose behavior cannot be independently verified. "Hands-on education" reflects a preference for practical, applied learning (workshops, guided exercises, and real transactions on test networks) over passive content consumption.</w:t>
      </w:r>
    </w:p>
    <w:p>
      <w:pPr>
        <w:spacing w:after="200" w:line="300"/>
        <w:jc w:val="both"/>
      </w:pPr>
      <w:r>
        <w:rPr>
          <w:rFonts w:ascii="Calibri" w:cs="Calibri" w:eastAsia="Calibri" w:hAnsi="Calibri"/>
          <w:b w:val="false"/>
          <w:bCs w:val="false"/>
          <w:i w:val="false"/>
          <w:iCs w:val="false"/>
          <w:color w:val="1A1A1A"/>
          <w:sz w:val="22"/>
          <w:szCs w:val="22"/>
        </w:rPr>
        <w:t xml:space="preserve">This mission is intentionally bounded. CeloHT does not claim to solve financial exclusion across every market or every population. It defines its scope as Haitian and wider Caribbean communities, a choice that allows the organization to build depth rather than spreading limited resources across an unmanageable geography. Expansion beyond this scope, discussed later in this book under International Expansion Strategy, is treated as a deliberate future phase rather than a present-day claim.</w:t>
      </w:r>
    </w:p>
    <w:p>
      <w:pPr>
        <w:sectPr>
          <w:headerReference w:type="default" r:id="rId25"/>
          <w:footerReference w:type="default" r:id="rId26"/>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10</w:t>
      </w:r>
    </w:p>
    <w:p>
      <w:pPr>
        <w:pStyle w:val="Heading1"/>
        <w:pBdr>
          <w:bottom w:val="single" w:color="0B1120" w:sz="6" w:space="8"/>
        </w:pBdr>
        <w:spacing w:after="260"/>
      </w:pPr>
      <w:r>
        <w:rPr>
          <w:rFonts w:ascii="Cambria" w:cs="Cambria" w:eastAsia="Cambria" w:hAnsi="Cambria"/>
          <w:b/>
          <w:bCs/>
          <w:color w:val="0B1120"/>
          <w:sz w:val="40"/>
          <w:szCs w:val="40"/>
        </w:rPr>
        <w:t xml:space="preserve">Our Vision</w:t>
      </w:r>
    </w:p>
    <w:p>
      <w:pPr>
        <w:spacing w:after="200" w:line="300"/>
        <w:jc w:val="both"/>
      </w:pPr>
      <w:r>
        <w:rPr>
          <w:rFonts w:ascii="Calibri" w:cs="Calibri" w:eastAsia="Calibri" w:hAnsi="Calibri"/>
          <w:b w:val="false"/>
          <w:bCs w:val="false"/>
          <w:i/>
          <w:iCs/>
          <w:color w:val="555555"/>
          <w:sz w:val="22"/>
          <w:szCs w:val="22"/>
        </w:rPr>
        <w:t xml:space="preserve">This section describes the long-term state of the world CeloHT is working toward.</w:t>
      </w:r>
    </w:p>
    <w:p>
      <w:pPr>
        <w:spacing w:after="200" w:line="300"/>
        <w:jc w:val="both"/>
      </w:pPr>
      <w:r>
        <w:rPr>
          <w:rFonts w:ascii="Calibri" w:cs="Calibri" w:eastAsia="Calibri" w:hAnsi="Calibri"/>
          <w:b w:val="false"/>
          <w:bCs w:val="false"/>
          <w:i w:val="false"/>
          <w:iCs w:val="false"/>
          <w:color w:val="1A1A1A"/>
          <w:sz w:val="22"/>
          <w:szCs w:val="22"/>
        </w:rPr>
        <w:t xml:space="preserve">CeloHT's vision extends beyond any single product or platform. It envisions a Haiti in which financial literacy in Haitian Creole is as ordinary and unremarkable as literacy in any other essential domain, where a young person in Léogâne has the same practical understanding of digital saving, sending, and earning as a young person in a country with a mature banking sector. Not because the underlying technology is more advanced, but because the educational infrastructure around it has been built with the same seriousness as the technology itself.</w:t>
      </w:r>
    </w:p>
    <w:p>
      <w:pPr>
        <w:spacing w:after="200" w:line="300"/>
        <w:jc w:val="both"/>
      </w:pPr>
      <w:r>
        <w:rPr>
          <w:rFonts w:ascii="Calibri" w:cs="Calibri" w:eastAsia="Calibri" w:hAnsi="Calibri"/>
          <w:b w:val="false"/>
          <w:bCs w:val="false"/>
          <w:i w:val="false"/>
          <w:iCs w:val="false"/>
          <w:color w:val="1A1A1A"/>
          <w:sz w:val="22"/>
          <w:szCs w:val="22"/>
        </w:rPr>
        <w:t xml:space="preserve">This vision includes a thriving local developer community capable of maintaining, extending, and eventually leading the technical direction of the CeloHT ecosystem, rather than depending indefinitely on its founding team. It includes a reforestation program whose environmental outcomes are measured with the same rigor as its financial outcomes, on the premise that community resilience and environmental resilience are not separate goals. And it includes an open-source codebase and documentation library referenced not only within Haiti, but by organizations elsewhere in the Caribbean and beyond, seeking a model for language-first, community-rooted financial-inclusion infrastructure.</w:t>
      </w:r>
    </w:p>
    <w:p>
      <w:pPr>
        <w:spacing w:after="200" w:line="300"/>
        <w:jc w:val="both"/>
      </w:pPr>
      <w:r>
        <w:rPr>
          <w:rFonts w:ascii="Calibri" w:cs="Calibri" w:eastAsia="Calibri" w:hAnsi="Calibri"/>
          <w:b w:val="false"/>
          <w:bCs w:val="false"/>
          <w:i w:val="false"/>
          <w:iCs w:val="false"/>
          <w:color w:val="1A1A1A"/>
          <w:sz w:val="22"/>
          <w:szCs w:val="22"/>
        </w:rPr>
        <w:t xml:space="preserve">None of this is presented as inevitable. It is presented as the deliberate direction of an organization that has, to date, built the early infrastructure (technical, educational, and organizational) required to move toward it.</w:t>
      </w:r>
    </w:p>
    <w:p>
      <w:pPr>
        <w:sectPr>
          <w:headerReference w:type="default" r:id="rId27"/>
          <w:footerReference w:type="default" r:id="rId28"/>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11</w:t>
      </w:r>
    </w:p>
    <w:p>
      <w:pPr>
        <w:pStyle w:val="Heading1"/>
        <w:pBdr>
          <w:bottom w:val="single" w:color="0B1120" w:sz="6" w:space="8"/>
        </w:pBdr>
        <w:spacing w:after="260"/>
      </w:pPr>
      <w:r>
        <w:rPr>
          <w:rFonts w:ascii="Cambria" w:cs="Cambria" w:eastAsia="Cambria" w:hAnsi="Cambria"/>
          <w:b/>
          <w:bCs/>
          <w:color w:val="0B1120"/>
          <w:sz w:val="40"/>
          <w:szCs w:val="40"/>
        </w:rPr>
        <w:t xml:space="preserve">Core Values</w:t>
      </w:r>
    </w:p>
    <w:p>
      <w:pPr>
        <w:spacing w:after="200" w:line="300"/>
        <w:jc w:val="both"/>
      </w:pPr>
      <w:r>
        <w:rPr>
          <w:rFonts w:ascii="Calibri" w:cs="Calibri" w:eastAsia="Calibri" w:hAnsi="Calibri"/>
          <w:b w:val="false"/>
          <w:bCs w:val="false"/>
          <w:i/>
          <w:iCs/>
          <w:color w:val="555555"/>
          <w:sz w:val="22"/>
          <w:szCs w:val="22"/>
        </w:rPr>
        <w:t xml:space="preserve">The discussion here articulates the values that govern day-to-day decisions across CeloHT's technical, educational, and community work.</w:t>
      </w:r>
    </w:p>
    <w:p>
      <w:pPr>
        <w:pStyle w:val="Heading2"/>
        <w:spacing w:after="140" w:before="260"/>
      </w:pPr>
      <w:r>
        <w:rPr>
          <w:rFonts w:ascii="Cambria" w:cs="Cambria" w:eastAsia="Cambria" w:hAnsi="Cambria"/>
          <w:b/>
          <w:bCs/>
          <w:color w:val="0B1120"/>
          <w:sz w:val="26"/>
          <w:szCs w:val="26"/>
        </w:rPr>
        <w:t xml:space="preserve">Transparency by Default</w:t>
      </w:r>
    </w:p>
    <w:p>
      <w:pPr>
        <w:spacing w:after="200" w:line="300"/>
        <w:jc w:val="both"/>
      </w:pPr>
      <w:r>
        <w:rPr>
          <w:rFonts w:ascii="Calibri" w:cs="Calibri" w:eastAsia="Calibri" w:hAnsi="Calibri"/>
          <w:b w:val="false"/>
          <w:bCs w:val="false"/>
          <w:i w:val="false"/>
          <w:iCs w:val="false"/>
          <w:color w:val="1A1A1A"/>
          <w:sz w:val="22"/>
          <w:szCs w:val="22"/>
        </w:rPr>
        <w:t xml:space="preserve">Code, governance decisions, and documentation are made public as a starting position, not as a concession granted under pressure. Where information is withheld, the organization aims to state why, rather than remaining silent.</w:t>
      </w:r>
    </w:p>
    <w:p>
      <w:pPr>
        <w:pStyle w:val="Heading2"/>
        <w:spacing w:after="140" w:before="260"/>
      </w:pPr>
      <w:r>
        <w:rPr>
          <w:rFonts w:ascii="Cambria" w:cs="Cambria" w:eastAsia="Cambria" w:hAnsi="Cambria"/>
          <w:b/>
          <w:bCs/>
          <w:color w:val="0B1120"/>
          <w:sz w:val="26"/>
          <w:szCs w:val="26"/>
        </w:rPr>
        <w:t xml:space="preserve">Precision Over Promotion</w:t>
      </w:r>
    </w:p>
    <w:p>
      <w:pPr>
        <w:spacing w:after="200" w:line="300"/>
        <w:jc w:val="both"/>
      </w:pPr>
      <w:r>
        <w:rPr>
          <w:rFonts w:ascii="Calibri" w:cs="Calibri" w:eastAsia="Calibri" w:hAnsi="Calibri"/>
          <w:b w:val="false"/>
          <w:bCs w:val="false"/>
          <w:i w:val="false"/>
          <w:iCs w:val="false"/>
          <w:color w:val="1A1A1A"/>
          <w:sz w:val="22"/>
          <w:szCs w:val="22"/>
        </w:rPr>
        <w:t xml:space="preserve">CeloHT avoids describing its work in terms that overstate its maturity or its results. This value directly shapes the tone of this book: claims are qualified where uncertainty exists, and achievements are stated in terms that can be independently verified.</w:t>
      </w:r>
    </w:p>
    <w:p>
      <w:pPr>
        <w:pStyle w:val="Heading2"/>
        <w:spacing w:after="140" w:before="260"/>
      </w:pPr>
      <w:r>
        <w:rPr>
          <w:rFonts w:ascii="Cambria" w:cs="Cambria" w:eastAsia="Cambria" w:hAnsi="Cambria"/>
          <w:b/>
          <w:bCs/>
          <w:color w:val="0B1120"/>
          <w:sz w:val="26"/>
          <w:szCs w:val="26"/>
        </w:rPr>
        <w:t xml:space="preserve">Language as Infrastructure</w:t>
      </w:r>
    </w:p>
    <w:p>
      <w:pPr>
        <w:spacing w:after="200" w:line="300"/>
        <w:jc w:val="both"/>
      </w:pPr>
      <w:r>
        <w:rPr>
          <w:rFonts w:ascii="Calibri" w:cs="Calibri" w:eastAsia="Calibri" w:hAnsi="Calibri"/>
          <w:b w:val="false"/>
          <w:bCs w:val="false"/>
          <w:i w:val="false"/>
          <w:iCs w:val="false"/>
          <w:color w:val="1A1A1A"/>
          <w:sz w:val="22"/>
          <w:szCs w:val="22"/>
        </w:rPr>
        <w:t xml:space="preserve">Haitian Creole is treated as a first-class medium for technical and financial content, not a translation layer applied after the fact. Materials are authored in Haitian Creole from the outset wherever CeloHT's own team produces them.</w:t>
      </w:r>
    </w:p>
    <w:p>
      <w:pPr>
        <w:pStyle w:val="Heading2"/>
        <w:spacing w:after="140" w:before="260"/>
      </w:pPr>
      <w:r>
        <w:rPr>
          <w:rFonts w:ascii="Cambria" w:cs="Cambria" w:eastAsia="Cambria" w:hAnsi="Cambria"/>
          <w:b/>
          <w:bCs/>
          <w:color w:val="0B1120"/>
          <w:sz w:val="26"/>
          <w:szCs w:val="26"/>
        </w:rPr>
        <w:t xml:space="preserve">Community Before Scale</w:t>
      </w:r>
    </w:p>
    <w:p>
      <w:pPr>
        <w:spacing w:after="200" w:line="300"/>
        <w:jc w:val="both"/>
      </w:pPr>
      <w:r>
        <w:rPr>
          <w:rFonts w:ascii="Calibri" w:cs="Calibri" w:eastAsia="Calibri" w:hAnsi="Calibri"/>
          <w:b w:val="false"/>
          <w:bCs w:val="false"/>
          <w:i w:val="false"/>
          <w:iCs w:val="false"/>
          <w:color w:val="1A1A1A"/>
          <w:sz w:val="22"/>
          <w:szCs w:val="22"/>
        </w:rPr>
        <w:t xml:space="preserve">Growth decisions are evaluated against their effect on the depth of understanding within the existing community before they are evaluated against user-count or transaction-volume metrics. A smaller number of well-educated participants is treated as a stronger foundation than a larger number of poorly informed ones.</w:t>
      </w:r>
    </w:p>
    <w:p>
      <w:pPr>
        <w:pStyle w:val="Heading2"/>
        <w:spacing w:after="140" w:before="260"/>
      </w:pPr>
      <w:r>
        <w:rPr>
          <w:rFonts w:ascii="Cambria" w:cs="Cambria" w:eastAsia="Cambria" w:hAnsi="Cambria"/>
          <w:b/>
          <w:bCs/>
          <w:color w:val="0B1120"/>
          <w:sz w:val="26"/>
          <w:szCs w:val="26"/>
        </w:rPr>
        <w:t xml:space="preserve">Stewardship of Shared Resources</w:t>
      </w:r>
    </w:p>
    <w:p>
      <w:pPr>
        <w:spacing w:after="200" w:line="300"/>
        <w:jc w:val="both"/>
      </w:pPr>
      <w:r>
        <w:rPr>
          <w:rFonts w:ascii="Calibri" w:cs="Calibri" w:eastAsia="Calibri" w:hAnsi="Calibri"/>
          <w:b w:val="false"/>
          <w:bCs w:val="false"/>
          <w:i w:val="false"/>
          <w:iCs w:val="false"/>
          <w:color w:val="1A1A1A"/>
          <w:sz w:val="22"/>
          <w:szCs w:val="22"/>
        </w:rPr>
        <w:t xml:space="preserve">This value applies both to digital commons, meaning the open-source code CeloHT maintains for public benefit, and to physical commons, principally through the Reforestation pillar, on the premise that an organization asking a community to trust it with financial tools should demonstrate the same care toward that community's environment.</w:t>
      </w:r>
    </w:p>
    <w:p>
      <w:pPr>
        <w:sectPr>
          <w:headerReference w:type="default" r:id="rId29"/>
          <w:footerReference w:type="default" r:id="rId30"/>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12</w:t>
      </w:r>
    </w:p>
    <w:p>
      <w:pPr>
        <w:pStyle w:val="Heading1"/>
        <w:pBdr>
          <w:bottom w:val="single" w:color="0B1120" w:sz="6" w:space="8"/>
        </w:pBdr>
        <w:spacing w:after="260"/>
      </w:pPr>
      <w:r>
        <w:rPr>
          <w:rFonts w:ascii="Cambria" w:cs="Cambria" w:eastAsia="Cambria" w:hAnsi="Cambria"/>
          <w:b/>
          <w:bCs/>
          <w:color w:val="0B1120"/>
          <w:sz w:val="40"/>
          <w:szCs w:val="40"/>
        </w:rPr>
        <w:t xml:space="preserve">Guiding Principles</w:t>
      </w:r>
    </w:p>
    <w:p>
      <w:pPr>
        <w:spacing w:after="200" w:line="300"/>
        <w:jc w:val="both"/>
      </w:pPr>
      <w:r>
        <w:rPr>
          <w:rFonts w:ascii="Calibri" w:cs="Calibri" w:eastAsia="Calibri" w:hAnsi="Calibri"/>
          <w:b w:val="false"/>
          <w:bCs w:val="false"/>
          <w:i/>
          <w:iCs/>
          <w:color w:val="555555"/>
          <w:sz w:val="22"/>
          <w:szCs w:val="22"/>
        </w:rPr>
        <w:t xml:space="preserve">This chapter translates CeloHT's values into practical operating principles that guide specific decisions.</w:t>
      </w:r>
    </w:p>
    <w:p>
      <w:pPr>
        <w:spacing w:after="200" w:line="300"/>
        <w:jc w:val="both"/>
      </w:pPr>
      <w:r>
        <w:rPr>
          <w:rFonts w:ascii="Calibri" w:cs="Calibri" w:eastAsia="Calibri" w:hAnsi="Calibri"/>
          <w:b w:val="false"/>
          <w:bCs w:val="false"/>
          <w:i w:val="false"/>
          <w:iCs w:val="false"/>
          <w:color w:val="1A1A1A"/>
          <w:sz w:val="22"/>
          <w:szCs w:val="22"/>
        </w:rPr>
        <w:t xml:space="preserve">Where the previous chapter describes what CeloHT believes, this chapter describes how those beliefs are applied in practice.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Principle</w:t>
            </w:r>
          </w:p>
        </w:tc>
        <w:tc>
          <w:tcPr>
            <w:tcW w:type="dxa" w:w="595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Practical Application</w:t>
            </w:r>
          </w:p>
        </w:tc>
      </w:tr>
      <w:tr>
        <w:tc>
          <w:tcPr>
            <w:tcW w:type="dxa" w:w="3400"/>
            <w:shd w:fill="FFFFFF" w:val="clear"/>
            <w:tcMar>
              <w:top w:type="dxa" w:w="90"/>
              <w:left w:type="dxa" w:w="140"/>
              <w:bottom w:type="dxa" w:w="90"/>
              <w:right w:type="dxa" w:w="140"/>
            </w:tcMar>
          </w:tcPr>
          <w:p>
            <w:r>
              <w:rPr>
                <w:rFonts w:ascii="Calibri" w:cs="Calibri" w:eastAsia="Calibri" w:hAnsi="Calibri"/>
                <w:color w:val="1A1A1A"/>
                <w:sz w:val="19"/>
                <w:szCs w:val="19"/>
              </w:rPr>
              <w:t xml:space="preserve">Document before you build</w:t>
            </w:r>
          </w:p>
        </w:tc>
        <w:tc>
          <w:tcPr>
            <w:tcW w:type="dxa" w:w="5950"/>
            <w:shd w:fill="FFFFFF" w:val="clear"/>
            <w:tcMar>
              <w:top w:type="dxa" w:w="90"/>
              <w:left w:type="dxa" w:w="140"/>
              <w:bottom w:type="dxa" w:w="90"/>
              <w:right w:type="dxa" w:w="140"/>
            </w:tcMar>
          </w:tcPr>
          <w:p>
            <w:r>
              <w:rPr>
                <w:rFonts w:ascii="Calibri" w:cs="Calibri" w:eastAsia="Calibri" w:hAnsi="Calibri"/>
                <w:color w:val="1A1A1A"/>
                <w:sz w:val="19"/>
                <w:szCs w:val="19"/>
              </w:rPr>
              <w:t xml:space="preserve">New repositories and features begin with a written specification before implementation starts.</w:t>
            </w:r>
          </w:p>
        </w:tc>
      </w:tr>
      <w:tr>
        <w:tc>
          <w:tcPr>
            <w:tcW w:type="dxa" w:w="3400"/>
            <w:shd w:fill="F5F6F8" w:val="clear"/>
            <w:tcMar>
              <w:top w:type="dxa" w:w="90"/>
              <w:left w:type="dxa" w:w="140"/>
              <w:bottom w:type="dxa" w:w="90"/>
              <w:right w:type="dxa" w:w="140"/>
            </w:tcMar>
          </w:tcPr>
          <w:p>
            <w:r>
              <w:rPr>
                <w:rFonts w:ascii="Calibri" w:cs="Calibri" w:eastAsia="Calibri" w:hAnsi="Calibri"/>
                <w:color w:val="1A1A1A"/>
                <w:sz w:val="19"/>
                <w:szCs w:val="19"/>
              </w:rPr>
              <w:t xml:space="preserve">Explain before you deploy</w:t>
            </w:r>
          </w:p>
        </w:tc>
        <w:tc>
          <w:tcPr>
            <w:tcW w:type="dxa" w:w="5950"/>
            <w:shd w:fill="F5F6F8" w:val="clear"/>
            <w:tcMar>
              <w:top w:type="dxa" w:w="90"/>
              <w:left w:type="dxa" w:w="140"/>
              <w:bottom w:type="dxa" w:w="90"/>
              <w:right w:type="dxa" w:w="140"/>
            </w:tcMar>
          </w:tcPr>
          <w:p>
            <w:r>
              <w:rPr>
                <w:rFonts w:ascii="Calibri" w:cs="Calibri" w:eastAsia="Calibri" w:hAnsi="Calibri"/>
                <w:color w:val="1A1A1A"/>
                <w:sz w:val="19"/>
                <w:szCs w:val="19"/>
              </w:rPr>
              <w:t xml:space="preserve">Educational material covering a tool or feature is prepared alongside, not after, its technical release.</w:t>
            </w:r>
          </w:p>
        </w:tc>
      </w:tr>
      <w:tr>
        <w:tc>
          <w:tcPr>
            <w:tcW w:type="dxa" w:w="3400"/>
            <w:shd w:fill="FFFFFF" w:val="clear"/>
            <w:tcMar>
              <w:top w:type="dxa" w:w="90"/>
              <w:left w:type="dxa" w:w="140"/>
              <w:bottom w:type="dxa" w:w="90"/>
              <w:right w:type="dxa" w:w="140"/>
            </w:tcMar>
          </w:tcPr>
          <w:p>
            <w:r>
              <w:rPr>
                <w:rFonts w:ascii="Calibri" w:cs="Calibri" w:eastAsia="Calibri" w:hAnsi="Calibri"/>
                <w:color w:val="1A1A1A"/>
                <w:sz w:val="19"/>
                <w:szCs w:val="19"/>
              </w:rPr>
              <w:t xml:space="preserve">Verify before you claim</w:t>
            </w:r>
          </w:p>
        </w:tc>
        <w:tc>
          <w:tcPr>
            <w:tcW w:type="dxa" w:w="5950"/>
            <w:shd w:fill="FFFFFF" w:val="clear"/>
            <w:tcMar>
              <w:top w:type="dxa" w:w="90"/>
              <w:left w:type="dxa" w:w="140"/>
              <w:bottom w:type="dxa" w:w="90"/>
              <w:right w:type="dxa" w:w="140"/>
            </w:tcMar>
          </w:tcPr>
          <w:p>
            <w:r>
              <w:rPr>
                <w:rFonts w:ascii="Calibri" w:cs="Calibri" w:eastAsia="Calibri" w:hAnsi="Calibri"/>
                <w:color w:val="1A1A1A"/>
                <w:sz w:val="19"/>
                <w:szCs w:val="19"/>
              </w:rPr>
              <w:t xml:space="preserve">Public statements about metrics or milestones are checked against source data before publication.</w:t>
            </w:r>
          </w:p>
        </w:tc>
      </w:tr>
      <w:tr>
        <w:tc>
          <w:tcPr>
            <w:tcW w:type="dxa" w:w="3400"/>
            <w:shd w:fill="F5F6F8" w:val="clear"/>
            <w:tcMar>
              <w:top w:type="dxa" w:w="90"/>
              <w:left w:type="dxa" w:w="140"/>
              <w:bottom w:type="dxa" w:w="90"/>
              <w:right w:type="dxa" w:w="140"/>
            </w:tcMar>
          </w:tcPr>
          <w:p>
            <w:r>
              <w:rPr>
                <w:rFonts w:ascii="Calibri" w:cs="Calibri" w:eastAsia="Calibri" w:hAnsi="Calibri"/>
                <w:color w:val="1A1A1A"/>
                <w:sz w:val="19"/>
                <w:szCs w:val="19"/>
              </w:rPr>
              <w:t xml:space="preserve">Build for the offline moment</w:t>
            </w:r>
          </w:p>
        </w:tc>
        <w:tc>
          <w:tcPr>
            <w:tcW w:type="dxa" w:w="5950"/>
            <w:shd w:fill="F5F6F8" w:val="clear"/>
            <w:tcMar>
              <w:top w:type="dxa" w:w="90"/>
              <w:left w:type="dxa" w:w="140"/>
              <w:bottom w:type="dxa" w:w="90"/>
              <w:right w:type="dxa" w:w="140"/>
            </w:tcMar>
          </w:tcPr>
          <w:p>
            <w:r>
              <w:rPr>
                <w:rFonts w:ascii="Calibri" w:cs="Calibri" w:eastAsia="Calibri" w:hAnsi="Calibri"/>
                <w:color w:val="1A1A1A"/>
                <w:sz w:val="19"/>
                <w:szCs w:val="19"/>
              </w:rPr>
              <w:t xml:space="preserve">Materials are designed to remain useful even with intermittent connectivity, reflecting real network conditions.</w:t>
            </w:r>
          </w:p>
        </w:tc>
      </w:tr>
      <w:tr>
        <w:tc>
          <w:tcPr>
            <w:tcW w:type="dxa" w:w="3400"/>
            <w:shd w:fill="FFFFFF" w:val="clear"/>
            <w:tcMar>
              <w:top w:type="dxa" w:w="90"/>
              <w:left w:type="dxa" w:w="140"/>
              <w:bottom w:type="dxa" w:w="90"/>
              <w:right w:type="dxa" w:w="140"/>
            </w:tcMar>
          </w:tcPr>
          <w:p>
            <w:r>
              <w:rPr>
                <w:rFonts w:ascii="Calibri" w:cs="Calibri" w:eastAsia="Calibri" w:hAnsi="Calibri"/>
                <w:color w:val="1A1A1A"/>
                <w:sz w:val="19"/>
                <w:szCs w:val="19"/>
              </w:rPr>
              <w:t xml:space="preserve">Prefer existing infrastructure</w:t>
            </w:r>
          </w:p>
        </w:tc>
        <w:tc>
          <w:tcPr>
            <w:tcW w:type="dxa" w:w="5950"/>
            <w:shd w:fill="FFFFFF" w:val="clear"/>
            <w:tcMar>
              <w:top w:type="dxa" w:w="90"/>
              <w:left w:type="dxa" w:w="140"/>
              <w:bottom w:type="dxa" w:w="90"/>
              <w:right w:type="dxa" w:w="140"/>
            </w:tcMar>
          </w:tcPr>
          <w:p>
            <w:r>
              <w:rPr>
                <w:rFonts w:ascii="Calibri" w:cs="Calibri" w:eastAsia="Calibri" w:hAnsi="Calibri"/>
                <w:color w:val="1A1A1A"/>
                <w:sz w:val="19"/>
                <w:szCs w:val="19"/>
              </w:rPr>
              <w:t xml:space="preserve">CeloHT integrates with established tools such as USDm and Valora rather than duplicating them.</w:t>
            </w:r>
          </w:p>
        </w:tc>
      </w:tr>
    </w:tbl>
    <w:p>
      <w:pPr>
        <w:spacing w:after="200"/>
      </w:pPr>
    </w:p>
    <w:p>
      <w:pPr>
        <w:spacing w:after="200" w:line="300"/>
        <w:jc w:val="both"/>
      </w:pPr>
      <w:r>
        <w:rPr>
          <w:rFonts w:ascii="Calibri" w:cs="Calibri" w:eastAsia="Calibri" w:hAnsi="Calibri"/>
          <w:b w:val="false"/>
          <w:bCs w:val="false"/>
          <w:i w:val="false"/>
          <w:iCs w:val="false"/>
          <w:color w:val="1A1A1A"/>
          <w:sz w:val="22"/>
          <w:szCs w:val="22"/>
        </w:rPr>
        <w:t xml:space="preserve">These principles are enforced through CeloHT's governance and documentation processes rather than left as informal norms, a distinction discussed further in the chapters on Community Governance and How Decisions Are Made.</w:t>
      </w:r>
    </w:p>
    <w:p>
      <w:pPr>
        <w:sectPr>
          <w:headerReference w:type="default" r:id="rId31"/>
          <w:footerReference w:type="default" r:id="rId32"/>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13</w:t>
      </w:r>
    </w:p>
    <w:p>
      <w:pPr>
        <w:pStyle w:val="Heading1"/>
        <w:pBdr>
          <w:bottom w:val="single" w:color="0B1120" w:sz="6" w:space="8"/>
        </w:pBdr>
        <w:spacing w:after="260"/>
      </w:pPr>
      <w:r>
        <w:rPr>
          <w:rFonts w:ascii="Cambria" w:cs="Cambria" w:eastAsia="Cambria" w:hAnsi="Cambria"/>
          <w:b/>
          <w:bCs/>
          <w:color w:val="0B1120"/>
          <w:sz w:val="40"/>
          <w:szCs w:val="40"/>
        </w:rPr>
        <w:t xml:space="preserve">Our Open Source Philosophy</w:t>
      </w:r>
    </w:p>
    <w:p>
      <w:pPr>
        <w:spacing w:after="200" w:line="300"/>
        <w:jc w:val="both"/>
      </w:pPr>
      <w:r>
        <w:rPr>
          <w:rFonts w:ascii="Calibri" w:cs="Calibri" w:eastAsia="Calibri" w:hAnsi="Calibri"/>
          <w:b w:val="false"/>
          <w:bCs w:val="false"/>
          <w:i/>
          <w:iCs/>
          <w:color w:val="555555"/>
          <w:sz w:val="22"/>
          <w:szCs w:val="22"/>
        </w:rPr>
        <w:t xml:space="preserve">The chapter that follows explains why CeloHT operates as an open-source project and what that commitment entails in practice.</w:t>
      </w:r>
    </w:p>
    <w:p>
      <w:pPr>
        <w:spacing w:after="200" w:line="300"/>
        <w:jc w:val="both"/>
      </w:pPr>
      <w:r>
        <w:rPr>
          <w:rFonts w:ascii="Calibri" w:cs="Calibri" w:eastAsia="Calibri" w:hAnsi="Calibri"/>
          <w:b w:val="false"/>
          <w:bCs w:val="false"/>
          <w:i w:val="false"/>
          <w:iCs w:val="false"/>
          <w:color w:val="1A1A1A"/>
          <w:sz w:val="22"/>
          <w:szCs w:val="22"/>
        </w:rPr>
        <w:t xml:space="preserve">CeloHT's technical work is organized across eight public repositories under the Celo-HaiTi GitHub organization: a core repository holding governance, legal, financial, and program documentation; a dedicated documentation hub (celoht-docs); a research repository (celoht-research); a public website (celoht-siteweb); a decentralized-application repository (celoht-dapp); a smart-contracts repository (celoht-smart-contracts); a brand repository (celoht-brand); and an org-wide community health repository (.github). Each repository is publicly accessible, and each is intended to meet a standard of documentation quality comparable to mature open-source foundations rather than the minimal README common to early-stage projects.</w:t>
      </w:r>
    </w:p>
    <w:p>
      <w:pPr>
        <w:pStyle w:val="Heading2"/>
        <w:spacing w:after="140" w:before="260"/>
      </w:pPr>
      <w:r>
        <w:rPr>
          <w:rFonts w:ascii="Cambria" w:cs="Cambria" w:eastAsia="Cambria" w:hAnsi="Cambria"/>
          <w:b/>
          <w:bCs/>
          <w:color w:val="0B1120"/>
          <w:sz w:val="26"/>
          <w:szCs w:val="26"/>
        </w:rPr>
        <w:t xml:space="preserve">Why Open Source, Specifically</w:t>
      </w:r>
    </w:p>
    <w:p>
      <w:pPr>
        <w:spacing w:after="200" w:line="300"/>
        <w:jc w:val="both"/>
      </w:pPr>
      <w:r>
        <w:rPr>
          <w:rFonts w:ascii="Calibri" w:cs="Calibri" w:eastAsia="Calibri" w:hAnsi="Calibri"/>
          <w:b w:val="false"/>
          <w:bCs w:val="false"/>
          <w:i w:val="false"/>
          <w:iCs w:val="false"/>
          <w:color w:val="1A1A1A"/>
          <w:sz w:val="22"/>
          <w:szCs w:val="22"/>
        </w:rPr>
        <w:t xml:space="preserve">An open-source approach was not chosen for ideological reasons alone. It serves three practical functions for an organization in CeloHT's position. First, it allows technical claims to be independently verified: an investor, grant reviewer, or partner does not need to take the organization's word for what has been built, because the code itself is inspectable. Second, it lowers the barrier for local developers to contribute, since no proprietary licensing or access request stands between a Haitian software developer and CeloHT's codebase. Third, it creates a durability mechanism: because the code is public, the project's technical output does not disappear if any single contributor, including the founder, becomes unavailable.</w:t>
      </w:r>
    </w:p>
    <w:p>
      <w:pPr>
        <w:pStyle w:val="Heading2"/>
        <w:spacing w:after="140" w:before="260"/>
      </w:pPr>
      <w:r>
        <w:rPr>
          <w:rFonts w:ascii="Cambria" w:cs="Cambria" w:eastAsia="Cambria" w:hAnsi="Cambria"/>
          <w:b/>
          <w:bCs/>
          <w:color w:val="0B1120"/>
          <w:sz w:val="26"/>
          <w:szCs w:val="26"/>
        </w:rPr>
        <w:t xml:space="preserve">The Documentation Hub as a Long-Term Investment</w:t>
      </w:r>
    </w:p>
    <w:p>
      <w:pPr>
        <w:spacing w:after="200" w:line="300"/>
        <w:jc w:val="both"/>
      </w:pPr>
      <w:r>
        <w:rPr>
          <w:rFonts w:ascii="Calibri" w:cs="Calibri" w:eastAsia="Calibri" w:hAnsi="Calibri"/>
          <w:b w:val="false"/>
          <w:bCs w:val="false"/>
          <w:i w:val="false"/>
          <w:iCs w:val="false"/>
          <w:color w:val="1A1A1A"/>
          <w:sz w:val="22"/>
          <w:szCs w:val="22"/>
        </w:rPr>
        <w:t xml:space="preserve">Among the eight repositories, the documentation hub has been identified internally as a long-term flagship project, with the explicit ambition of becoming a globally referenced resource for language-first, community-rooted blockchain education, comparable in rigor to documentation maintained by established open-source foundations. This ambition is stated here as a goal, not a completed achievement, in keeping with CeloHT's principle of verifying before claiming.</w:t>
      </w:r>
    </w:p>
    <w:p>
      <w:pPr>
        <w:pBdr>
          <w:left w:val="single" w:color="F5C842" w:sz="24" w:space="12"/>
        </w:pBdr>
        <w:spacing w:after="240" w:before="240"/>
        <w:ind w:left="500" w:right="500"/>
      </w:pPr>
      <w:r>
        <w:rPr>
          <w:rFonts w:ascii="Cambria" w:cs="Cambria" w:eastAsia="Cambria" w:hAnsi="Cambria"/>
          <w:i/>
          <w:iCs/>
          <w:color w:val="0B1120"/>
          <w:sz w:val="24"/>
          <w:szCs w:val="24"/>
        </w:rPr>
        <w:t xml:space="preserve">"Open code is a form of accountability that does not depend on trusting us. It depends only on reading the code."</w:t>
      </w:r>
    </w:p>
    <w:p>
      <w:pPr>
        <w:sectPr>
          <w:headerReference w:type="default" r:id="rId33"/>
          <w:footerReference w:type="default" r:id="rId34"/>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14</w:t>
      </w:r>
    </w:p>
    <w:p>
      <w:pPr>
        <w:pStyle w:val="Heading1"/>
        <w:pBdr>
          <w:bottom w:val="single" w:color="0B1120" w:sz="6" w:space="8"/>
        </w:pBdr>
        <w:spacing w:after="260"/>
      </w:pPr>
      <w:r>
        <w:rPr>
          <w:rFonts w:ascii="Cambria" w:cs="Cambria" w:eastAsia="Cambria" w:hAnsi="Cambria"/>
          <w:b/>
          <w:bCs/>
          <w:color w:val="0B1120"/>
          <w:sz w:val="40"/>
          <w:szCs w:val="40"/>
        </w:rPr>
        <w:t xml:space="preserve">Community Governance</w:t>
      </w:r>
    </w:p>
    <w:p>
      <w:pPr>
        <w:spacing w:after="200" w:line="300"/>
        <w:jc w:val="both"/>
      </w:pPr>
      <w:r>
        <w:rPr>
          <w:rFonts w:ascii="Calibri" w:cs="Calibri" w:eastAsia="Calibri" w:hAnsi="Calibri"/>
          <w:b w:val="false"/>
          <w:bCs w:val="false"/>
          <w:i/>
          <w:iCs/>
          <w:color w:val="555555"/>
          <w:sz w:val="22"/>
          <w:szCs w:val="22"/>
        </w:rPr>
        <w:t xml:space="preserve">This section explains how CeloHT structures participation and authority within its community and open-source ecosystem.</w:t>
      </w:r>
    </w:p>
    <w:p>
      <w:pPr>
        <w:spacing w:after="200" w:line="300"/>
        <w:jc w:val="both"/>
      </w:pPr>
      <w:r>
        <w:rPr>
          <w:rFonts w:ascii="Calibri" w:cs="Calibri" w:eastAsia="Calibri" w:hAnsi="Calibri"/>
          <w:b w:val="false"/>
          <w:bCs w:val="false"/>
          <w:i w:val="false"/>
          <w:iCs w:val="false"/>
          <w:color w:val="1A1A1A"/>
          <w:sz w:val="22"/>
          <w:szCs w:val="22"/>
        </w:rPr>
        <w:t xml:space="preserve">Governance in an early-stage, community-driven organization faces a genuine tension: too little structure leaves decisions dependent entirely on one or two individuals, while too much structure imposed prematurely can create bureaucracy that a small team cannot sustain. CeloHT's approach has been to formalize governance in writing, through its dedicated governance repository, ahead of the organization reaching a scale that would make informal decision-making unmanageable. The pattern is established early rather than retrofitted under pressure.</w:t>
      </w:r>
    </w:p>
    <w:p>
      <w:pPr>
        <w:pStyle w:val="Heading2"/>
        <w:spacing w:after="140" w:before="260"/>
      </w:pPr>
      <w:r>
        <w:rPr>
          <w:rFonts w:ascii="Cambria" w:cs="Cambria" w:eastAsia="Cambria" w:hAnsi="Cambria"/>
          <w:b/>
          <w:bCs/>
          <w:color w:val="0B1120"/>
          <w:sz w:val="26"/>
          <w:szCs w:val="26"/>
        </w:rPr>
        <w:t xml:space="preserve">Three Tiers of Participation</w:t>
      </w:r>
    </w:p>
    <w:p>
      <w:pPr>
        <w:spacing w:after="200" w:line="300"/>
        <w:jc w:val="both"/>
      </w:pPr>
      <w:r>
        <w:rPr>
          <w:rFonts w:ascii="Calibri" w:cs="Calibri" w:eastAsia="Calibri" w:hAnsi="Calibri"/>
          <w:b w:val="false"/>
          <w:bCs w:val="false"/>
          <w:i w:val="false"/>
          <w:iCs w:val="false"/>
          <w:color w:val="1A1A1A"/>
          <w:sz w:val="22"/>
          <w:szCs w:val="22"/>
        </w:rPr>
        <w:t xml:space="preserve">CeloHT's governance model, documented publicly in GOVERNANCE.md, is structured around three roles: a Foundation Director, a Maintainer Council, and Community Contributors. This is a deliberate departure from single-founder authority: strategic and treasury decisions are not held by one individual, and the organization does not use token-weighted voting of any kind, in line with its no-token position. The Maintainer Council holds review and approval authority over technical and curricular decisions within their domains. The broader community, including learners, agents, and users of CeloHT's educational materials, holds feedback and proposal rights, exercised through public channels documented in the governance repository.</w:t>
      </w:r>
    </w:p>
    <w:p>
      <w:pPr>
        <w:spacing w:after="200" w:line="300"/>
        <w:jc w:val="both"/>
      </w:pPr>
      <w:r>
        <w:rPr>
          <w:rFonts w:ascii="Calibri" w:cs="Calibri" w:eastAsia="Calibri" w:hAnsi="Calibri"/>
          <w:b w:val="false"/>
          <w:bCs w:val="false"/>
          <w:i w:val="false"/>
          <w:iCs w:val="false"/>
          <w:color w:val="1A1A1A"/>
          <w:sz w:val="22"/>
          <w:szCs w:val="22"/>
        </w:rPr>
        <w:t xml:space="preserve">This structure is intended to evolve further as the organization matures and as more contributors demonstrate sustained involvement, following governance transitions documented in other successful open-source projects. Readers seeking the full governance charter, including role definitions and succession provisions, should consult GOVERNANCE.md directly at the CeloHT GitHub organization.</w:t>
      </w:r>
    </w:p>
    <w:p>
      <w:pPr>
        <w:sectPr>
          <w:headerReference w:type="default" r:id="rId35"/>
          <w:footerReference w:type="default" r:id="rId36"/>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15</w:t>
      </w:r>
    </w:p>
    <w:p>
      <w:pPr>
        <w:pStyle w:val="Heading1"/>
        <w:pBdr>
          <w:bottom w:val="single" w:color="0B1120" w:sz="6" w:space="8"/>
        </w:pBdr>
        <w:spacing w:after="260"/>
      </w:pPr>
      <w:r>
        <w:rPr>
          <w:rFonts w:ascii="Cambria" w:cs="Cambria" w:eastAsia="Cambria" w:hAnsi="Cambria"/>
          <w:b/>
          <w:bCs/>
          <w:color w:val="0B1120"/>
          <w:sz w:val="40"/>
          <w:szCs w:val="40"/>
        </w:rPr>
        <w:t xml:space="preserve">How Decisions Are Made</w:t>
      </w:r>
    </w:p>
    <w:p>
      <w:pPr>
        <w:spacing w:after="200" w:line="300"/>
        <w:jc w:val="both"/>
      </w:pPr>
      <w:r>
        <w:rPr>
          <w:rFonts w:ascii="Calibri" w:cs="Calibri" w:eastAsia="Calibri" w:hAnsi="Calibri"/>
          <w:b w:val="false"/>
          <w:bCs w:val="false"/>
          <w:i/>
          <w:iCs/>
          <w:color w:val="555555"/>
          <w:sz w:val="22"/>
          <w:szCs w:val="22"/>
        </w:rPr>
        <w:t xml:space="preserve">The discussion here describes the concrete process by which CeloHT reaches decisions, from proposal to implementation.</w:t>
      </w:r>
    </w:p>
    <w:p>
      <w:pPr>
        <w:spacing w:after="200" w:line="300"/>
        <w:jc w:val="both"/>
      </w:pPr>
      <w:r>
        <w:rPr>
          <w:rFonts w:ascii="Calibri" w:cs="Calibri" w:eastAsia="Calibri" w:hAnsi="Calibri"/>
          <w:b w:val="false"/>
          <w:bCs w:val="false"/>
          <w:i w:val="false"/>
          <w:iCs w:val="false"/>
          <w:color w:val="1A1A1A"/>
          <w:sz w:val="22"/>
          <w:szCs w:val="22"/>
        </w:rPr>
        <w:t xml:space="preserve">CeloHT's decision process is deliberately documented as a sequence of stages rather than left to case-by-case judgment, so that any contributor can predict how a proposal will be handled before submitting 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Stage</w:t>
            </w:r>
          </w:p>
        </w:tc>
        <w:tc>
          <w:tcPr>
            <w:tcW w:type="dxa" w:w="675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What Happens</w:t>
            </w:r>
          </w:p>
        </w:tc>
      </w:tr>
      <w:tr>
        <w:tc>
          <w:tcPr>
            <w:tcW w:type="dxa" w:w="2600"/>
            <w:shd w:fill="FFFFFF" w:val="clear"/>
            <w:tcMar>
              <w:top w:type="dxa" w:w="90"/>
              <w:left w:type="dxa" w:w="140"/>
              <w:bottom w:type="dxa" w:w="90"/>
              <w:right w:type="dxa" w:w="140"/>
            </w:tcMar>
          </w:tcPr>
          <w:p>
            <w:r>
              <w:rPr>
                <w:rFonts w:ascii="Calibri" w:cs="Calibri" w:eastAsia="Calibri" w:hAnsi="Calibri"/>
                <w:color w:val="1A1A1A"/>
                <w:sz w:val="19"/>
                <w:szCs w:val="19"/>
              </w:rPr>
              <w:t xml:space="preserve">1. Proposal</w:t>
            </w:r>
          </w:p>
        </w:tc>
        <w:tc>
          <w:tcPr>
            <w:tcW w:type="dxa" w:w="6750"/>
            <w:shd w:fill="FFFFFF" w:val="clear"/>
            <w:tcMar>
              <w:top w:type="dxa" w:w="90"/>
              <w:left w:type="dxa" w:w="140"/>
              <w:bottom w:type="dxa" w:w="90"/>
              <w:right w:type="dxa" w:w="140"/>
            </w:tcMar>
          </w:tcPr>
          <w:p>
            <w:r>
              <w:rPr>
                <w:rFonts w:ascii="Calibri" w:cs="Calibri" w:eastAsia="Calibri" w:hAnsi="Calibri"/>
                <w:color w:val="1A1A1A"/>
                <w:sz w:val="19"/>
                <w:szCs w:val="19"/>
              </w:rPr>
              <w:t xml:space="preserve">A contributor or community member submits a written proposal through the governance repository, describing the change and its rationale.</w:t>
            </w:r>
          </w:p>
        </w:tc>
      </w:tr>
      <w:tr>
        <w:tc>
          <w:tcPr>
            <w:tcW w:type="dxa" w:w="2600"/>
            <w:shd w:fill="F5F6F8" w:val="clear"/>
            <w:tcMar>
              <w:top w:type="dxa" w:w="90"/>
              <w:left w:type="dxa" w:w="140"/>
              <w:bottom w:type="dxa" w:w="90"/>
              <w:right w:type="dxa" w:w="140"/>
            </w:tcMar>
          </w:tcPr>
          <w:p>
            <w:r>
              <w:rPr>
                <w:rFonts w:ascii="Calibri" w:cs="Calibri" w:eastAsia="Calibri" w:hAnsi="Calibri"/>
                <w:color w:val="1A1A1A"/>
                <w:sz w:val="19"/>
                <w:szCs w:val="19"/>
              </w:rPr>
              <w:t xml:space="preserve">2. Open comment</w:t>
            </w:r>
          </w:p>
        </w:tc>
        <w:tc>
          <w:tcPr>
            <w:tcW w:type="dxa" w:w="6750"/>
            <w:shd w:fill="F5F6F8" w:val="clear"/>
            <w:tcMar>
              <w:top w:type="dxa" w:w="90"/>
              <w:left w:type="dxa" w:w="140"/>
              <w:bottom w:type="dxa" w:w="90"/>
              <w:right w:type="dxa" w:w="140"/>
            </w:tcMar>
          </w:tcPr>
          <w:p>
            <w:r>
              <w:rPr>
                <w:rFonts w:ascii="Calibri" w:cs="Calibri" w:eastAsia="Calibri" w:hAnsi="Calibri"/>
                <w:color w:val="1A1A1A"/>
                <w:sz w:val="19"/>
                <w:szCs w:val="19"/>
              </w:rPr>
              <w:t xml:space="preserve">The proposal remains open for community and core-contributor feedback for a defined comment period.</w:t>
            </w:r>
          </w:p>
        </w:tc>
      </w:tr>
      <w:tr>
        <w:tc>
          <w:tcPr>
            <w:tcW w:type="dxa" w:w="2600"/>
            <w:shd w:fill="FFFFFF" w:val="clear"/>
            <w:tcMar>
              <w:top w:type="dxa" w:w="90"/>
              <w:left w:type="dxa" w:w="140"/>
              <w:bottom w:type="dxa" w:w="90"/>
              <w:right w:type="dxa" w:w="140"/>
            </w:tcMar>
          </w:tcPr>
          <w:p>
            <w:r>
              <w:rPr>
                <w:rFonts w:ascii="Calibri" w:cs="Calibri" w:eastAsia="Calibri" w:hAnsi="Calibri"/>
                <w:color w:val="1A1A1A"/>
                <w:sz w:val="19"/>
                <w:szCs w:val="19"/>
              </w:rPr>
              <w:t xml:space="preserve">3. Technical review</w:t>
            </w:r>
          </w:p>
        </w:tc>
        <w:tc>
          <w:tcPr>
            <w:tcW w:type="dxa" w:w="6750"/>
            <w:shd w:fill="FFFFFF" w:val="clear"/>
            <w:tcMar>
              <w:top w:type="dxa" w:w="90"/>
              <w:left w:type="dxa" w:w="140"/>
              <w:bottom w:type="dxa" w:w="90"/>
              <w:right w:type="dxa" w:w="140"/>
            </w:tcMar>
          </w:tcPr>
          <w:p>
            <w:r>
              <w:rPr>
                <w:rFonts w:ascii="Calibri" w:cs="Calibri" w:eastAsia="Calibri" w:hAnsi="Calibri"/>
                <w:color w:val="1A1A1A"/>
                <w:sz w:val="19"/>
                <w:szCs w:val="19"/>
              </w:rPr>
              <w:t xml:space="preserve">Proposals affecting code or infrastructure receive a technical review from relevant core contributors.</w:t>
            </w:r>
          </w:p>
        </w:tc>
      </w:tr>
      <w:tr>
        <w:tc>
          <w:tcPr>
            <w:tcW w:type="dxa" w:w="2600"/>
            <w:shd w:fill="F5F6F8" w:val="clear"/>
            <w:tcMar>
              <w:top w:type="dxa" w:w="90"/>
              <w:left w:type="dxa" w:w="140"/>
              <w:bottom w:type="dxa" w:w="90"/>
              <w:right w:type="dxa" w:w="140"/>
            </w:tcMar>
          </w:tcPr>
          <w:p>
            <w:r>
              <w:rPr>
                <w:rFonts w:ascii="Calibri" w:cs="Calibri" w:eastAsia="Calibri" w:hAnsi="Calibri"/>
                <w:color w:val="1A1A1A"/>
                <w:sz w:val="19"/>
                <w:szCs w:val="19"/>
              </w:rPr>
              <w:t xml:space="preserve">4. Decision</w:t>
            </w:r>
          </w:p>
        </w:tc>
        <w:tc>
          <w:tcPr>
            <w:tcW w:type="dxa" w:w="6750"/>
            <w:shd w:fill="F5F6F8" w:val="clear"/>
            <w:tcMar>
              <w:top w:type="dxa" w:w="90"/>
              <w:left w:type="dxa" w:w="140"/>
              <w:bottom w:type="dxa" w:w="90"/>
              <w:right w:type="dxa" w:w="140"/>
            </w:tcMar>
          </w:tcPr>
          <w:p>
            <w:r>
              <w:rPr>
                <w:rFonts w:ascii="Calibri" w:cs="Calibri" w:eastAsia="Calibri" w:hAnsi="Calibri"/>
                <w:color w:val="1A1A1A"/>
                <w:sz w:val="19"/>
                <w:szCs w:val="19"/>
              </w:rPr>
              <w:t xml:space="preserve">The Foundation Director or Maintainer Council makes a final determination, depending on the decision's scope, informed by the comment period and technical review, and records the rationale publicly.</w:t>
            </w:r>
          </w:p>
        </w:tc>
      </w:tr>
      <w:tr>
        <w:tc>
          <w:tcPr>
            <w:tcW w:type="dxa" w:w="2600"/>
            <w:shd w:fill="FFFFFF" w:val="clear"/>
            <w:tcMar>
              <w:top w:type="dxa" w:w="90"/>
              <w:left w:type="dxa" w:w="140"/>
              <w:bottom w:type="dxa" w:w="90"/>
              <w:right w:type="dxa" w:w="140"/>
            </w:tcMar>
          </w:tcPr>
          <w:p>
            <w:r>
              <w:rPr>
                <w:rFonts w:ascii="Calibri" w:cs="Calibri" w:eastAsia="Calibri" w:hAnsi="Calibri"/>
                <w:color w:val="1A1A1A"/>
                <w:sz w:val="19"/>
                <w:szCs w:val="19"/>
              </w:rPr>
              <w:t xml:space="preserve">5. Implementation and record</w:t>
            </w:r>
          </w:p>
        </w:tc>
        <w:tc>
          <w:tcPr>
            <w:tcW w:type="dxa" w:w="6750"/>
            <w:shd w:fill="FFFFFF" w:val="clear"/>
            <w:tcMar>
              <w:top w:type="dxa" w:w="90"/>
              <w:left w:type="dxa" w:w="140"/>
              <w:bottom w:type="dxa" w:w="90"/>
              <w:right w:type="dxa" w:w="140"/>
            </w:tcMar>
          </w:tcPr>
          <w:p>
            <w:r>
              <w:rPr>
                <w:rFonts w:ascii="Calibri" w:cs="Calibri" w:eastAsia="Calibri" w:hAnsi="Calibri"/>
                <w:color w:val="1A1A1A"/>
                <w:sz w:val="19"/>
                <w:szCs w:val="19"/>
              </w:rPr>
              <w:t xml:space="preserve">Approved proposals are implemented and logged, creating a public history of what changed, when, and why.</w:t>
            </w:r>
          </w:p>
        </w:tc>
      </w:tr>
    </w:tbl>
    <w:p>
      <w:pPr>
        <w:spacing w:after="200"/>
      </w:pPr>
    </w:p>
    <w:p>
      <w:pPr>
        <w:spacing w:after="200" w:line="300"/>
        <w:jc w:val="both"/>
      </w:pPr>
      <w:r>
        <w:rPr>
          <w:rFonts w:ascii="Calibri" w:cs="Calibri" w:eastAsia="Calibri" w:hAnsi="Calibri"/>
          <w:b w:val="false"/>
          <w:bCs w:val="false"/>
          <w:i w:val="false"/>
          <w:iCs w:val="false"/>
          <w:color w:val="1A1A1A"/>
          <w:sz w:val="22"/>
          <w:szCs w:val="22"/>
        </w:rPr>
        <w:t xml:space="preserve">This structure distributes authority across the Foundation Director and Maintainer Council roles described in the chapter on Community Governance, rather than concentrating it in a single founder. What the structure guarantees is decision traceability: any observer can review why a given change was made and what input informed it, rather than encountering decisions that appear to have been made without explanation.</w:t>
      </w:r>
    </w:p>
    <w:p>
      <w:pPr>
        <w:sectPr>
          <w:headerReference w:type="default" r:id="rId37"/>
          <w:footerReference w:type="default" r:id="rId38"/>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16</w:t>
      </w:r>
    </w:p>
    <w:p>
      <w:pPr>
        <w:pStyle w:val="Heading1"/>
        <w:pBdr>
          <w:bottom w:val="single" w:color="0B1120" w:sz="6" w:space="8"/>
        </w:pBdr>
        <w:spacing w:after="260"/>
      </w:pPr>
      <w:r>
        <w:rPr>
          <w:rFonts w:ascii="Cambria" w:cs="Cambria" w:eastAsia="Cambria" w:hAnsi="Cambria"/>
          <w:b/>
          <w:bCs/>
          <w:color w:val="0B1120"/>
          <w:sz w:val="40"/>
          <w:szCs w:val="40"/>
        </w:rPr>
        <w:t xml:space="preserve">Organizational Structure</w:t>
      </w:r>
    </w:p>
    <w:p>
      <w:pPr>
        <w:spacing w:after="200" w:line="300"/>
        <w:jc w:val="both"/>
      </w:pPr>
      <w:r>
        <w:rPr>
          <w:rFonts w:ascii="Calibri" w:cs="Calibri" w:eastAsia="Calibri" w:hAnsi="Calibri"/>
          <w:b w:val="false"/>
          <w:bCs w:val="false"/>
          <w:i/>
          <w:iCs/>
          <w:color w:val="555555"/>
          <w:sz w:val="22"/>
          <w:szCs w:val="22"/>
        </w:rPr>
        <w:t xml:space="preserve">This chapter describes how CeloHT and its sister venture FreClean are organized, and how responsibilities are divided.</w:t>
      </w:r>
    </w:p>
    <w:p>
      <w:pPr>
        <w:spacing w:after="200" w:line="300"/>
        <w:jc w:val="both"/>
      </w:pPr>
      <w:r>
        <w:rPr>
          <w:rFonts w:ascii="Calibri" w:cs="Calibri" w:eastAsia="Calibri" w:hAnsi="Calibri"/>
          <w:b w:val="false"/>
          <w:bCs w:val="false"/>
          <w:i w:val="false"/>
          <w:iCs w:val="false"/>
          <w:color w:val="1A1A1A"/>
          <w:sz w:val="22"/>
          <w:szCs w:val="22"/>
        </w:rPr>
        <w:t xml:space="preserve">CeloHT operates as a distinct initiative from FreClean, a professional cleaning-services and entrepreneurship venture also founded by Johnny Dubic and based in Léogâne. The two organizations are structurally separate, with different missions, different revenue models, and different brand identities, but they are strategically linked: FreClean's early commercial revenue is treated internally as a proof-of-execution asset that strengthens CeloHT's case to grant committees and investors, demonstrating that its founding team can build and operate a functioning business, not only open-source software.</w:t>
      </w:r>
    </w:p>
    <w:p>
      <w:pPr>
        <w:pStyle w:val="Heading2"/>
        <w:spacing w:after="140" w:before="260"/>
      </w:pPr>
      <w:r>
        <w:rPr>
          <w:rFonts w:ascii="Cambria" w:cs="Cambria" w:eastAsia="Cambria" w:hAnsi="Cambria"/>
          <w:b/>
          <w:bCs/>
          <w:color w:val="0B1120"/>
          <w:sz w:val="26"/>
          <w:szCs w:val="26"/>
        </w:rPr>
        <w:t xml:space="preserve">Current Team Composition</w:t>
      </w:r>
    </w:p>
    <w:p>
      <w:pPr>
        <w:spacing w:after="200" w:line="300"/>
        <w:jc w:val="both"/>
      </w:pPr>
      <w:r>
        <w:rPr>
          <w:rFonts w:ascii="Calibri" w:cs="Calibri" w:eastAsia="Calibri" w:hAnsi="Calibri"/>
          <w:b w:val="false"/>
          <w:bCs w:val="false"/>
          <w:i w:val="false"/>
          <w:iCs w:val="false"/>
          <w:color w:val="1A1A1A"/>
          <w:sz w:val="22"/>
          <w:szCs w:val="22"/>
        </w:rPr>
        <w:t xml:space="preserve">CeloHT's leadership is organized around a Foundation Director role, a Maintainer Council, and a growing base of open-source Community Contributors engaging through the governance repository and community channels, as documented in GOVERNANCE.md, MAINTAINERS.md, and TEAM.md at the CeloHT GitHub organization. Readers seeking current named role-holders should consult those files directly, as personnel detail is maintained there rather than restated in this book, where it could grow outdated between manuscript revisions.</w:t>
      </w:r>
    </w:p>
    <w:p>
      <w:pPr>
        <w:pStyle w:val="Heading2"/>
        <w:spacing w:after="140" w:before="260"/>
      </w:pPr>
      <w:r>
        <w:rPr>
          <w:rFonts w:ascii="Cambria" w:cs="Cambria" w:eastAsia="Cambria" w:hAnsi="Cambria"/>
          <w:b/>
          <w:bCs/>
          <w:color w:val="0B1120"/>
          <w:sz w:val="26"/>
          <w:szCs w:val="26"/>
        </w:rPr>
        <w:t xml:space="preserve">Functional Areas</w:t>
      </w:r>
    </w:p>
    <w:p>
      <w:pPr>
        <w:spacing w:after="200" w:line="300"/>
        <w:jc w:val="both"/>
      </w:pPr>
      <w:r>
        <w:rPr>
          <w:rFonts w:ascii="Calibri" w:cs="Calibri" w:eastAsia="Calibri" w:hAnsi="Calibri"/>
          <w:b w:val="false"/>
          <w:bCs w:val="false"/>
          <w:i w:val="false"/>
          <w:iCs w:val="false"/>
          <w:color w:val="1A1A1A"/>
          <w:sz w:val="22"/>
          <w:szCs w:val="22"/>
        </w:rPr>
        <w:t xml:space="preserve">Work within CeloHT is organized across four functional areas: technical development, spanning the eight public repositories; education, spanning the CeloHT Academy volumes and related training materials; community and agent-network coordination, covering outreach and on-the-ground engagement; and environmental programs, covering the Reforestation pillar. Each area operates under the oversight of the Maintainer Council and Foundation Director, with Community Contributors holding increasing responsibility as the organization matures.</w:t>
      </w:r>
    </w:p>
    <w:p>
      <w:pPr>
        <w:sectPr>
          <w:headerReference w:type="default" r:id="rId39"/>
          <w:footerReference w:type="default" r:id="rId40"/>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17</w:t>
      </w:r>
    </w:p>
    <w:p>
      <w:pPr>
        <w:pStyle w:val="Heading1"/>
        <w:pBdr>
          <w:bottom w:val="single" w:color="0B1120" w:sz="6" w:space="8"/>
        </w:pBdr>
        <w:spacing w:after="260"/>
      </w:pPr>
      <w:r>
        <w:rPr>
          <w:rFonts w:ascii="Cambria" w:cs="Cambria" w:eastAsia="Cambria" w:hAnsi="Cambria"/>
          <w:b/>
          <w:bCs/>
          <w:color w:val="0B1120"/>
          <w:sz w:val="40"/>
          <w:szCs w:val="40"/>
        </w:rPr>
        <w:t xml:space="preserve">Transparency Standards</w:t>
      </w:r>
    </w:p>
    <w:p>
      <w:pPr>
        <w:spacing w:after="200" w:line="300"/>
        <w:jc w:val="both"/>
      </w:pPr>
      <w:r>
        <w:rPr>
          <w:rFonts w:ascii="Calibri" w:cs="Calibri" w:eastAsia="Calibri" w:hAnsi="Calibri"/>
          <w:b w:val="false"/>
          <w:bCs w:val="false"/>
          <w:i/>
          <w:iCs/>
          <w:color w:val="555555"/>
          <w:sz w:val="22"/>
          <w:szCs w:val="22"/>
        </w:rPr>
        <w:t xml:space="preserve">The chapter that follows specifies what CeloHT commits to disclosing, on what schedule, and through what channels.</w:t>
      </w:r>
    </w:p>
    <w:p>
      <w:pPr>
        <w:spacing w:after="200" w:line="300"/>
        <w:jc w:val="both"/>
      </w:pPr>
      <w:r>
        <w:rPr>
          <w:rFonts w:ascii="Calibri" w:cs="Calibri" w:eastAsia="Calibri" w:hAnsi="Calibri"/>
          <w:b w:val="false"/>
          <w:bCs w:val="false"/>
          <w:i w:val="false"/>
          <w:iCs w:val="false"/>
          <w:color w:val="1A1A1A"/>
          <w:sz w:val="22"/>
          <w:szCs w:val="22"/>
        </w:rPr>
        <w:t xml:space="preserve">Transparency is listed among CeloHT's core values in an earlier chapter; this chapter specifies what that commitment means operationally.</w:t>
      </w:r>
    </w:p>
    <w:p>
      <w:pPr>
        <w:pStyle w:val="Heading2"/>
        <w:spacing w:after="140" w:before="260"/>
      </w:pPr>
      <w:r>
        <w:rPr>
          <w:rFonts w:ascii="Cambria" w:cs="Cambria" w:eastAsia="Cambria" w:hAnsi="Cambria"/>
          <w:b/>
          <w:bCs/>
          <w:color w:val="0B1120"/>
          <w:sz w:val="26"/>
          <w:szCs w:val="26"/>
        </w:rPr>
        <w:t xml:space="preserve">What Is Disclosed</w:t>
      </w:r>
    </w:p>
    <w:p>
      <w:pPr>
        <w:spacing w:after="200" w:line="300"/>
        <w:jc w:val="both"/>
      </w:pPr>
      <w:r>
        <w:rPr>
          <w:rFonts w:ascii="Calibri" w:cs="Calibri" w:eastAsia="Calibri" w:hAnsi="Calibri"/>
          <w:b w:val="false"/>
          <w:bCs w:val="false"/>
          <w:i w:val="false"/>
          <w:iCs w:val="false"/>
          <w:color w:val="1A1A1A"/>
          <w:sz w:val="22"/>
          <w:szCs w:val="22"/>
        </w:rPr>
        <w:t xml:space="preserve">All source code across CeloHT's eight repositories is public by default. Governance proposals, comment periods, and final decisions are logged in the governance repository. Educational output, including each completed volume of the CeloHT Academy series, is documented with publication dates and version status. Where a body of work is incomplete, such as the Academy series' current thirteen of thirty planned volumes, that status is stated rather than rounded up or left ambiguous.</w:t>
      </w:r>
    </w:p>
    <w:p>
      <w:pPr>
        <w:pStyle w:val="Heading2"/>
        <w:spacing w:after="140" w:before="260"/>
      </w:pPr>
      <w:r>
        <w:rPr>
          <w:rFonts w:ascii="Cambria" w:cs="Cambria" w:eastAsia="Cambria" w:hAnsi="Cambria"/>
          <w:b/>
          <w:bCs/>
          <w:color w:val="0B1120"/>
          <w:sz w:val="26"/>
          <w:szCs w:val="26"/>
        </w:rPr>
        <w:t xml:space="preserve">What Is Not Yet Disclosed</w:t>
      </w:r>
    </w:p>
    <w:p>
      <w:pPr>
        <w:spacing w:after="200" w:line="300"/>
        <w:jc w:val="both"/>
      </w:pPr>
      <w:r>
        <w:rPr>
          <w:rFonts w:ascii="Calibri" w:cs="Calibri" w:eastAsia="Calibri" w:hAnsi="Calibri"/>
          <w:b w:val="false"/>
          <w:bCs w:val="false"/>
          <w:i w:val="false"/>
          <w:iCs w:val="false"/>
          <w:color w:val="1A1A1A"/>
          <w:sz w:val="22"/>
          <w:szCs w:val="22"/>
        </w:rPr>
        <w:t xml:space="preserve">Consistent with the principle of precision over promotion, this book does not claim a level of financial or operational disclosure CeloHT has not yet built. Formal audited financial statements, for instance, are not yet in place, a gap addressed directly in the chapter on Institutional Readiness. Naming this gap here, rather than omitting it, is itself an application of the transparency standard being described.</w:t>
      </w:r>
    </w:p>
    <w:p>
      <w:pPr>
        <w:sectPr>
          <w:headerReference w:type="default" r:id="rId41"/>
          <w:footerReference w:type="default" r:id="rId42"/>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18</w:t>
      </w:r>
    </w:p>
    <w:p>
      <w:pPr>
        <w:pStyle w:val="Heading1"/>
        <w:pBdr>
          <w:bottom w:val="single" w:color="0B1120" w:sz="6" w:space="8"/>
        </w:pBdr>
        <w:spacing w:after="260"/>
      </w:pPr>
      <w:r>
        <w:rPr>
          <w:rFonts w:ascii="Cambria" w:cs="Cambria" w:eastAsia="Cambria" w:hAnsi="Cambria"/>
          <w:b/>
          <w:bCs/>
          <w:color w:val="0B1120"/>
          <w:sz w:val="40"/>
          <w:szCs w:val="40"/>
        </w:rPr>
        <w:t xml:space="preserve">Treasury Principles</w:t>
      </w:r>
    </w:p>
    <w:p>
      <w:pPr>
        <w:spacing w:after="200" w:line="300"/>
        <w:jc w:val="both"/>
      </w:pPr>
      <w:r>
        <w:rPr>
          <w:rFonts w:ascii="Calibri" w:cs="Calibri" w:eastAsia="Calibri" w:hAnsi="Calibri"/>
          <w:b w:val="false"/>
          <w:bCs w:val="false"/>
          <w:i/>
          <w:iCs/>
          <w:color w:val="555555"/>
          <w:sz w:val="22"/>
          <w:szCs w:val="22"/>
        </w:rPr>
        <w:t xml:space="preserve">This section outlines the principles that will govern how CeloHT manages funds it receives from grants, donations, or investment.</w:t>
      </w:r>
    </w:p>
    <w:p>
      <w:pPr>
        <w:spacing w:after="200" w:line="300"/>
        <w:jc w:val="both"/>
      </w:pPr>
      <w:r>
        <w:rPr>
          <w:rFonts w:ascii="Calibri" w:cs="Calibri" w:eastAsia="Calibri" w:hAnsi="Calibri"/>
          <w:b w:val="false"/>
          <w:bCs w:val="false"/>
          <w:i w:val="false"/>
          <w:iCs w:val="false"/>
          <w:color w:val="1A1A1A"/>
          <w:sz w:val="22"/>
          <w:szCs w:val="22"/>
        </w:rPr>
        <w:t xml:space="preserve">CeloHT has not yet operated at a scale requiring a complex treasury function, and this chapter is written accordingly: as a statement of principles that will govern fund management as the organization receives external capital, rather than a report on treasury operations that do not yet exist at meaningful scale.</w:t>
      </w:r>
    </w:p>
    <w:p>
      <w:pPr>
        <w:pStyle w:val="Heading2"/>
        <w:spacing w:after="140" w:before="260"/>
      </w:pPr>
      <w:r>
        <w:rPr>
          <w:rFonts w:ascii="Cambria" w:cs="Cambria" w:eastAsia="Cambria" w:hAnsi="Cambria"/>
          <w:b/>
          <w:bCs/>
          <w:color w:val="0B1120"/>
          <w:sz w:val="26"/>
          <w:szCs w:val="26"/>
        </w:rPr>
        <w:t xml:space="preserve">Principle 1: Segregation of Purpose</w:t>
      </w:r>
    </w:p>
    <w:p>
      <w:pPr>
        <w:spacing w:after="200" w:line="300"/>
        <w:jc w:val="both"/>
      </w:pPr>
      <w:r>
        <w:rPr>
          <w:rFonts w:ascii="Calibri" w:cs="Calibri" w:eastAsia="Calibri" w:hAnsi="Calibri"/>
          <w:b w:val="false"/>
          <w:bCs w:val="false"/>
          <w:i w:val="false"/>
          <w:iCs w:val="false"/>
          <w:color w:val="1A1A1A"/>
          <w:sz w:val="22"/>
          <w:szCs w:val="22"/>
        </w:rPr>
        <w:t xml:space="preserve">Funds designated for a specific purpose, a grant earmarked for the documentation hub, for instance, will be tracked separately from general operating funds, so that use can be verified against the purpose for which the funds were provided.</w:t>
      </w:r>
    </w:p>
    <w:p>
      <w:pPr>
        <w:pStyle w:val="Heading2"/>
        <w:spacing w:after="140" w:before="260"/>
      </w:pPr>
      <w:r>
        <w:rPr>
          <w:rFonts w:ascii="Cambria" w:cs="Cambria" w:eastAsia="Cambria" w:hAnsi="Cambria"/>
          <w:b/>
          <w:bCs/>
          <w:color w:val="0B1120"/>
          <w:sz w:val="26"/>
          <w:szCs w:val="26"/>
        </w:rPr>
        <w:t xml:space="preserve">Principle 2: Public Reporting Cadence</w:t>
      </w:r>
    </w:p>
    <w:p>
      <w:pPr>
        <w:spacing w:after="200" w:line="300"/>
        <w:jc w:val="both"/>
      </w:pPr>
      <w:r>
        <w:rPr>
          <w:rFonts w:ascii="Calibri" w:cs="Calibri" w:eastAsia="Calibri" w:hAnsi="Calibri"/>
          <w:b w:val="false"/>
          <w:bCs w:val="false"/>
          <w:i w:val="false"/>
          <w:iCs w:val="false"/>
          <w:color w:val="1A1A1A"/>
          <w:sz w:val="22"/>
          <w:szCs w:val="22"/>
        </w:rPr>
        <w:t xml:space="preserve">CeloHT commits to establishing a regular public reporting cadence for treasury activity as external funding is received, rather than reporting only when requested by a specific funder.</w:t>
      </w:r>
    </w:p>
    <w:p>
      <w:pPr>
        <w:pStyle w:val="Heading2"/>
        <w:spacing w:after="140" w:before="260"/>
      </w:pPr>
      <w:r>
        <w:rPr>
          <w:rFonts w:ascii="Cambria" w:cs="Cambria" w:eastAsia="Cambria" w:hAnsi="Cambria"/>
          <w:b/>
          <w:bCs/>
          <w:color w:val="0B1120"/>
          <w:sz w:val="26"/>
          <w:szCs w:val="26"/>
        </w:rPr>
        <w:t xml:space="preserve">Principle 3: Conservative Reserve Practice</w:t>
      </w:r>
    </w:p>
    <w:p>
      <w:pPr>
        <w:spacing w:after="200" w:line="300"/>
        <w:jc w:val="both"/>
      </w:pPr>
      <w:r>
        <w:rPr>
          <w:rFonts w:ascii="Calibri" w:cs="Calibri" w:eastAsia="Calibri" w:hAnsi="Calibri"/>
          <w:b w:val="false"/>
          <w:bCs w:val="false"/>
          <w:i w:val="false"/>
          <w:iCs w:val="false"/>
          <w:color w:val="1A1A1A"/>
          <w:sz w:val="22"/>
          <w:szCs w:val="22"/>
        </w:rPr>
        <w:t xml:space="preserve">Where feasible, CeloHT intends to maintain an operating reserve sufficient to sustain core educational and technical commitments through a funding gap, reducing the risk that a delay in one funding source disrupts ongoing community commitments.</w:t>
      </w:r>
    </w:p>
    <w:p>
      <w:pPr>
        <w:sectPr>
          <w:headerReference w:type="default" r:id="rId43"/>
          <w:footerReference w:type="default" r:id="rId44"/>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19</w:t>
      </w:r>
    </w:p>
    <w:p>
      <w:pPr>
        <w:pStyle w:val="Heading1"/>
        <w:pBdr>
          <w:bottom w:val="single" w:color="0B1120" w:sz="6" w:space="8"/>
        </w:pBdr>
        <w:spacing w:after="260"/>
      </w:pPr>
      <w:r>
        <w:rPr>
          <w:rFonts w:ascii="Cambria" w:cs="Cambria" w:eastAsia="Cambria" w:hAnsi="Cambria"/>
          <w:b/>
          <w:bCs/>
          <w:color w:val="0B1120"/>
          <w:sz w:val="40"/>
          <w:szCs w:val="40"/>
        </w:rPr>
        <w:t xml:space="preserve">Risk Management</w:t>
      </w:r>
    </w:p>
    <w:p>
      <w:pPr>
        <w:spacing w:after="200" w:line="300"/>
        <w:jc w:val="both"/>
      </w:pPr>
      <w:r>
        <w:rPr>
          <w:rFonts w:ascii="Calibri" w:cs="Calibri" w:eastAsia="Calibri" w:hAnsi="Calibri"/>
          <w:b w:val="false"/>
          <w:bCs w:val="false"/>
          <w:i/>
          <w:iCs/>
          <w:color w:val="555555"/>
          <w:sz w:val="22"/>
          <w:szCs w:val="22"/>
        </w:rPr>
        <w:t xml:space="preserve">The discussion here identifies the principal risks facing CeloHT and the mitigations the organization has adopted or intends to adopt.</w:t>
      </w:r>
    </w:p>
    <w:p>
      <w:pPr>
        <w:spacing w:after="200" w:line="300"/>
        <w:jc w:val="both"/>
      </w:pPr>
      <w:r>
        <w:rPr>
          <w:rFonts w:ascii="Calibri" w:cs="Calibri" w:eastAsia="Calibri" w:hAnsi="Calibri"/>
          <w:b w:val="false"/>
          <w:bCs w:val="false"/>
          <w:i w:val="false"/>
          <w:iCs w:val="false"/>
          <w:color w:val="1A1A1A"/>
          <w:sz w:val="22"/>
          <w:szCs w:val="22"/>
        </w:rPr>
        <w:t xml:space="preserve">An honest account of an early-stage organization must include its risks. CeloHT identifies four categories as most material to its 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50"/>
      </w:tblGrid>
      <w:tr>
        <w:trPr>
          <w:tblHeader/>
        </w:trPr>
        <w:tc>
          <w:tcPr>
            <w:tcW w:type="dxa" w:w="260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Risk Category</w:t>
            </w:r>
          </w:p>
        </w:tc>
        <w:tc>
          <w:tcPr>
            <w:tcW w:type="dxa" w:w="360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Description</w:t>
            </w:r>
          </w:p>
        </w:tc>
        <w:tc>
          <w:tcPr>
            <w:tcW w:type="dxa" w:w="315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Mitigation</w:t>
            </w:r>
          </w:p>
        </w:tc>
      </w:tr>
      <w:tr>
        <w:tc>
          <w:tcPr>
            <w:tcW w:type="dxa" w:w="2600"/>
            <w:shd w:fill="FFFFFF" w:val="clear"/>
            <w:tcMar>
              <w:top w:type="dxa" w:w="90"/>
              <w:left w:type="dxa" w:w="140"/>
              <w:bottom w:type="dxa" w:w="90"/>
              <w:right w:type="dxa" w:w="140"/>
            </w:tcMar>
          </w:tcPr>
          <w:p>
            <w:r>
              <w:rPr>
                <w:rFonts w:ascii="Calibri" w:cs="Calibri" w:eastAsia="Calibri" w:hAnsi="Calibri"/>
                <w:color w:val="1A1A1A"/>
                <w:sz w:val="19"/>
                <w:szCs w:val="19"/>
              </w:rPr>
              <w:t xml:space="preserve">Key-person dependency</w:t>
            </w:r>
          </w:p>
        </w:tc>
        <w:tc>
          <w:tcPr>
            <w:tcW w:type="dxa" w:w="3600"/>
            <w:shd w:fill="FFFFFF" w:val="clear"/>
            <w:tcMar>
              <w:top w:type="dxa" w:w="90"/>
              <w:left w:type="dxa" w:w="140"/>
              <w:bottom w:type="dxa" w:w="90"/>
              <w:right w:type="dxa" w:w="140"/>
            </w:tcMar>
          </w:tcPr>
          <w:p>
            <w:r>
              <w:rPr>
                <w:rFonts w:ascii="Calibri" w:cs="Calibri" w:eastAsia="Calibri" w:hAnsi="Calibri"/>
                <w:color w:val="1A1A1A"/>
                <w:sz w:val="19"/>
                <w:szCs w:val="19"/>
              </w:rPr>
              <w:t xml:space="preserve">Core technical and strategic knowledge currently concentrated in a small founding team</w:t>
            </w:r>
          </w:p>
        </w:tc>
        <w:tc>
          <w:tcPr>
            <w:tcW w:type="dxa" w:w="3150"/>
            <w:shd w:fill="FFFFFF" w:val="clear"/>
            <w:tcMar>
              <w:top w:type="dxa" w:w="90"/>
              <w:left w:type="dxa" w:w="140"/>
              <w:bottom w:type="dxa" w:w="90"/>
              <w:right w:type="dxa" w:w="140"/>
            </w:tcMar>
          </w:tcPr>
          <w:p>
            <w:r>
              <w:rPr>
                <w:rFonts w:ascii="Calibri" w:cs="Calibri" w:eastAsia="Calibri" w:hAnsi="Calibri"/>
                <w:color w:val="1A1A1A"/>
                <w:sz w:val="19"/>
                <w:szCs w:val="19"/>
              </w:rPr>
              <w:t xml:space="preserve">Open-source publication of all code and documentation; active cultivation of core contributors</w:t>
            </w:r>
          </w:p>
        </w:tc>
      </w:tr>
      <w:tr>
        <w:tc>
          <w:tcPr>
            <w:tcW w:type="dxa" w:w="2600"/>
            <w:shd w:fill="F5F6F8" w:val="clear"/>
            <w:tcMar>
              <w:top w:type="dxa" w:w="90"/>
              <w:left w:type="dxa" w:w="140"/>
              <w:bottom w:type="dxa" w:w="90"/>
              <w:right w:type="dxa" w:w="140"/>
            </w:tcMar>
          </w:tcPr>
          <w:p>
            <w:r>
              <w:rPr>
                <w:rFonts w:ascii="Calibri" w:cs="Calibri" w:eastAsia="Calibri" w:hAnsi="Calibri"/>
                <w:color w:val="1A1A1A"/>
                <w:sz w:val="19"/>
                <w:szCs w:val="19"/>
              </w:rPr>
              <w:t xml:space="preserve">Connectivity and infrastructure</w:t>
            </w:r>
          </w:p>
        </w:tc>
        <w:tc>
          <w:tcPr>
            <w:tcW w:type="dxa" w:w="3600"/>
            <w:shd w:fill="F5F6F8" w:val="clear"/>
            <w:tcMar>
              <w:top w:type="dxa" w:w="90"/>
              <w:left w:type="dxa" w:w="140"/>
              <w:bottom w:type="dxa" w:w="90"/>
              <w:right w:type="dxa" w:w="140"/>
            </w:tcMar>
          </w:tcPr>
          <w:p>
            <w:r>
              <w:rPr>
                <w:rFonts w:ascii="Calibri" w:cs="Calibri" w:eastAsia="Calibri" w:hAnsi="Calibri"/>
                <w:color w:val="1A1A1A"/>
                <w:sz w:val="19"/>
                <w:szCs w:val="19"/>
              </w:rPr>
              <w:t xml:space="preserve">Intermittent internet and power access affecting users and contributors in Haiti</w:t>
            </w:r>
          </w:p>
        </w:tc>
        <w:tc>
          <w:tcPr>
            <w:tcW w:type="dxa" w:w="3150"/>
            <w:shd w:fill="F5F6F8" w:val="clear"/>
            <w:tcMar>
              <w:top w:type="dxa" w:w="90"/>
              <w:left w:type="dxa" w:w="140"/>
              <w:bottom w:type="dxa" w:w="90"/>
              <w:right w:type="dxa" w:w="140"/>
            </w:tcMar>
          </w:tcPr>
          <w:p>
            <w:r>
              <w:rPr>
                <w:rFonts w:ascii="Calibri" w:cs="Calibri" w:eastAsia="Calibri" w:hAnsi="Calibri"/>
                <w:color w:val="1A1A1A"/>
                <w:sz w:val="19"/>
                <w:szCs w:val="19"/>
              </w:rPr>
              <w:t xml:space="preserve">Materials designed for offline use; lightweight, low-bandwidth technical choices</w:t>
            </w:r>
          </w:p>
        </w:tc>
      </w:tr>
      <w:tr>
        <w:tc>
          <w:tcPr>
            <w:tcW w:type="dxa" w:w="2600"/>
            <w:shd w:fill="FFFFFF" w:val="clear"/>
            <w:tcMar>
              <w:top w:type="dxa" w:w="90"/>
              <w:left w:type="dxa" w:w="140"/>
              <w:bottom w:type="dxa" w:w="90"/>
              <w:right w:type="dxa" w:w="140"/>
            </w:tcMar>
          </w:tcPr>
          <w:p>
            <w:r>
              <w:rPr>
                <w:rFonts w:ascii="Calibri" w:cs="Calibri" w:eastAsia="Calibri" w:hAnsi="Calibri"/>
                <w:color w:val="1A1A1A"/>
                <w:sz w:val="19"/>
                <w:szCs w:val="19"/>
              </w:rPr>
              <w:t xml:space="preserve">Regulatory uncertainty</w:t>
            </w:r>
          </w:p>
        </w:tc>
        <w:tc>
          <w:tcPr>
            <w:tcW w:type="dxa" w:w="3600"/>
            <w:shd w:fill="FFFFFF" w:val="clear"/>
            <w:tcMar>
              <w:top w:type="dxa" w:w="90"/>
              <w:left w:type="dxa" w:w="140"/>
              <w:bottom w:type="dxa" w:w="90"/>
              <w:right w:type="dxa" w:w="140"/>
            </w:tcMar>
          </w:tcPr>
          <w:p>
            <w:r>
              <w:rPr>
                <w:rFonts w:ascii="Calibri" w:cs="Calibri" w:eastAsia="Calibri" w:hAnsi="Calibri"/>
                <w:color w:val="1A1A1A"/>
                <w:sz w:val="19"/>
                <w:szCs w:val="19"/>
              </w:rPr>
              <w:t xml:space="preserve">Evolving regulatory treatment of digital-asset activity in Haiti and the region</w:t>
            </w:r>
          </w:p>
        </w:tc>
        <w:tc>
          <w:tcPr>
            <w:tcW w:type="dxa" w:w="3150"/>
            <w:shd w:fill="FFFFFF" w:val="clear"/>
            <w:tcMar>
              <w:top w:type="dxa" w:w="90"/>
              <w:left w:type="dxa" w:w="140"/>
              <w:bottom w:type="dxa" w:w="90"/>
              <w:right w:type="dxa" w:w="140"/>
            </w:tcMar>
          </w:tcPr>
          <w:p>
            <w:r>
              <w:rPr>
                <w:rFonts w:ascii="Calibri" w:cs="Calibri" w:eastAsia="Calibri" w:hAnsi="Calibri"/>
                <w:color w:val="1A1A1A"/>
                <w:sz w:val="19"/>
                <w:szCs w:val="19"/>
              </w:rPr>
              <w:t xml:space="preserve">Use of existing regulated instruments (USDm, Valora) rather than issuing new financial products; ongoing compliance monitoring</w:t>
            </w:r>
          </w:p>
        </w:tc>
      </w:tr>
      <w:tr>
        <w:tc>
          <w:tcPr>
            <w:tcW w:type="dxa" w:w="2600"/>
            <w:shd w:fill="F5F6F8" w:val="clear"/>
            <w:tcMar>
              <w:top w:type="dxa" w:w="90"/>
              <w:left w:type="dxa" w:w="140"/>
              <w:bottom w:type="dxa" w:w="90"/>
              <w:right w:type="dxa" w:w="140"/>
            </w:tcMar>
          </w:tcPr>
          <w:p>
            <w:r>
              <w:rPr>
                <w:rFonts w:ascii="Calibri" w:cs="Calibri" w:eastAsia="Calibri" w:hAnsi="Calibri"/>
                <w:color w:val="1A1A1A"/>
                <w:sz w:val="19"/>
                <w:szCs w:val="19"/>
              </w:rPr>
              <w:t xml:space="preserve">Funding continuity</w:t>
            </w:r>
          </w:p>
        </w:tc>
        <w:tc>
          <w:tcPr>
            <w:tcW w:type="dxa" w:w="3600"/>
            <w:shd w:fill="F5F6F8" w:val="clear"/>
            <w:tcMar>
              <w:top w:type="dxa" w:w="90"/>
              <w:left w:type="dxa" w:w="140"/>
              <w:bottom w:type="dxa" w:w="90"/>
              <w:right w:type="dxa" w:w="140"/>
            </w:tcMar>
          </w:tcPr>
          <w:p>
            <w:r>
              <w:rPr>
                <w:rFonts w:ascii="Calibri" w:cs="Calibri" w:eastAsia="Calibri" w:hAnsi="Calibri"/>
                <w:color w:val="1A1A1A"/>
                <w:sz w:val="19"/>
                <w:szCs w:val="19"/>
              </w:rPr>
              <w:t xml:space="preserve">Reliance on grants and early revenue rather than diversified, recurring funding</w:t>
            </w:r>
          </w:p>
        </w:tc>
        <w:tc>
          <w:tcPr>
            <w:tcW w:type="dxa" w:w="3150"/>
            <w:shd w:fill="F5F6F8" w:val="clear"/>
            <w:tcMar>
              <w:top w:type="dxa" w:w="90"/>
              <w:left w:type="dxa" w:w="140"/>
              <w:bottom w:type="dxa" w:w="90"/>
              <w:right w:type="dxa" w:w="140"/>
            </w:tcMar>
          </w:tcPr>
          <w:p>
            <w:r>
              <w:rPr>
                <w:rFonts w:ascii="Calibri" w:cs="Calibri" w:eastAsia="Calibri" w:hAnsi="Calibri"/>
                <w:color w:val="1A1A1A"/>
                <w:sz w:val="19"/>
                <w:szCs w:val="19"/>
              </w:rPr>
              <w:t xml:space="preserve">Treasury reserve principles; FreClean revenue as a diversification input</w:t>
            </w:r>
          </w:p>
        </w:tc>
      </w:tr>
    </w:tbl>
    <w:p>
      <w:pPr>
        <w:spacing w:after="200"/>
      </w:pPr>
    </w:p>
    <w:p>
      <w:pPr>
        <w:spacing w:after="200" w:line="300"/>
        <w:jc w:val="both"/>
      </w:pPr>
      <w:r>
        <w:rPr>
          <w:rFonts w:ascii="Calibri" w:cs="Calibri" w:eastAsia="Calibri" w:hAnsi="Calibri"/>
          <w:b w:val="false"/>
          <w:bCs w:val="false"/>
          <w:i w:val="false"/>
          <w:iCs w:val="false"/>
          <w:color w:val="1A1A1A"/>
          <w:sz w:val="22"/>
          <w:szCs w:val="22"/>
        </w:rPr>
        <w:t xml:space="preserve">Naming these risks explicitly is intended to give investors and grant reviewers a realistic basis for evaluation, consistent with CeloHT's stated preference for precision over promotion.</w:t>
      </w:r>
    </w:p>
    <w:p>
      <w:pPr>
        <w:sectPr>
          <w:headerReference w:type="default" r:id="rId45"/>
          <w:footerReference w:type="default" r:id="rId46"/>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20</w:t>
      </w:r>
    </w:p>
    <w:p>
      <w:pPr>
        <w:pStyle w:val="Heading1"/>
        <w:pBdr>
          <w:bottom w:val="single" w:color="0B1120" w:sz="6" w:space="8"/>
        </w:pBdr>
        <w:spacing w:after="260"/>
      </w:pPr>
      <w:r>
        <w:rPr>
          <w:rFonts w:ascii="Cambria" w:cs="Cambria" w:eastAsia="Cambria" w:hAnsi="Cambria"/>
          <w:b/>
          <w:bCs/>
          <w:color w:val="0B1120"/>
          <w:sz w:val="40"/>
          <w:szCs w:val="40"/>
        </w:rPr>
        <w:t xml:space="preserve">Security Philosophy</w:t>
      </w:r>
    </w:p>
    <w:p>
      <w:pPr>
        <w:spacing w:after="200" w:line="300"/>
        <w:jc w:val="both"/>
      </w:pPr>
      <w:r>
        <w:rPr>
          <w:rFonts w:ascii="Calibri" w:cs="Calibri" w:eastAsia="Calibri" w:hAnsi="Calibri"/>
          <w:b w:val="false"/>
          <w:bCs w:val="false"/>
          <w:i/>
          <w:iCs/>
          <w:color w:val="555555"/>
          <w:sz w:val="22"/>
          <w:szCs w:val="22"/>
        </w:rPr>
        <w:t xml:space="preserve">This chapter describes CeloHT's approach to technical and user security across its smart contracts, wallet guidance, and educational materials.</w:t>
      </w:r>
    </w:p>
    <w:p>
      <w:pPr>
        <w:spacing w:after="200" w:line="300"/>
        <w:jc w:val="both"/>
      </w:pPr>
      <w:r>
        <w:rPr>
          <w:rFonts w:ascii="Calibri" w:cs="Calibri" w:eastAsia="Calibri" w:hAnsi="Calibri"/>
          <w:b w:val="false"/>
          <w:bCs w:val="false"/>
          <w:i w:val="false"/>
          <w:iCs w:val="false"/>
          <w:color w:val="1A1A1A"/>
          <w:sz w:val="22"/>
          <w:szCs w:val="22"/>
        </w:rPr>
        <w:t xml:space="preserve">Security in CeloHT's context spans two distinct domains that are often conflated in Web3 discourse: the security of the smart-contract code itself, and the security practices of the individual users who interact with wallets and digital assets, frequently for the first time. CeloHT treats both as first-order concerns.</w:t>
      </w:r>
    </w:p>
    <w:p>
      <w:pPr>
        <w:pStyle w:val="Heading2"/>
        <w:spacing w:after="140" w:before="260"/>
      </w:pPr>
      <w:r>
        <w:rPr>
          <w:rFonts w:ascii="Cambria" w:cs="Cambria" w:eastAsia="Cambria" w:hAnsi="Cambria"/>
          <w:b/>
          <w:bCs/>
          <w:color w:val="0B1120"/>
          <w:sz w:val="26"/>
          <w:szCs w:val="26"/>
        </w:rPr>
        <w:t xml:space="preserve">Smart Contract Security</w:t>
      </w:r>
    </w:p>
    <w:p>
      <w:pPr>
        <w:spacing w:after="200" w:line="300"/>
        <w:jc w:val="both"/>
      </w:pPr>
      <w:r>
        <w:rPr>
          <w:rFonts w:ascii="Calibri" w:cs="Calibri" w:eastAsia="Calibri" w:hAnsi="Calibri"/>
          <w:b w:val="false"/>
          <w:bCs w:val="false"/>
          <w:i w:val="false"/>
          <w:iCs w:val="false"/>
          <w:color w:val="1A1A1A"/>
          <w:sz w:val="22"/>
          <w:szCs w:val="22"/>
        </w:rPr>
        <w:t xml:space="preserve">Smart contracts within CeloHT's dApp monorepo are developed using the Hardhat framework, which provides a structured testing environment prior to any deployment. CeloHT's stated intention is that any contract handling user funds undergo external review before mainnet deployment, consistent with practices recommended by organizations such as OpenZeppelin, whose standards CeloHT treats as a benchmark for its own smart-contract work.</w:t>
      </w:r>
    </w:p>
    <w:p>
      <w:pPr>
        <w:pStyle w:val="Heading2"/>
        <w:spacing w:after="140" w:before="260"/>
      </w:pPr>
      <w:r>
        <w:rPr>
          <w:rFonts w:ascii="Cambria" w:cs="Cambria" w:eastAsia="Cambria" w:hAnsi="Cambria"/>
          <w:b/>
          <w:bCs/>
          <w:color w:val="0B1120"/>
          <w:sz w:val="26"/>
          <w:szCs w:val="26"/>
        </w:rPr>
        <w:t xml:space="preserve">User-Level Security Education</w:t>
      </w:r>
    </w:p>
    <w:p>
      <w:pPr>
        <w:spacing w:after="200" w:line="300"/>
        <w:jc w:val="both"/>
      </w:pPr>
      <w:r>
        <w:rPr>
          <w:rFonts w:ascii="Calibri" w:cs="Calibri" w:eastAsia="Calibri" w:hAnsi="Calibri"/>
          <w:b w:val="false"/>
          <w:bCs w:val="false"/>
          <w:i w:val="false"/>
          <w:iCs w:val="false"/>
          <w:color w:val="1A1A1A"/>
          <w:sz w:val="22"/>
          <w:szCs w:val="22"/>
        </w:rPr>
        <w:t xml:space="preserve">Because CeloHT's users are frequently interacting with a self-custodial wallet for the first time, user education places particular emphasis on private-key management, recognition of common scam patterns, and the irreversible nature of blockchain transactions: concepts that are unfamiliar to someone accustomed only to traditional banking, where a bank can reverse a fraudulent transaction in ways a blockchain network cannot.</w:t>
      </w:r>
    </w:p>
    <w:p>
      <w:pPr>
        <w:pBdr>
          <w:left w:val="single" w:color="F5C842" w:sz="24" w:space="12"/>
        </w:pBdr>
        <w:spacing w:after="240" w:before="240"/>
        <w:ind w:left="500" w:right="500"/>
      </w:pPr>
      <w:r>
        <w:rPr>
          <w:rFonts w:ascii="Cambria" w:cs="Cambria" w:eastAsia="Cambria" w:hAnsi="Cambria"/>
          <w:i/>
          <w:iCs/>
          <w:color w:val="0B1120"/>
          <w:sz w:val="24"/>
          <w:szCs w:val="24"/>
        </w:rPr>
        <w:t xml:space="preserve">"A secure smart contract protects the protocol. A well-educated user protects themselves. CeloHT treats both as necessary, and neither as sufficient on its own."</w:t>
      </w:r>
    </w:p>
    <w:p>
      <w:pPr>
        <w:sectPr>
          <w:headerReference w:type="default" r:id="rId47"/>
          <w:footerReference w:type="default" r:id="rId48"/>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21</w:t>
      </w:r>
    </w:p>
    <w:p>
      <w:pPr>
        <w:pStyle w:val="Heading1"/>
        <w:pBdr>
          <w:bottom w:val="single" w:color="0B1120" w:sz="6" w:space="8"/>
        </w:pBdr>
        <w:spacing w:after="260"/>
      </w:pPr>
      <w:r>
        <w:rPr>
          <w:rFonts w:ascii="Cambria" w:cs="Cambria" w:eastAsia="Cambria" w:hAnsi="Cambria"/>
          <w:b/>
          <w:bCs/>
          <w:color w:val="0B1120"/>
          <w:sz w:val="40"/>
          <w:szCs w:val="40"/>
        </w:rPr>
        <w:t xml:space="preserve">Technical Architecture</w:t>
      </w:r>
    </w:p>
    <w:p>
      <w:pPr>
        <w:spacing w:after="200" w:line="300"/>
        <w:jc w:val="both"/>
      </w:pPr>
      <w:r>
        <w:rPr>
          <w:rFonts w:ascii="Calibri" w:cs="Calibri" w:eastAsia="Calibri" w:hAnsi="Calibri"/>
          <w:b w:val="false"/>
          <w:bCs w:val="false"/>
          <w:i/>
          <w:iCs/>
          <w:color w:val="555555"/>
          <w:sz w:val="22"/>
          <w:szCs w:val="22"/>
        </w:rPr>
        <w:t xml:space="preserve">This section describes the overall technical structure of the CeloHT ecosystem across its eight public repositories.</w:t>
      </w:r>
    </w:p>
    <w:p>
      <w:pPr>
        <w:spacing w:after="200" w:line="300"/>
        <w:jc w:val="both"/>
      </w:pPr>
      <w:r>
        <w:rPr>
          <w:rFonts w:ascii="Calibri" w:cs="Calibri" w:eastAsia="Calibri" w:hAnsi="Calibri"/>
          <w:b w:val="false"/>
          <w:bCs w:val="false"/>
          <w:i w:val="false"/>
          <w:iCs w:val="false"/>
          <w:color w:val="1A1A1A"/>
          <w:sz w:val="22"/>
          <w:szCs w:val="22"/>
        </w:rPr>
        <w:t xml:space="preserve">CeloHT's technical architecture is organized as a set of interoperating but independently maintained repositories, a structure chosen so that each component, whether website, documentation, governance, or smart contracts, can evolve on its own release schedule without one component's changes forcing changes in another. All eight repositories are hosted publicly under the Celo-HaiTi GitHub organization.</w:t>
      </w:r>
    </w:p>
    <w:p>
      <w:pPr>
        <w:spacing w:after="80" w:before="120"/>
        <w:jc w:val="center"/>
      </w:pPr>
      <w:r>
        <w:drawing>
          <wp:inline distT="0" distB="0" distL="0" distR="0">
            <wp:extent cx="5334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334000" cy="34766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21.1: CeloHT repository architecture: eight public repositories under the Celo-HaiTi GitHub organization and their relationship to the core governance repository.</w:t>
      </w:r>
    </w:p>
    <w:p>
      <w:pPr>
        <w:pStyle w:val="Heading2"/>
        <w:spacing w:after="140" w:before="260"/>
      </w:pPr>
      <w:r>
        <w:rPr>
          <w:rFonts w:ascii="Cambria" w:cs="Cambria" w:eastAsia="Cambria" w:hAnsi="Cambria"/>
          <w:b/>
          <w:bCs/>
          <w:color w:val="0B1120"/>
          <w:sz w:val="26"/>
          <w:szCs w:val="26"/>
        </w:rPr>
        <w:t xml:space="preserve">Repository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50"/>
      </w:tblGrid>
      <w:tr>
        <w:trPr>
          <w:tblHeader/>
        </w:trPr>
        <w:tc>
          <w:tcPr>
            <w:tcW w:type="dxa" w:w="260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Repository</w:t>
            </w:r>
          </w:p>
        </w:tc>
        <w:tc>
          <w:tcPr>
            <w:tcW w:type="dxa" w:w="380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Purpose</w:t>
            </w:r>
          </w:p>
        </w:tc>
        <w:tc>
          <w:tcPr>
            <w:tcW w:type="dxa" w:w="295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Primary Technology</w:t>
            </w:r>
          </w:p>
        </w:tc>
      </w:tr>
      <w:tr>
        <w:tc>
          <w:tcPr>
            <w:tcW w:type="dxa" w:w="2600"/>
            <w:shd w:fill="FFFFFF" w:val="clear"/>
            <w:tcMar>
              <w:top w:type="dxa" w:w="90"/>
              <w:left w:type="dxa" w:w="140"/>
              <w:bottom w:type="dxa" w:w="90"/>
              <w:right w:type="dxa" w:w="140"/>
            </w:tcMar>
          </w:tcPr>
          <w:p>
            <w:r>
              <w:rPr>
                <w:rFonts w:ascii="Calibri" w:cs="Calibri" w:eastAsia="Calibri" w:hAnsi="Calibri"/>
                <w:color w:val="1A1A1A"/>
                <w:sz w:val="19"/>
                <w:szCs w:val="19"/>
              </w:rPr>
              <w:t xml:space="preserve">CeloHT</w:t>
            </w:r>
          </w:p>
        </w:tc>
        <w:tc>
          <w:tcPr>
            <w:tcW w:type="dxa" w:w="3800"/>
            <w:shd w:fill="FFFFFF" w:val="clear"/>
            <w:tcMar>
              <w:top w:type="dxa" w:w="90"/>
              <w:left w:type="dxa" w:w="140"/>
              <w:bottom w:type="dxa" w:w="90"/>
              <w:right w:type="dxa" w:w="140"/>
            </w:tcMar>
          </w:tcPr>
          <w:p>
            <w:r>
              <w:rPr>
                <w:rFonts w:ascii="Calibri" w:cs="Calibri" w:eastAsia="Calibri" w:hAnsi="Calibri"/>
                <w:color w:val="1A1A1A"/>
                <w:sz w:val="19"/>
                <w:szCs w:val="19"/>
              </w:rPr>
              <w:t xml:space="preserve">Core governance, legal, financial, and program documentation (60+ policy and reference files)</w:t>
            </w:r>
          </w:p>
        </w:tc>
        <w:tc>
          <w:tcPr>
            <w:tcW w:type="dxa" w:w="2950"/>
            <w:shd w:fill="FFFFFF" w:val="clear"/>
            <w:tcMar>
              <w:top w:type="dxa" w:w="90"/>
              <w:left w:type="dxa" w:w="140"/>
              <w:bottom w:type="dxa" w:w="90"/>
              <w:right w:type="dxa" w:w="140"/>
            </w:tcMar>
          </w:tcPr>
          <w:p>
            <w:r>
              <w:rPr>
                <w:rFonts w:ascii="Calibri" w:cs="Calibri" w:eastAsia="Calibri" w:hAnsi="Calibri"/>
                <w:color w:val="1A1A1A"/>
                <w:sz w:val="19"/>
                <w:szCs w:val="19"/>
              </w:rPr>
              <w:t xml:space="preserve">Markdown documentation</w:t>
            </w:r>
          </w:p>
        </w:tc>
      </w:tr>
      <w:tr>
        <w:tc>
          <w:tcPr>
            <w:tcW w:type="dxa" w:w="2600"/>
            <w:shd w:fill="F5F6F8" w:val="clear"/>
            <w:tcMar>
              <w:top w:type="dxa" w:w="90"/>
              <w:left w:type="dxa" w:w="140"/>
              <w:bottom w:type="dxa" w:w="90"/>
              <w:right w:type="dxa" w:w="140"/>
            </w:tcMar>
          </w:tcPr>
          <w:p>
            <w:r>
              <w:rPr>
                <w:rFonts w:ascii="Calibri" w:cs="Calibri" w:eastAsia="Calibri" w:hAnsi="Calibri"/>
                <w:color w:val="1A1A1A"/>
                <w:sz w:val="19"/>
                <w:szCs w:val="19"/>
              </w:rPr>
              <w:t xml:space="preserve">celoht-docs</w:t>
            </w:r>
          </w:p>
        </w:tc>
        <w:tc>
          <w:tcPr>
            <w:tcW w:type="dxa" w:w="3800"/>
            <w:shd w:fill="F5F6F8" w:val="clear"/>
            <w:tcMar>
              <w:top w:type="dxa" w:w="90"/>
              <w:left w:type="dxa" w:w="140"/>
              <w:bottom w:type="dxa" w:w="90"/>
              <w:right w:type="dxa" w:w="140"/>
            </w:tcMar>
          </w:tcPr>
          <w:p>
            <w:r>
              <w:rPr>
                <w:rFonts w:ascii="Calibri" w:cs="Calibri" w:eastAsia="Calibri" w:hAnsi="Calibri"/>
                <w:color w:val="1A1A1A"/>
                <w:sz w:val="19"/>
                <w:szCs w:val="19"/>
              </w:rPr>
              <w:t xml:space="preserve">Official documentation hub: architecture, APIs, developer guides, whitepaper, RFCs, standards</w:t>
            </w:r>
          </w:p>
        </w:tc>
        <w:tc>
          <w:tcPr>
            <w:tcW w:type="dxa" w:w="2950"/>
            <w:shd w:fill="F5F6F8" w:val="clear"/>
            <w:tcMar>
              <w:top w:type="dxa" w:w="90"/>
              <w:left w:type="dxa" w:w="140"/>
              <w:bottom w:type="dxa" w:w="90"/>
              <w:right w:type="dxa" w:w="140"/>
            </w:tcMar>
          </w:tcPr>
          <w:p>
            <w:r>
              <w:rPr>
                <w:rFonts w:ascii="Calibri" w:cs="Calibri" w:eastAsia="Calibri" w:hAnsi="Calibri"/>
                <w:color w:val="1A1A1A"/>
                <w:sz w:val="19"/>
                <w:szCs w:val="19"/>
              </w:rPr>
              <w:t xml:space="preserve">Markdown / Shell tooling</w:t>
            </w:r>
          </w:p>
        </w:tc>
      </w:tr>
      <w:tr>
        <w:tc>
          <w:tcPr>
            <w:tcW w:type="dxa" w:w="2600"/>
            <w:shd w:fill="FFFFFF" w:val="clear"/>
            <w:tcMar>
              <w:top w:type="dxa" w:w="90"/>
              <w:left w:type="dxa" w:w="140"/>
              <w:bottom w:type="dxa" w:w="90"/>
              <w:right w:type="dxa" w:w="140"/>
            </w:tcMar>
          </w:tcPr>
          <w:p>
            <w:r>
              <w:rPr>
                <w:rFonts w:ascii="Calibri" w:cs="Calibri" w:eastAsia="Calibri" w:hAnsi="Calibri"/>
                <w:color w:val="1A1A1A"/>
                <w:sz w:val="19"/>
                <w:szCs w:val="19"/>
              </w:rPr>
              <w:t xml:space="preserve">celoht-research</w:t>
            </w:r>
          </w:p>
        </w:tc>
        <w:tc>
          <w:tcPr>
            <w:tcW w:type="dxa" w:w="3800"/>
            <w:shd w:fill="FFFFFF" w:val="clear"/>
            <w:tcMar>
              <w:top w:type="dxa" w:w="90"/>
              <w:left w:type="dxa" w:w="140"/>
              <w:bottom w:type="dxa" w:w="90"/>
              <w:right w:type="dxa" w:w="140"/>
            </w:tcMar>
          </w:tcPr>
          <w:p>
            <w:r>
              <w:rPr>
                <w:rFonts w:ascii="Calibri" w:cs="Calibri" w:eastAsia="Calibri" w:hAnsi="Calibri"/>
                <w:color w:val="1A1A1A"/>
                <w:sz w:val="19"/>
                <w:szCs w:val="19"/>
              </w:rPr>
              <w:t xml:space="preserve">Open, peer-reviewed research on CeloHT's own programs and RFCs</w:t>
            </w:r>
          </w:p>
        </w:tc>
        <w:tc>
          <w:tcPr>
            <w:tcW w:type="dxa" w:w="2950"/>
            <w:shd w:fill="FFFFFF" w:val="clear"/>
            <w:tcMar>
              <w:top w:type="dxa" w:w="90"/>
              <w:left w:type="dxa" w:w="140"/>
              <w:bottom w:type="dxa" w:w="90"/>
              <w:right w:type="dxa" w:w="140"/>
            </w:tcMar>
          </w:tcPr>
          <w:p>
            <w:r>
              <w:rPr>
                <w:rFonts w:ascii="Calibri" w:cs="Calibri" w:eastAsia="Calibri" w:hAnsi="Calibri"/>
                <w:color w:val="1A1A1A"/>
                <w:sz w:val="19"/>
                <w:szCs w:val="19"/>
              </w:rPr>
              <w:t xml:space="preserve">Markdown documentation</w:t>
            </w:r>
          </w:p>
        </w:tc>
      </w:tr>
      <w:tr>
        <w:tc>
          <w:tcPr>
            <w:tcW w:type="dxa" w:w="2600"/>
            <w:shd w:fill="F5F6F8" w:val="clear"/>
            <w:tcMar>
              <w:top w:type="dxa" w:w="90"/>
              <w:left w:type="dxa" w:w="140"/>
              <w:bottom w:type="dxa" w:w="90"/>
              <w:right w:type="dxa" w:w="140"/>
            </w:tcMar>
          </w:tcPr>
          <w:p>
            <w:r>
              <w:rPr>
                <w:rFonts w:ascii="Calibri" w:cs="Calibri" w:eastAsia="Calibri" w:hAnsi="Calibri"/>
                <w:color w:val="1A1A1A"/>
                <w:sz w:val="19"/>
                <w:szCs w:val="19"/>
              </w:rPr>
              <w:t xml:space="preserve">celoht-siteweb</w:t>
            </w:r>
          </w:p>
        </w:tc>
        <w:tc>
          <w:tcPr>
            <w:tcW w:type="dxa" w:w="3800"/>
            <w:shd w:fill="F5F6F8" w:val="clear"/>
            <w:tcMar>
              <w:top w:type="dxa" w:w="90"/>
              <w:left w:type="dxa" w:w="140"/>
              <w:bottom w:type="dxa" w:w="90"/>
              <w:right w:type="dxa" w:w="140"/>
            </w:tcMar>
          </w:tcPr>
          <w:p>
            <w:r>
              <w:rPr>
                <w:rFonts w:ascii="Calibri" w:cs="Calibri" w:eastAsia="Calibri" w:hAnsi="Calibri"/>
                <w:color w:val="1A1A1A"/>
                <w:sz w:val="19"/>
                <w:szCs w:val="19"/>
              </w:rPr>
              <w:t xml:space="preserve">Public-facing website in Haitian Creole and English</w:t>
            </w:r>
          </w:p>
        </w:tc>
        <w:tc>
          <w:tcPr>
            <w:tcW w:type="dxa" w:w="2950"/>
            <w:shd w:fill="F5F6F8" w:val="clear"/>
            <w:tcMar>
              <w:top w:type="dxa" w:w="90"/>
              <w:left w:type="dxa" w:w="140"/>
              <w:bottom w:type="dxa" w:w="90"/>
              <w:right w:type="dxa" w:w="140"/>
            </w:tcMar>
          </w:tcPr>
          <w:p>
            <w:r>
              <w:rPr>
                <w:rFonts w:ascii="Calibri" w:cs="Calibri" w:eastAsia="Calibri" w:hAnsi="Calibri"/>
                <w:color w:val="1A1A1A"/>
                <w:sz w:val="19"/>
                <w:szCs w:val="19"/>
              </w:rPr>
              <w:t xml:space="preserve">TypeScript</w:t>
            </w:r>
          </w:p>
        </w:tc>
      </w:tr>
      <w:tr>
        <w:tc>
          <w:tcPr>
            <w:tcW w:type="dxa" w:w="2600"/>
            <w:shd w:fill="FFFFFF" w:val="clear"/>
            <w:tcMar>
              <w:top w:type="dxa" w:w="90"/>
              <w:left w:type="dxa" w:w="140"/>
              <w:bottom w:type="dxa" w:w="90"/>
              <w:right w:type="dxa" w:w="140"/>
            </w:tcMar>
          </w:tcPr>
          <w:p>
            <w:r>
              <w:rPr>
                <w:rFonts w:ascii="Calibri" w:cs="Calibri" w:eastAsia="Calibri" w:hAnsi="Calibri"/>
                <w:color w:val="1A1A1A"/>
                <w:sz w:val="19"/>
                <w:szCs w:val="19"/>
              </w:rPr>
              <w:t xml:space="preserve">celoht-dapp</w:t>
            </w:r>
          </w:p>
        </w:tc>
        <w:tc>
          <w:tcPr>
            <w:tcW w:type="dxa" w:w="3800"/>
            <w:shd w:fill="FFFFFF" w:val="clear"/>
            <w:tcMar>
              <w:top w:type="dxa" w:w="90"/>
              <w:left w:type="dxa" w:w="140"/>
              <w:bottom w:type="dxa" w:w="90"/>
              <w:right w:type="dxa" w:w="140"/>
            </w:tcMar>
          </w:tcPr>
          <w:p>
            <w:r>
              <w:rPr>
                <w:rFonts w:ascii="Calibri" w:cs="Calibri" w:eastAsia="Calibri" w:hAnsi="Calibri"/>
                <w:color w:val="1A1A1A"/>
                <w:sz w:val="19"/>
                <w:szCs w:val="19"/>
              </w:rPr>
              <w:t xml:space="preserve">Decentralized application front end and integration layer</w:t>
            </w:r>
          </w:p>
        </w:tc>
        <w:tc>
          <w:tcPr>
            <w:tcW w:type="dxa" w:w="2950"/>
            <w:shd w:fill="FFFFFF" w:val="clear"/>
            <w:tcMar>
              <w:top w:type="dxa" w:w="90"/>
              <w:left w:type="dxa" w:w="140"/>
              <w:bottom w:type="dxa" w:w="90"/>
              <w:right w:type="dxa" w:w="140"/>
            </w:tcMar>
          </w:tcPr>
          <w:p>
            <w:r>
              <w:rPr>
                <w:rFonts w:ascii="Calibri" w:cs="Calibri" w:eastAsia="Calibri" w:hAnsi="Calibri"/>
                <w:color w:val="1A1A1A"/>
                <w:sz w:val="19"/>
                <w:szCs w:val="19"/>
              </w:rPr>
              <w:t xml:space="preserve">TypeScript</w:t>
            </w:r>
          </w:p>
        </w:tc>
      </w:tr>
      <w:tr>
        <w:tc>
          <w:tcPr>
            <w:tcW w:type="dxa" w:w="2600"/>
            <w:shd w:fill="F5F6F8" w:val="clear"/>
            <w:tcMar>
              <w:top w:type="dxa" w:w="90"/>
              <w:left w:type="dxa" w:w="140"/>
              <w:bottom w:type="dxa" w:w="90"/>
              <w:right w:type="dxa" w:w="140"/>
            </w:tcMar>
          </w:tcPr>
          <w:p>
            <w:r>
              <w:rPr>
                <w:rFonts w:ascii="Calibri" w:cs="Calibri" w:eastAsia="Calibri" w:hAnsi="Calibri"/>
                <w:color w:val="1A1A1A"/>
                <w:sz w:val="19"/>
                <w:szCs w:val="19"/>
              </w:rPr>
              <w:t xml:space="preserve">celoht-smart-contracts</w:t>
            </w:r>
          </w:p>
        </w:tc>
        <w:tc>
          <w:tcPr>
            <w:tcW w:type="dxa" w:w="3800"/>
            <w:shd w:fill="F5F6F8" w:val="clear"/>
            <w:tcMar>
              <w:top w:type="dxa" w:w="90"/>
              <w:left w:type="dxa" w:w="140"/>
              <w:bottom w:type="dxa" w:w="90"/>
              <w:right w:type="dxa" w:w="140"/>
            </w:tcMar>
          </w:tcPr>
          <w:p>
            <w:r>
              <w:rPr>
                <w:rFonts w:ascii="Calibri" w:cs="Calibri" w:eastAsia="Calibri" w:hAnsi="Calibri"/>
                <w:color w:val="1A1A1A"/>
                <w:sz w:val="19"/>
                <w:szCs w:val="19"/>
              </w:rPr>
              <w:t xml:space="preserve">Solidity smart contracts for the CeloHT ecosystem</w:t>
            </w:r>
          </w:p>
        </w:tc>
        <w:tc>
          <w:tcPr>
            <w:tcW w:type="dxa" w:w="2950"/>
            <w:shd w:fill="F5F6F8" w:val="clear"/>
            <w:tcMar>
              <w:top w:type="dxa" w:w="90"/>
              <w:left w:type="dxa" w:w="140"/>
              <w:bottom w:type="dxa" w:w="90"/>
              <w:right w:type="dxa" w:w="140"/>
            </w:tcMar>
          </w:tcPr>
          <w:p>
            <w:r>
              <w:rPr>
                <w:rFonts w:ascii="Calibri" w:cs="Calibri" w:eastAsia="Calibri" w:hAnsi="Calibri"/>
                <w:color w:val="1A1A1A"/>
                <w:sz w:val="19"/>
                <w:szCs w:val="19"/>
              </w:rPr>
              <w:t xml:space="preserve">TypeScript / Solidity</w:t>
            </w:r>
          </w:p>
        </w:tc>
      </w:tr>
      <w:tr>
        <w:tc>
          <w:tcPr>
            <w:tcW w:type="dxa" w:w="2600"/>
            <w:shd w:fill="FFFFFF" w:val="clear"/>
            <w:tcMar>
              <w:top w:type="dxa" w:w="90"/>
              <w:left w:type="dxa" w:w="140"/>
              <w:bottom w:type="dxa" w:w="90"/>
              <w:right w:type="dxa" w:w="140"/>
            </w:tcMar>
          </w:tcPr>
          <w:p>
            <w:r>
              <w:rPr>
                <w:rFonts w:ascii="Calibri" w:cs="Calibri" w:eastAsia="Calibri" w:hAnsi="Calibri"/>
                <w:color w:val="1A1A1A"/>
                <w:sz w:val="19"/>
                <w:szCs w:val="19"/>
              </w:rPr>
              <w:t xml:space="preserve">celoht-brand</w:t>
            </w:r>
          </w:p>
        </w:tc>
        <w:tc>
          <w:tcPr>
            <w:tcW w:type="dxa" w:w="3800"/>
            <w:shd w:fill="FFFFFF" w:val="clear"/>
            <w:tcMar>
              <w:top w:type="dxa" w:w="90"/>
              <w:left w:type="dxa" w:w="140"/>
              <w:bottom w:type="dxa" w:w="90"/>
              <w:right w:type="dxa" w:w="140"/>
            </w:tcMar>
          </w:tcPr>
          <w:p>
            <w:r>
              <w:rPr>
                <w:rFonts w:ascii="Calibri" w:cs="Calibri" w:eastAsia="Calibri" w:hAnsi="Calibri"/>
                <w:color w:val="1A1A1A"/>
                <w:sz w:val="19"/>
                <w:szCs w:val="19"/>
              </w:rPr>
              <w:t xml:space="preserve">Visual identity, logo, and brand guidelines</w:t>
            </w:r>
          </w:p>
        </w:tc>
        <w:tc>
          <w:tcPr>
            <w:tcW w:type="dxa" w:w="2950"/>
            <w:shd w:fill="FFFFFF" w:val="clear"/>
            <w:tcMar>
              <w:top w:type="dxa" w:w="90"/>
              <w:left w:type="dxa" w:w="140"/>
              <w:bottom w:type="dxa" w:w="90"/>
              <w:right w:type="dxa" w:w="140"/>
            </w:tcMar>
          </w:tcPr>
          <w:p>
            <w:r>
              <w:rPr>
                <w:rFonts w:ascii="Calibri" w:cs="Calibri" w:eastAsia="Calibri" w:hAnsi="Calibri"/>
                <w:color w:val="1A1A1A"/>
                <w:sz w:val="19"/>
                <w:szCs w:val="19"/>
              </w:rPr>
              <w:t xml:space="preserve">Static assets</w:t>
            </w:r>
          </w:p>
        </w:tc>
      </w:tr>
      <w:tr>
        <w:tc>
          <w:tcPr>
            <w:tcW w:type="dxa" w:w="2600"/>
            <w:shd w:fill="F5F6F8" w:val="clear"/>
            <w:tcMar>
              <w:top w:type="dxa" w:w="90"/>
              <w:left w:type="dxa" w:w="140"/>
              <w:bottom w:type="dxa" w:w="90"/>
              <w:right w:type="dxa" w:w="140"/>
            </w:tcMar>
          </w:tcPr>
          <w:p>
            <w:r>
              <w:rPr>
                <w:rFonts w:ascii="Calibri" w:cs="Calibri" w:eastAsia="Calibri" w:hAnsi="Calibri"/>
                <w:color w:val="1A1A1A"/>
                <w:sz w:val="19"/>
                <w:szCs w:val="19"/>
              </w:rPr>
              <w:t xml:space="preserve">.github</w:t>
            </w:r>
          </w:p>
        </w:tc>
        <w:tc>
          <w:tcPr>
            <w:tcW w:type="dxa" w:w="3800"/>
            <w:shd w:fill="F5F6F8" w:val="clear"/>
            <w:tcMar>
              <w:top w:type="dxa" w:w="90"/>
              <w:left w:type="dxa" w:w="140"/>
              <w:bottom w:type="dxa" w:w="90"/>
              <w:right w:type="dxa" w:w="140"/>
            </w:tcMar>
          </w:tcPr>
          <w:p>
            <w:r>
              <w:rPr>
                <w:rFonts w:ascii="Calibri" w:cs="Calibri" w:eastAsia="Calibri" w:hAnsi="Calibri"/>
                <w:color w:val="1A1A1A"/>
                <w:sz w:val="19"/>
                <w:szCs w:val="19"/>
              </w:rPr>
              <w:t xml:space="preserve">Org-wide community health files: governance, security policy, contribution guide, issue/PR templates</w:t>
            </w:r>
          </w:p>
        </w:tc>
        <w:tc>
          <w:tcPr>
            <w:tcW w:type="dxa" w:w="2950"/>
            <w:shd w:fill="F5F6F8" w:val="clear"/>
            <w:tcMar>
              <w:top w:type="dxa" w:w="90"/>
              <w:left w:type="dxa" w:w="140"/>
              <w:bottom w:type="dxa" w:w="90"/>
              <w:right w:type="dxa" w:w="140"/>
            </w:tcMar>
          </w:tcPr>
          <w:p>
            <w:r>
              <w:rPr>
                <w:rFonts w:ascii="Calibri" w:cs="Calibri" w:eastAsia="Calibri" w:hAnsi="Calibri"/>
                <w:color w:val="1A1A1A"/>
                <w:sz w:val="19"/>
                <w:szCs w:val="19"/>
              </w:rPr>
              <w:t xml:space="preserve">Markdown / YAML</w:t>
            </w:r>
          </w:p>
        </w:tc>
      </w:tr>
    </w:tbl>
    <w:p>
      <w:pPr>
        <w:spacing w:after="200"/>
      </w:pPr>
    </w:p>
    <w:p>
      <w:pPr>
        <w:spacing w:after="200" w:line="300"/>
        <w:jc w:val="both"/>
      </w:pPr>
      <w:r>
        <w:rPr>
          <w:rFonts w:ascii="Calibri" w:cs="Calibri" w:eastAsia="Calibri" w:hAnsi="Calibri"/>
          <w:b w:val="false"/>
          <w:bCs w:val="false"/>
          <w:i w:val="false"/>
          <w:iCs w:val="false"/>
          <w:color w:val="1A1A1A"/>
          <w:sz w:val="22"/>
          <w:szCs w:val="22"/>
        </w:rPr>
        <w:t xml:space="preserve">This modular structure reflects a deliberate engineering choice: rather than a single monolithic codebase, CeloHT's architecture allows a contributor focused on documentation to work productively without needing familiarity with the smart-contract package, and allows the website to be updated without touching governance records. This separation lowers the barrier to meaningful contribution, which supports the organization's broader goal of cultivating a local developer community described in the chapter on Our Vision.</w:t>
      </w:r>
    </w:p>
    <w:p>
      <w:pPr>
        <w:sectPr>
          <w:headerReference w:type="default" r:id="rId49"/>
          <w:footerReference w:type="default" r:id="rId50"/>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22</w:t>
      </w:r>
    </w:p>
    <w:p>
      <w:pPr>
        <w:pStyle w:val="Heading1"/>
        <w:pBdr>
          <w:bottom w:val="single" w:color="0B1120" w:sz="6" w:space="8"/>
        </w:pBdr>
        <w:spacing w:after="260"/>
      </w:pPr>
      <w:r>
        <w:rPr>
          <w:rFonts w:ascii="Cambria" w:cs="Cambria" w:eastAsia="Cambria" w:hAnsi="Cambria"/>
          <w:b/>
          <w:bCs/>
          <w:color w:val="0B1120"/>
          <w:sz w:val="40"/>
          <w:szCs w:val="40"/>
        </w:rPr>
        <w:t xml:space="preserve">The dApp Architecture</w:t>
      </w:r>
    </w:p>
    <w:p>
      <w:pPr>
        <w:spacing w:after="200" w:line="300"/>
        <w:jc w:val="both"/>
      </w:pPr>
      <w:r>
        <w:rPr>
          <w:rFonts w:ascii="Calibri" w:cs="Calibri" w:eastAsia="Calibri" w:hAnsi="Calibri"/>
          <w:b w:val="false"/>
          <w:bCs w:val="false"/>
          <w:i/>
          <w:iCs/>
          <w:color w:val="555555"/>
          <w:sz w:val="22"/>
          <w:szCs w:val="22"/>
        </w:rPr>
        <w:t xml:space="preserve">This section describes the design and current state of CeloHT's decentralized application, the primary interface through which users will experience the ecosystem.</w:t>
      </w:r>
    </w:p>
    <w:p>
      <w:pPr>
        <w:spacing w:after="200" w:line="300"/>
        <w:jc w:val="both"/>
      </w:pPr>
      <w:r>
        <w:rPr>
          <w:rFonts w:ascii="Calibri" w:cs="Calibri" w:eastAsia="Calibri" w:hAnsi="Calibri"/>
          <w:b w:val="false"/>
          <w:bCs w:val="false"/>
          <w:i w:val="false"/>
          <w:iCs w:val="false"/>
          <w:color w:val="1A1A1A"/>
          <w:sz w:val="22"/>
          <w:szCs w:val="22"/>
        </w:rPr>
        <w:t xml:space="preserve">CeloHT's decentralized application is built on Next.js 15 and React, styled with Tailwind CSS, and structured as a multi-screen, navigable prototype rather than a single demonstration page. This distinction matters: a navigable prototype allows an investor, grant reviewer, or prospective user to move through the actual flow of onboarding, wallet interaction, and course completion in sequence, experiencing the product the way an end user eventually will, rather than viewing a static set of screenshots assembled after the fact.</w:t>
      </w:r>
    </w:p>
    <w:p>
      <w:pPr>
        <w:pStyle w:val="Heading2"/>
        <w:spacing w:after="140" w:before="260"/>
      </w:pPr>
      <w:r>
        <w:rPr>
          <w:rFonts w:ascii="Cambria" w:cs="Cambria" w:eastAsia="Cambria" w:hAnsi="Cambria"/>
          <w:b/>
          <w:bCs/>
          <w:color w:val="0B1120"/>
          <w:sz w:val="26"/>
          <w:szCs w:val="26"/>
        </w:rPr>
        <w:t xml:space="preserve">Simulated Wallet Functionality</w:t>
      </w:r>
    </w:p>
    <w:p>
      <w:pPr>
        <w:spacing w:after="200" w:line="300"/>
        <w:jc w:val="both"/>
      </w:pPr>
      <w:r>
        <w:rPr>
          <w:rFonts w:ascii="Calibri" w:cs="Calibri" w:eastAsia="Calibri" w:hAnsi="Calibri"/>
          <w:b w:val="false"/>
          <w:bCs w:val="false"/>
          <w:i w:val="false"/>
          <w:iCs w:val="false"/>
          <w:color w:val="1A1A1A"/>
          <w:sz w:val="22"/>
          <w:szCs w:val="22"/>
        </w:rPr>
        <w:t xml:space="preserve">At its current stage, the dApp's wallet interactions, including USDm transfers, governance voting, and course-completion rewards, are simulated rather than connected to mainnet infrastructure. This is a deliberate sequencing choice, not a limitation CeloHT is attempting to obscure. Simulation allows the onboarding flow, user-interface decisions, and educational integration to be tested and refined with real user feedback before any real funds are placed at risk, matching the security philosophy described earlier in this book.</w:t>
      </w:r>
    </w:p>
    <w:p>
      <w:pPr>
        <w:pStyle w:val="Heading2"/>
        <w:spacing w:after="140" w:before="260"/>
      </w:pPr>
      <w:r>
        <w:rPr>
          <w:rFonts w:ascii="Cambria" w:cs="Cambria" w:eastAsia="Cambria" w:hAnsi="Cambria"/>
          <w:b/>
          <w:bCs/>
          <w:color w:val="0B1120"/>
          <w:sz w:val="26"/>
          <w:szCs w:val="26"/>
        </w:rPr>
        <w:t xml:space="preserve">Presentation and Distribution</w:t>
      </w:r>
    </w:p>
    <w:p>
      <w:pPr>
        <w:spacing w:after="200" w:line="300"/>
        <w:jc w:val="both"/>
      </w:pPr>
      <w:r>
        <w:rPr>
          <w:rFonts w:ascii="Calibri" w:cs="Calibri" w:eastAsia="Calibri" w:hAnsi="Calibri"/>
          <w:b w:val="false"/>
          <w:bCs w:val="false"/>
          <w:i w:val="false"/>
          <w:iCs w:val="false"/>
          <w:color w:val="1A1A1A"/>
          <w:sz w:val="22"/>
          <w:szCs w:val="22"/>
        </w:rPr>
        <w:t xml:space="preserve">The prototype is deployed through an automated GitHub Pages pipeline, allowing any reviewer to access the current build directly without a local installation. Device-framed screenshots, presented in a current-generation smartphone frame, are used in investor and partner materials to communicate how the product will appear in actual mobile use, reflecting CeloHT's mobile-first orientation described in the chapter on Why Celo Blockchain.</w:t>
      </w:r>
    </w:p>
    <w:p>
      <w:pPr>
        <w:spacing w:after="80" w:before="120"/>
        <w:jc w:val="center"/>
      </w:pPr>
      <w:r>
        <w:drawing>
          <wp:inline distT="0" distB="0" distL="0" distR="0">
            <wp:extent cx="53340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334000" cy="16954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22.1: CeloHT dApp prototype navigation flow: onboarding, wallet dashboard, governance voting, and course completion. All interactions shown are simulated, not connected to mainnet.</w:t>
      </w:r>
    </w:p>
    <w:p>
      <w:pPr>
        <w:sectPr>
          <w:headerReference w:type="default" r:id="rId51"/>
          <w:footerReference w:type="default" r:id="rId52"/>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23</w:t>
      </w:r>
    </w:p>
    <w:p>
      <w:pPr>
        <w:pStyle w:val="Heading1"/>
        <w:pBdr>
          <w:bottom w:val="single" w:color="0B1120" w:sz="6" w:space="8"/>
        </w:pBdr>
        <w:spacing w:after="260"/>
      </w:pPr>
      <w:r>
        <w:rPr>
          <w:rFonts w:ascii="Cambria" w:cs="Cambria" w:eastAsia="Cambria" w:hAnsi="Cambria"/>
          <w:b/>
          <w:bCs/>
          <w:color w:val="0B1120"/>
          <w:sz w:val="40"/>
          <w:szCs w:val="40"/>
        </w:rPr>
        <w:t xml:space="preserve">Wallet Integration</w:t>
      </w:r>
    </w:p>
    <w:p>
      <w:pPr>
        <w:spacing w:after="200" w:line="300"/>
        <w:jc w:val="both"/>
      </w:pPr>
      <w:r>
        <w:rPr>
          <w:rFonts w:ascii="Calibri" w:cs="Calibri" w:eastAsia="Calibri" w:hAnsi="Calibri"/>
          <w:b w:val="false"/>
          <w:bCs w:val="false"/>
          <w:i/>
          <w:iCs/>
          <w:color w:val="555555"/>
          <w:sz w:val="22"/>
          <w:szCs w:val="22"/>
        </w:rPr>
        <w:t xml:space="preserve">The discussion here explains how CeloHT integrates with existing wallet infrastructure rather than building a proprietary alternative.</w:t>
      </w:r>
    </w:p>
    <w:p>
      <w:pPr>
        <w:spacing w:after="200" w:line="300"/>
        <w:jc w:val="both"/>
      </w:pPr>
      <w:r>
        <w:rPr>
          <w:rFonts w:ascii="Calibri" w:cs="Calibri" w:eastAsia="Calibri" w:hAnsi="Calibri"/>
          <w:b w:val="false"/>
          <w:bCs w:val="false"/>
          <w:i w:val="false"/>
          <w:iCs w:val="false"/>
          <w:color w:val="1A1A1A"/>
          <w:sz w:val="22"/>
          <w:szCs w:val="22"/>
        </w:rPr>
        <w:t xml:space="preserve">CeloHT's approach to wallet integration follows directly from the principle, stated in the chapter on Guiding Principles, of preferring existing infrastructure over duplicating it. Rather than building and maintaining a custom wallet, CeloHT's dApp is designed to integrate with Valora, an established, non-custodial wallet already active within the Celo ecosystem.</w:t>
      </w:r>
    </w:p>
    <w:p>
      <w:pPr>
        <w:pStyle w:val="Heading2"/>
        <w:spacing w:after="140" w:before="260"/>
      </w:pPr>
      <w:r>
        <w:rPr>
          <w:rFonts w:ascii="Cambria" w:cs="Cambria" w:eastAsia="Cambria" w:hAnsi="Cambria"/>
          <w:b/>
          <w:bCs/>
          <w:color w:val="0B1120"/>
          <w:sz w:val="26"/>
          <w:szCs w:val="26"/>
        </w:rPr>
        <w:t xml:space="preserve">Why Integration Rather Than Construction</w:t>
      </w:r>
    </w:p>
    <w:p>
      <w:pPr>
        <w:spacing w:after="200" w:line="300"/>
        <w:jc w:val="both"/>
      </w:pPr>
      <w:r>
        <w:rPr>
          <w:rFonts w:ascii="Calibri" w:cs="Calibri" w:eastAsia="Calibri" w:hAnsi="Calibri"/>
          <w:b w:val="false"/>
          <w:bCs w:val="false"/>
          <w:i w:val="false"/>
          <w:iCs w:val="false"/>
          <w:color w:val="1A1A1A"/>
          <w:sz w:val="22"/>
          <w:szCs w:val="22"/>
        </w:rPr>
        <w:t xml:space="preserve">Building a proprietary wallet would require CeloHT to take on the security, maintenance, and audit burden of custodying or facilitating custody of user funds directly, a burden disproportionate to the organization's current scale and expertise. Integrating with Valora allows CeloHT to focus its limited technical resources on education and application-layer experience, while relying on a wallet whose core security properties are maintained by a team dedicated to that purpose.</w:t>
      </w:r>
    </w:p>
    <w:p>
      <w:pPr>
        <w:pStyle w:val="Heading2"/>
        <w:spacing w:after="140" w:before="260"/>
      </w:pPr>
      <w:r>
        <w:rPr>
          <w:rFonts w:ascii="Cambria" w:cs="Cambria" w:eastAsia="Cambria" w:hAnsi="Cambria"/>
          <w:b/>
          <w:bCs/>
          <w:color w:val="0B1120"/>
          <w:sz w:val="26"/>
          <w:szCs w:val="26"/>
        </w:rPr>
        <w:t xml:space="preserve">The User Journey</w:t>
      </w:r>
    </w:p>
    <w:p>
      <w:pPr>
        <w:spacing w:after="200" w:line="300"/>
        <w:jc w:val="both"/>
      </w:pPr>
      <w:r>
        <w:rPr>
          <w:rFonts w:ascii="Calibri" w:cs="Calibri" w:eastAsia="Calibri" w:hAnsi="Calibri"/>
          <w:b w:val="false"/>
          <w:bCs w:val="false"/>
          <w:i w:val="false"/>
          <w:iCs w:val="false"/>
          <w:color w:val="1A1A1A"/>
          <w:sz w:val="22"/>
          <w:szCs w:val="22"/>
        </w:rPr>
        <w:t xml:space="preserve">For a new CeloHT user, the intended journey begins with education: understanding what a non-custodial wallet is, why the user alone controls their private keys, and what that control implies for both security and responsibility. Only after this grounding does the flow proceed to actual wallet setup and connection, an ordering that reflects CeloHT's broader insistence that education precede access.</w:t>
      </w:r>
    </w:p>
    <w:p>
      <w:pPr>
        <w:pBdr>
          <w:left w:val="single" w:color="F5C842" w:sz="24" w:space="12"/>
        </w:pBdr>
        <w:spacing w:after="240" w:before="240"/>
        <w:ind w:left="500" w:right="500"/>
      </w:pPr>
      <w:r>
        <w:rPr>
          <w:rFonts w:ascii="Cambria" w:cs="Cambria" w:eastAsia="Cambria" w:hAnsi="Cambria"/>
          <w:i/>
          <w:iCs/>
          <w:color w:val="0B1120"/>
          <w:sz w:val="24"/>
          <w:szCs w:val="24"/>
        </w:rPr>
        <w:t xml:space="preserve">"We do not want to be the organization that hands someone a wallet and wishes them luck."</w:t>
      </w:r>
    </w:p>
    <w:p>
      <w:pPr>
        <w:sectPr>
          <w:headerReference w:type="default" r:id="rId53"/>
          <w:footerReference w:type="default" r:id="rId54"/>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24</w:t>
      </w:r>
    </w:p>
    <w:p>
      <w:pPr>
        <w:pStyle w:val="Heading1"/>
        <w:pBdr>
          <w:bottom w:val="single" w:color="0B1120" w:sz="6" w:space="8"/>
        </w:pBdr>
        <w:spacing w:after="260"/>
      </w:pPr>
      <w:r>
        <w:rPr>
          <w:rFonts w:ascii="Cambria" w:cs="Cambria" w:eastAsia="Cambria" w:hAnsi="Cambria"/>
          <w:b/>
          <w:bCs/>
          <w:color w:val="0B1120"/>
          <w:sz w:val="40"/>
          <w:szCs w:val="40"/>
        </w:rPr>
        <w:t xml:space="preserve">Educational Platform</w:t>
      </w:r>
    </w:p>
    <w:p>
      <w:pPr>
        <w:spacing w:after="200" w:line="300"/>
        <w:jc w:val="both"/>
      </w:pPr>
      <w:r>
        <w:rPr>
          <w:rFonts w:ascii="Calibri" w:cs="Calibri" w:eastAsia="Calibri" w:hAnsi="Calibri"/>
          <w:b w:val="false"/>
          <w:bCs w:val="false"/>
          <w:i/>
          <w:iCs/>
          <w:color w:val="555555"/>
          <w:sz w:val="22"/>
          <w:szCs w:val="22"/>
        </w:rPr>
        <w:t xml:space="preserve">This chapter describes the CeloHT Academy, the organization's core educational output, and its current state of completion.</w:t>
      </w:r>
    </w:p>
    <w:p>
      <w:pPr>
        <w:spacing w:after="200" w:line="300"/>
        <w:jc w:val="both"/>
      </w:pPr>
      <w:r>
        <w:rPr>
          <w:rFonts w:ascii="Calibri" w:cs="Calibri" w:eastAsia="Calibri" w:hAnsi="Calibri"/>
          <w:b w:val="false"/>
          <w:bCs w:val="false"/>
          <w:i w:val="false"/>
          <w:iCs w:val="false"/>
          <w:color w:val="1A1A1A"/>
          <w:sz w:val="22"/>
          <w:szCs w:val="22"/>
        </w:rPr>
        <w:t xml:space="preserve">The CeloHT Academy is a planned thirty-volume educational series, written in Haitian Creole, covering blockchain fundamentals, Web3 concepts, the Celo network specifically, digital finance, and entrepreneurship. Thirteen volumes are completed as of this publication, totaling more than three hundred fifty pages of original instructional content, produced through a documentation pipeline built specifically for structured, long-form educational publishing.</w:t>
      </w:r>
    </w:p>
    <w:p>
      <w:pPr>
        <w:pStyle w:val="Heading2"/>
        <w:spacing w:after="140" w:before="260"/>
      </w:pPr>
      <w:r>
        <w:rPr>
          <w:rFonts w:ascii="Cambria" w:cs="Cambria" w:eastAsia="Cambria" w:hAnsi="Cambria"/>
          <w:b/>
          <w:bCs/>
          <w:color w:val="0B1120"/>
          <w:sz w:val="26"/>
          <w:szCs w:val="26"/>
        </w:rPr>
        <w:t xml:space="preserve">Curriculum Philosophy</w:t>
      </w:r>
    </w:p>
    <w:p>
      <w:pPr>
        <w:spacing w:after="200" w:line="300"/>
        <w:jc w:val="both"/>
      </w:pPr>
      <w:r>
        <w:rPr>
          <w:rFonts w:ascii="Calibri" w:cs="Calibri" w:eastAsia="Calibri" w:hAnsi="Calibri"/>
          <w:b w:val="false"/>
          <w:bCs w:val="false"/>
          <w:i w:val="false"/>
          <w:iCs w:val="false"/>
          <w:color w:val="1A1A1A"/>
          <w:sz w:val="22"/>
          <w:szCs w:val="22"/>
        </w:rPr>
        <w:t xml:space="preserve">Each volume is designed to be usable independently, so that a learner can enter the series at the point most relevant to their existing knowledge rather than being required to complete earlier volumes first. This design accommodates the reality that CeloHT's learners arrive with widely varying starting points, from complete newcomers to individuals with informal trading or technology experience seeking more structured grounding.</w:t>
      </w:r>
    </w:p>
    <w:p>
      <w:pPr>
        <w:pStyle w:val="Heading2"/>
        <w:spacing w:after="140" w:before="260"/>
      </w:pPr>
      <w:r>
        <w:rPr>
          <w:rFonts w:ascii="Cambria" w:cs="Cambria" w:eastAsia="Cambria" w:hAnsi="Cambria"/>
          <w:b/>
          <w:bCs/>
          <w:color w:val="0B1120"/>
          <w:sz w:val="26"/>
          <w:szCs w:val="26"/>
        </w:rPr>
        <w:t xml:space="preserve">Beyond the Academy Series</w:t>
      </w:r>
    </w:p>
    <w:p>
      <w:pPr>
        <w:spacing w:after="200" w:line="300"/>
        <w:jc w:val="both"/>
      </w:pPr>
      <w:r>
        <w:rPr>
          <w:rFonts w:ascii="Calibri" w:cs="Calibri" w:eastAsia="Calibri" w:hAnsi="Calibri"/>
          <w:b w:val="false"/>
          <w:bCs w:val="false"/>
          <w:i w:val="false"/>
          <w:iCs w:val="false"/>
          <w:color w:val="1A1A1A"/>
          <w:sz w:val="22"/>
          <w:szCs w:val="22"/>
        </w:rPr>
        <w:t xml:space="preserve">The educational platform extends beyond the core Academy volumes to include specialized materials: a comprehensive trading education volume covering established technical-analysis methodologies, a standalone Web3 developer training resource for those seeking to contribute technically to the ecosystem, and practical operational references such as a Linux systems-administration guide, reflecting CeloHT's view that technical literacy in Haitian Creole should extend beyond finance narrowly defined.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50"/>
      </w:tblGrid>
      <w:tr>
        <w:trPr>
          <w:tblHeader/>
        </w:trPr>
        <w:tc>
          <w:tcPr>
            <w:tcW w:type="dxa" w:w="320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Educational Asset</w:t>
            </w:r>
          </w:p>
        </w:tc>
        <w:tc>
          <w:tcPr>
            <w:tcW w:type="dxa" w:w="280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Status</w:t>
            </w:r>
          </w:p>
        </w:tc>
        <w:tc>
          <w:tcPr>
            <w:tcW w:type="dxa" w:w="335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Scope</w:t>
            </w:r>
          </w:p>
        </w:tc>
      </w:tr>
      <w:tr>
        <w:tc>
          <w:tcPr>
            <w:tcW w:type="dxa" w:w="3200"/>
            <w:shd w:fill="FFFFFF" w:val="clear"/>
            <w:tcMar>
              <w:top w:type="dxa" w:w="90"/>
              <w:left w:type="dxa" w:w="140"/>
              <w:bottom w:type="dxa" w:w="90"/>
              <w:right w:type="dxa" w:w="140"/>
            </w:tcMar>
          </w:tcPr>
          <w:p>
            <w:r>
              <w:rPr>
                <w:rFonts w:ascii="Calibri" w:cs="Calibri" w:eastAsia="Calibri" w:hAnsi="Calibri"/>
                <w:color w:val="1A1A1A"/>
                <w:sz w:val="19"/>
                <w:szCs w:val="19"/>
              </w:rPr>
              <w:t xml:space="preserve">CeloHT Academy</w:t>
            </w:r>
          </w:p>
        </w:tc>
        <w:tc>
          <w:tcPr>
            <w:tcW w:type="dxa" w:w="2800"/>
            <w:shd w:fill="FFFFFF" w:val="clear"/>
            <w:tcMar>
              <w:top w:type="dxa" w:w="90"/>
              <w:left w:type="dxa" w:w="140"/>
              <w:bottom w:type="dxa" w:w="90"/>
              <w:right w:type="dxa" w:w="140"/>
            </w:tcMar>
          </w:tcPr>
          <w:p>
            <w:r>
              <w:rPr>
                <w:rFonts w:ascii="Calibri" w:cs="Calibri" w:eastAsia="Calibri" w:hAnsi="Calibri"/>
                <w:color w:val="1A1A1A"/>
                <w:sz w:val="19"/>
                <w:szCs w:val="19"/>
              </w:rPr>
              <w:t xml:space="preserve">13 of 30 volumes complete</w:t>
            </w:r>
          </w:p>
        </w:tc>
        <w:tc>
          <w:tcPr>
            <w:tcW w:type="dxa" w:w="3350"/>
            <w:shd w:fill="FFFFFF" w:val="clear"/>
            <w:tcMar>
              <w:top w:type="dxa" w:w="90"/>
              <w:left w:type="dxa" w:w="140"/>
              <w:bottom w:type="dxa" w:w="90"/>
              <w:right w:type="dxa" w:w="140"/>
            </w:tcMar>
          </w:tcPr>
          <w:p>
            <w:r>
              <w:rPr>
                <w:rFonts w:ascii="Calibri" w:cs="Calibri" w:eastAsia="Calibri" w:hAnsi="Calibri"/>
                <w:color w:val="1A1A1A"/>
                <w:sz w:val="19"/>
                <w:szCs w:val="19"/>
              </w:rPr>
              <w:t xml:space="preserve">Blockchain, Web3, Celo, digital finance, entrepreneurship</w:t>
            </w:r>
          </w:p>
        </w:tc>
      </w:tr>
      <w:tr>
        <w:tc>
          <w:tcPr>
            <w:tcW w:type="dxa" w:w="3200"/>
            <w:shd w:fill="F5F6F8" w:val="clear"/>
            <w:tcMar>
              <w:top w:type="dxa" w:w="90"/>
              <w:left w:type="dxa" w:w="140"/>
              <w:bottom w:type="dxa" w:w="90"/>
              <w:right w:type="dxa" w:w="140"/>
            </w:tcMar>
          </w:tcPr>
          <w:p>
            <w:r>
              <w:rPr>
                <w:rFonts w:ascii="Calibri" w:cs="Calibri" w:eastAsia="Calibri" w:hAnsi="Calibri"/>
                <w:color w:val="1A1A1A"/>
                <w:sz w:val="19"/>
                <w:szCs w:val="19"/>
              </w:rPr>
              <w:t xml:space="preserve">Trading education volume</w:t>
            </w:r>
          </w:p>
        </w:tc>
        <w:tc>
          <w:tcPr>
            <w:tcW w:type="dxa" w:w="2800"/>
            <w:shd w:fill="F5F6F8" w:val="clear"/>
            <w:tcMar>
              <w:top w:type="dxa" w:w="90"/>
              <w:left w:type="dxa" w:w="140"/>
              <w:bottom w:type="dxa" w:w="90"/>
              <w:right w:type="dxa" w:w="140"/>
            </w:tcMar>
          </w:tcPr>
          <w:p>
            <w:r>
              <w:rPr>
                <w:rFonts w:ascii="Calibri" w:cs="Calibri" w:eastAsia="Calibri" w:hAnsi="Calibri"/>
                <w:color w:val="1A1A1A"/>
                <w:sz w:val="19"/>
                <w:szCs w:val="19"/>
              </w:rPr>
              <w:t xml:space="preserve">Complete</w:t>
            </w:r>
          </w:p>
        </w:tc>
        <w:tc>
          <w:tcPr>
            <w:tcW w:type="dxa" w:w="3350"/>
            <w:shd w:fill="F5F6F8" w:val="clear"/>
            <w:tcMar>
              <w:top w:type="dxa" w:w="90"/>
              <w:left w:type="dxa" w:w="140"/>
              <w:bottom w:type="dxa" w:w="90"/>
              <w:right w:type="dxa" w:w="140"/>
            </w:tcMar>
          </w:tcPr>
          <w:p>
            <w:r>
              <w:rPr>
                <w:rFonts w:ascii="Calibri" w:cs="Calibri" w:eastAsia="Calibri" w:hAnsi="Calibri"/>
                <w:color w:val="1A1A1A"/>
                <w:sz w:val="19"/>
                <w:szCs w:val="19"/>
              </w:rPr>
              <w:t xml:space="preserve">Technical-analysis methodologies for digital-asset markets</w:t>
            </w:r>
          </w:p>
        </w:tc>
      </w:tr>
      <w:tr>
        <w:tc>
          <w:tcPr>
            <w:tcW w:type="dxa" w:w="3200"/>
            <w:shd w:fill="FFFFFF" w:val="clear"/>
            <w:tcMar>
              <w:top w:type="dxa" w:w="90"/>
              <w:left w:type="dxa" w:w="140"/>
              <w:bottom w:type="dxa" w:w="90"/>
              <w:right w:type="dxa" w:w="140"/>
            </w:tcMar>
          </w:tcPr>
          <w:p>
            <w:r>
              <w:rPr>
                <w:rFonts w:ascii="Calibri" w:cs="Calibri" w:eastAsia="Calibri" w:hAnsi="Calibri"/>
                <w:color w:val="1A1A1A"/>
                <w:sz w:val="19"/>
                <w:szCs w:val="19"/>
              </w:rPr>
              <w:t xml:space="preserve">Web3 developer training</w:t>
            </w:r>
          </w:p>
        </w:tc>
        <w:tc>
          <w:tcPr>
            <w:tcW w:type="dxa" w:w="2800"/>
            <w:shd w:fill="FFFFFF" w:val="clear"/>
            <w:tcMar>
              <w:top w:type="dxa" w:w="90"/>
              <w:left w:type="dxa" w:w="140"/>
              <w:bottom w:type="dxa" w:w="90"/>
              <w:right w:type="dxa" w:w="140"/>
            </w:tcMar>
          </w:tcPr>
          <w:p>
            <w:r>
              <w:rPr>
                <w:rFonts w:ascii="Calibri" w:cs="Calibri" w:eastAsia="Calibri" w:hAnsi="Calibri"/>
                <w:color w:val="1A1A1A"/>
                <w:sz w:val="19"/>
                <w:szCs w:val="19"/>
              </w:rPr>
              <w:t xml:space="preserve">Complete</w:t>
            </w:r>
          </w:p>
        </w:tc>
        <w:tc>
          <w:tcPr>
            <w:tcW w:type="dxa" w:w="3350"/>
            <w:shd w:fill="FFFFFF" w:val="clear"/>
            <w:tcMar>
              <w:top w:type="dxa" w:w="90"/>
              <w:left w:type="dxa" w:w="140"/>
              <w:bottom w:type="dxa" w:w="90"/>
              <w:right w:type="dxa" w:w="140"/>
            </w:tcMar>
          </w:tcPr>
          <w:p>
            <w:r>
              <w:rPr>
                <w:rFonts w:ascii="Calibri" w:cs="Calibri" w:eastAsia="Calibri" w:hAnsi="Calibri"/>
                <w:color w:val="1A1A1A"/>
                <w:sz w:val="19"/>
                <w:szCs w:val="19"/>
              </w:rPr>
              <w:t xml:space="preserve">Practical onboarding for contributing developers</w:t>
            </w:r>
          </w:p>
        </w:tc>
      </w:tr>
      <w:tr>
        <w:tc>
          <w:tcPr>
            <w:tcW w:type="dxa" w:w="3200"/>
            <w:shd w:fill="F5F6F8" w:val="clear"/>
            <w:tcMar>
              <w:top w:type="dxa" w:w="90"/>
              <w:left w:type="dxa" w:w="140"/>
              <w:bottom w:type="dxa" w:w="90"/>
              <w:right w:type="dxa" w:w="140"/>
            </w:tcMar>
          </w:tcPr>
          <w:p>
            <w:r>
              <w:rPr>
                <w:rFonts w:ascii="Calibri" w:cs="Calibri" w:eastAsia="Calibri" w:hAnsi="Calibri"/>
                <w:color w:val="1A1A1A"/>
                <w:sz w:val="19"/>
                <w:szCs w:val="19"/>
              </w:rPr>
              <w:t xml:space="preserve">Systems-administration guide</w:t>
            </w:r>
          </w:p>
        </w:tc>
        <w:tc>
          <w:tcPr>
            <w:tcW w:type="dxa" w:w="2800"/>
            <w:shd w:fill="F5F6F8" w:val="clear"/>
            <w:tcMar>
              <w:top w:type="dxa" w:w="90"/>
              <w:left w:type="dxa" w:w="140"/>
              <w:bottom w:type="dxa" w:w="90"/>
              <w:right w:type="dxa" w:w="140"/>
            </w:tcMar>
          </w:tcPr>
          <w:p>
            <w:r>
              <w:rPr>
                <w:rFonts w:ascii="Calibri" w:cs="Calibri" w:eastAsia="Calibri" w:hAnsi="Calibri"/>
                <w:color w:val="1A1A1A"/>
                <w:sz w:val="19"/>
                <w:szCs w:val="19"/>
              </w:rPr>
              <w:t xml:space="preserve">Complete</w:t>
            </w:r>
          </w:p>
        </w:tc>
        <w:tc>
          <w:tcPr>
            <w:tcW w:type="dxa" w:w="3350"/>
            <w:shd w:fill="F5F6F8" w:val="clear"/>
            <w:tcMar>
              <w:top w:type="dxa" w:w="90"/>
              <w:left w:type="dxa" w:w="140"/>
              <w:bottom w:type="dxa" w:w="90"/>
              <w:right w:type="dxa" w:w="140"/>
            </w:tcMar>
          </w:tcPr>
          <w:p>
            <w:r>
              <w:rPr>
                <w:rFonts w:ascii="Calibri" w:cs="Calibri" w:eastAsia="Calibri" w:hAnsi="Calibri"/>
                <w:color w:val="1A1A1A"/>
                <w:sz w:val="19"/>
                <w:szCs w:val="19"/>
              </w:rPr>
              <w:t xml:space="preserve">Applied technical literacy beyond finance</w:t>
            </w:r>
          </w:p>
        </w:tc>
      </w:tr>
    </w:tbl>
    <w:p>
      <w:pPr>
        <w:spacing w:after="200"/>
      </w:pPr>
    </w:p>
    <w:p>
      <w:pPr>
        <w:sectPr>
          <w:headerReference w:type="default" r:id="rId55"/>
          <w:footerReference w:type="default" r:id="rId56"/>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25</w:t>
      </w:r>
    </w:p>
    <w:p>
      <w:pPr>
        <w:pStyle w:val="Heading1"/>
        <w:pBdr>
          <w:bottom w:val="single" w:color="0B1120" w:sz="6" w:space="8"/>
        </w:pBdr>
        <w:spacing w:after="260"/>
      </w:pPr>
      <w:r>
        <w:rPr>
          <w:rFonts w:ascii="Cambria" w:cs="Cambria" w:eastAsia="Cambria" w:hAnsi="Cambria"/>
          <w:b/>
          <w:bCs/>
          <w:color w:val="0B1120"/>
          <w:sz w:val="40"/>
          <w:szCs w:val="40"/>
        </w:rPr>
        <w:t xml:space="preserve">Agent Network</w:t>
      </w:r>
    </w:p>
    <w:p>
      <w:pPr>
        <w:spacing w:after="200" w:line="300"/>
        <w:jc w:val="both"/>
      </w:pPr>
      <w:r>
        <w:rPr>
          <w:rFonts w:ascii="Calibri" w:cs="Calibri" w:eastAsia="Calibri" w:hAnsi="Calibri"/>
          <w:b w:val="false"/>
          <w:bCs w:val="false"/>
          <w:i/>
          <w:iCs/>
          <w:color w:val="555555"/>
          <w:sz w:val="22"/>
          <w:szCs w:val="22"/>
        </w:rPr>
        <w:t xml:space="preserve">The chapter that follows describes the Agent Network pillar and its role in extending CeloHT's reach into local communities.</w:t>
      </w:r>
    </w:p>
    <w:p>
      <w:pPr>
        <w:spacing w:after="200" w:line="300"/>
        <w:jc w:val="both"/>
      </w:pPr>
      <w:r>
        <w:rPr>
          <w:rFonts w:ascii="Calibri" w:cs="Calibri" w:eastAsia="Calibri" w:hAnsi="Calibri"/>
          <w:b w:val="false"/>
          <w:bCs w:val="false"/>
          <w:i w:val="false"/>
          <w:iCs w:val="false"/>
          <w:color w:val="1A1A1A"/>
          <w:sz w:val="22"/>
          <w:szCs w:val="22"/>
        </w:rPr>
        <w:t xml:space="preserve">Digital tools alone rarely achieve adoption in underserved markets without trusted, local intermediaries who can answer questions in person, demonstrate use cases directly, and provide a human point of contact for a community encountering unfamiliar technology. CeloHT's Agent Network pillar is built to fill this role: a distributed network of community members trained to support local onboarding, answer practical questions, and serve as a bridge between CeloHT's technical and educational resources and the specific communities they serve.</w:t>
      </w:r>
    </w:p>
    <w:p>
      <w:pPr>
        <w:pStyle w:val="Heading2"/>
        <w:spacing w:after="140" w:before="260"/>
      </w:pPr>
      <w:r>
        <w:rPr>
          <w:rFonts w:ascii="Cambria" w:cs="Cambria" w:eastAsia="Cambria" w:hAnsi="Cambria"/>
          <w:b/>
          <w:bCs/>
          <w:color w:val="0B1120"/>
          <w:sz w:val="26"/>
          <w:szCs w:val="26"/>
        </w:rPr>
        <w:t xml:space="preserve">The Role of an Agent</w:t>
      </w:r>
    </w:p>
    <w:p>
      <w:pPr>
        <w:spacing w:after="200" w:line="300"/>
        <w:jc w:val="both"/>
      </w:pPr>
      <w:r>
        <w:rPr>
          <w:rFonts w:ascii="Calibri" w:cs="Calibri" w:eastAsia="Calibri" w:hAnsi="Calibri"/>
          <w:b w:val="false"/>
          <w:bCs w:val="false"/>
          <w:i w:val="false"/>
          <w:iCs w:val="false"/>
          <w:color w:val="1A1A1A"/>
          <w:sz w:val="22"/>
          <w:szCs w:val="22"/>
        </w:rPr>
        <w:t xml:space="preserve">An agent within CeloHT's model is not a sales role in the conventional sense. Agents are trained first as educators, equipped with the CeloHT Academy materials relevant to their community's needs, and are positioned to identify which curriculum a given individual should start with rather than to promote a specific product. This orientation reflects the organization's broader principle that education must precede access.</w:t>
      </w:r>
    </w:p>
    <w:p>
      <w:pPr>
        <w:pStyle w:val="Heading2"/>
        <w:spacing w:after="140" w:before="260"/>
      </w:pPr>
      <w:r>
        <w:rPr>
          <w:rFonts w:ascii="Cambria" w:cs="Cambria" w:eastAsia="Cambria" w:hAnsi="Cambria"/>
          <w:b/>
          <w:bCs/>
          <w:color w:val="0B1120"/>
          <w:sz w:val="26"/>
          <w:szCs w:val="26"/>
        </w:rPr>
        <w:t xml:space="preserve">Why a Human Network Matters for Trust</w:t>
      </w:r>
    </w:p>
    <w:p>
      <w:pPr>
        <w:spacing w:after="200" w:line="300"/>
        <w:jc w:val="both"/>
      </w:pPr>
      <w:r>
        <w:rPr>
          <w:rFonts w:ascii="Calibri" w:cs="Calibri" w:eastAsia="Calibri" w:hAnsi="Calibri"/>
          <w:b w:val="false"/>
          <w:bCs w:val="false"/>
          <w:i w:val="false"/>
          <w:iCs w:val="false"/>
          <w:color w:val="1A1A1A"/>
          <w:sz w:val="22"/>
          <w:szCs w:val="22"/>
        </w:rPr>
        <w:t xml:space="preserve">Trust in financial tools is built interpersonally in many Haitian communities, often more effectively than through digital marketing or centralized customer support. A local agent, known personally to the people they serve, can address hesitation and misunderstanding in ways a support ticket cannot. The Agent Network is, in this sense, CeloHT's primary trust-building mechanism at the community level, complementing the credibility built through open-source transparency at the institutional level.</w:t>
      </w:r>
    </w:p>
    <w:p>
      <w:pPr>
        <w:sectPr>
          <w:headerReference w:type="default" r:id="rId57"/>
          <w:footerReference w:type="default" r:id="rId58"/>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26</w:t>
      </w:r>
    </w:p>
    <w:p>
      <w:pPr>
        <w:pStyle w:val="Heading1"/>
        <w:pBdr>
          <w:bottom w:val="single" w:color="0B1120" w:sz="6" w:space="8"/>
        </w:pBdr>
        <w:spacing w:after="260"/>
      </w:pPr>
      <w:r>
        <w:rPr>
          <w:rFonts w:ascii="Cambria" w:cs="Cambria" w:eastAsia="Cambria" w:hAnsi="Cambria"/>
          <w:b/>
          <w:bCs/>
          <w:color w:val="0B1120"/>
          <w:sz w:val="40"/>
          <w:szCs w:val="40"/>
        </w:rPr>
        <w:t xml:space="preserve">Community Programs</w:t>
      </w:r>
    </w:p>
    <w:p>
      <w:pPr>
        <w:spacing w:after="200" w:line="300"/>
        <w:jc w:val="both"/>
      </w:pPr>
      <w:r>
        <w:rPr>
          <w:rFonts w:ascii="Calibri" w:cs="Calibri" w:eastAsia="Calibri" w:hAnsi="Calibri"/>
          <w:b w:val="false"/>
          <w:bCs w:val="false"/>
          <w:i/>
          <w:iCs/>
          <w:color w:val="555555"/>
          <w:sz w:val="22"/>
          <w:szCs w:val="22"/>
        </w:rPr>
        <w:t xml:space="preserve">This section describes the recurring programs through which CeloHT engages its community beyond one-time educational content.</w:t>
      </w:r>
    </w:p>
    <w:p>
      <w:pPr>
        <w:spacing w:after="200" w:line="300"/>
        <w:jc w:val="both"/>
      </w:pPr>
      <w:r>
        <w:rPr>
          <w:rFonts w:ascii="Calibri" w:cs="Calibri" w:eastAsia="Calibri" w:hAnsi="Calibri"/>
          <w:b w:val="false"/>
          <w:bCs w:val="false"/>
          <w:i w:val="false"/>
          <w:iCs w:val="false"/>
          <w:color w:val="1A1A1A"/>
          <w:sz w:val="22"/>
          <w:szCs w:val="22"/>
        </w:rPr>
        <w:t xml:space="preserve">Beyond the Academy's written curriculum, CeloHT has developed a public training program structured to run over an extended, multi-week format, giving participants sustained engagement rather than a single workshop with limited retention. This program culminates in an official CeloHT certificate, providing participants with a credential that documents their completed training, useful both for their own confidence and for signaling capability to potential employers or collaborators within the broader Web3 and digital-finance space.</w:t>
      </w:r>
    </w:p>
    <w:p>
      <w:pPr>
        <w:pStyle w:val="Heading2"/>
        <w:spacing w:after="140" w:before="260"/>
      </w:pPr>
      <w:r>
        <w:rPr>
          <w:rFonts w:ascii="Cambria" w:cs="Cambria" w:eastAsia="Cambria" w:hAnsi="Cambria"/>
          <w:b/>
          <w:bCs/>
          <w:color w:val="0B1120"/>
          <w:sz w:val="26"/>
          <w:szCs w:val="26"/>
        </w:rPr>
        <w:t xml:space="preserve">Community Feedback Channels</w:t>
      </w:r>
    </w:p>
    <w:p>
      <w:pPr>
        <w:spacing w:after="200" w:line="300"/>
        <w:jc w:val="both"/>
      </w:pPr>
      <w:r>
        <w:rPr>
          <w:rFonts w:ascii="Calibri" w:cs="Calibri" w:eastAsia="Calibri" w:hAnsi="Calibri"/>
          <w:b w:val="false"/>
          <w:bCs w:val="false"/>
          <w:i w:val="false"/>
          <w:iCs w:val="false"/>
          <w:color w:val="1A1A1A"/>
          <w:sz w:val="22"/>
          <w:szCs w:val="22"/>
        </w:rPr>
        <w:t xml:space="preserve">Consistent with the governance model described earlier in this book, community members are able to submit proposals and feedback through public channels, ensuring that programmatic decisions, such as which topics receive additional curriculum or which regions receive additional agent coverage, are informed by direct input rather than assumptions made at a distance from the communities being served.</w:t>
      </w:r>
    </w:p>
    <w:p>
      <w:pPr>
        <w:pStyle w:val="Heading2"/>
        <w:spacing w:after="140" w:before="260"/>
      </w:pPr>
      <w:r>
        <w:rPr>
          <w:rFonts w:ascii="Cambria" w:cs="Cambria" w:eastAsia="Cambria" w:hAnsi="Cambria"/>
          <w:b/>
          <w:bCs/>
          <w:color w:val="0B1120"/>
          <w:sz w:val="26"/>
          <w:szCs w:val="26"/>
        </w:rPr>
        <w:t xml:space="preserve">Practical Tools for Participants</w:t>
      </w:r>
    </w:p>
    <w:p>
      <w:pPr>
        <w:spacing w:after="200" w:line="300"/>
        <w:jc w:val="both"/>
      </w:pPr>
      <w:r>
        <w:rPr>
          <w:rFonts w:ascii="Calibri" w:cs="Calibri" w:eastAsia="Calibri" w:hAnsi="Calibri"/>
          <w:b w:val="false"/>
          <w:bCs w:val="false"/>
          <w:i w:val="false"/>
          <w:iCs w:val="false"/>
          <w:color w:val="1A1A1A"/>
          <w:sz w:val="22"/>
          <w:szCs w:val="22"/>
        </w:rPr>
        <w:t xml:space="preserve">CeloHT has also produced practical tools intended to accompany its educational content, including a risk-calculator and backtesting journal built for learners applying trading concepts responsibly, and structured trackers used internally to manage community and partner relationships. These tools are treated as extensions of the curriculum, designed to help participants apply what they learn rather than leaving application to chance.</w:t>
      </w:r>
    </w:p>
    <w:p>
      <w:pPr>
        <w:sectPr>
          <w:headerReference w:type="default" r:id="rId59"/>
          <w:footerReference w:type="default" r:id="rId60"/>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27</w:t>
      </w:r>
    </w:p>
    <w:p>
      <w:pPr>
        <w:pStyle w:val="Heading1"/>
        <w:pBdr>
          <w:bottom w:val="single" w:color="0B1120" w:sz="6" w:space="8"/>
        </w:pBdr>
        <w:spacing w:after="260"/>
      </w:pPr>
      <w:r>
        <w:rPr>
          <w:rFonts w:ascii="Cambria" w:cs="Cambria" w:eastAsia="Cambria" w:hAnsi="Cambria"/>
          <w:b/>
          <w:bCs/>
          <w:color w:val="0B1120"/>
          <w:sz w:val="40"/>
          <w:szCs w:val="40"/>
        </w:rPr>
        <w:t xml:space="preserve">Environmental Initiatives</w:t>
      </w:r>
    </w:p>
    <w:p>
      <w:pPr>
        <w:spacing w:after="200" w:line="300"/>
        <w:jc w:val="both"/>
      </w:pPr>
      <w:r>
        <w:rPr>
          <w:rFonts w:ascii="Calibri" w:cs="Calibri" w:eastAsia="Calibri" w:hAnsi="Calibri"/>
          <w:b w:val="false"/>
          <w:bCs w:val="false"/>
          <w:i/>
          <w:iCs/>
          <w:color w:val="555555"/>
          <w:sz w:val="22"/>
          <w:szCs w:val="22"/>
        </w:rPr>
        <w:t xml:space="preserve">The discussion here explains the Reforestation pillar and its relationship to CeloHT's financial-inclusion mission.</w:t>
      </w:r>
    </w:p>
    <w:p>
      <w:pPr>
        <w:spacing w:after="200" w:line="300"/>
        <w:jc w:val="both"/>
      </w:pPr>
      <w:r>
        <w:rPr>
          <w:rFonts w:ascii="Calibri" w:cs="Calibri" w:eastAsia="Calibri" w:hAnsi="Calibri"/>
          <w:b w:val="false"/>
          <w:bCs w:val="false"/>
          <w:i w:val="false"/>
          <w:iCs w:val="false"/>
          <w:color w:val="1A1A1A"/>
          <w:sz w:val="22"/>
          <w:szCs w:val="22"/>
        </w:rPr>
        <w:t xml:space="preserve">Reforestation stands as one of CeloHT's three founding pillars alongside Education and the Agent Network, a placement that reflects a deliberate view: financial resilience and environmental resilience are not separate goals for the communities CeloHT serves. Haiti's severe deforestation has well-documented consequences for soil stability, agricultural productivity, and vulnerability to flooding and storm damage, all of which bear directly on the economic security of the households CeloHT's financial-inclusion work is intended to support.</w:t>
      </w:r>
    </w:p>
    <w:p>
      <w:pPr>
        <w:pStyle w:val="Heading2"/>
        <w:spacing w:after="140" w:before="260"/>
      </w:pPr>
      <w:r>
        <w:rPr>
          <w:rFonts w:ascii="Cambria" w:cs="Cambria" w:eastAsia="Cambria" w:hAnsi="Cambria"/>
          <w:b/>
          <w:bCs/>
          <w:color w:val="0B1120"/>
          <w:sz w:val="26"/>
          <w:szCs w:val="26"/>
        </w:rPr>
        <w:t xml:space="preserve">Why Reforestation Belongs in a Financial-Inclusion Initiative</w:t>
      </w:r>
    </w:p>
    <w:p>
      <w:pPr>
        <w:spacing w:after="200" w:line="300"/>
        <w:jc w:val="both"/>
      </w:pPr>
      <w:r>
        <w:rPr>
          <w:rFonts w:ascii="Calibri" w:cs="Calibri" w:eastAsia="Calibri" w:hAnsi="Calibri"/>
          <w:b w:val="false"/>
          <w:bCs w:val="false"/>
          <w:i w:val="false"/>
          <w:iCs w:val="false"/>
          <w:color w:val="1A1A1A"/>
          <w:sz w:val="22"/>
          <w:szCs w:val="22"/>
        </w:rPr>
        <w:t xml:space="preserve">A household's financial stability is undermined as much by an environmental shock, a flood that destroys crops or property, as by a lack of access to savings tools. Treating reforestation as a peripheral corporate-social-responsibility gesture would understate its relevance to CeloHT's actual mission. Instead, CeloHT treats environmental stewardship as a direct input into the long-term financial resilience of the communities it serves.</w:t>
      </w:r>
    </w:p>
    <w:p>
      <w:pPr>
        <w:pStyle w:val="Heading2"/>
        <w:spacing w:after="140" w:before="260"/>
      </w:pPr>
      <w:r>
        <w:rPr>
          <w:rFonts w:ascii="Cambria" w:cs="Cambria" w:eastAsia="Cambria" w:hAnsi="Cambria"/>
          <w:b/>
          <w:bCs/>
          <w:color w:val="0B1120"/>
          <w:sz w:val="26"/>
          <w:szCs w:val="26"/>
        </w:rPr>
        <w:t xml:space="preserve">Current Scope and Measurement</w:t>
      </w:r>
    </w:p>
    <w:p>
      <w:pPr>
        <w:spacing w:after="200" w:line="300"/>
        <w:jc w:val="both"/>
      </w:pPr>
      <w:r>
        <w:rPr>
          <w:rFonts w:ascii="Calibri" w:cs="Calibri" w:eastAsia="Calibri" w:hAnsi="Calibri"/>
          <w:b w:val="false"/>
          <w:bCs w:val="false"/>
          <w:i w:val="false"/>
          <w:iCs w:val="false"/>
          <w:color w:val="1A1A1A"/>
          <w:sz w:val="22"/>
          <w:szCs w:val="22"/>
        </w:rPr>
        <w:t xml:space="preserve">CeloHT's reforestation work is at an early stage relative to its education and technical pillars, and this book states that plainly rather than overstating current tree-planting volume or geographic coverage. The organization's stated intention is to track reforestation outcomes with the same rigor applied to its technical and educational metrics, a commitment addressed further in the following chapter on Impact Measurement.</w:t>
      </w:r>
    </w:p>
    <w:p>
      <w:pPr>
        <w:sectPr>
          <w:headerReference w:type="default" r:id="rId61"/>
          <w:footerReference w:type="default" r:id="rId62"/>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28</w:t>
      </w:r>
    </w:p>
    <w:p>
      <w:pPr>
        <w:pStyle w:val="Heading1"/>
        <w:pBdr>
          <w:bottom w:val="single" w:color="0B1120" w:sz="6" w:space="8"/>
        </w:pBdr>
        <w:spacing w:after="260"/>
      </w:pPr>
      <w:r>
        <w:rPr>
          <w:rFonts w:ascii="Cambria" w:cs="Cambria" w:eastAsia="Cambria" w:hAnsi="Cambria"/>
          <w:b/>
          <w:bCs/>
          <w:color w:val="0B1120"/>
          <w:sz w:val="40"/>
          <w:szCs w:val="40"/>
        </w:rPr>
        <w:t xml:space="preserve">Impact Measurement</w:t>
      </w:r>
    </w:p>
    <w:p>
      <w:pPr>
        <w:spacing w:after="200" w:line="300"/>
        <w:jc w:val="both"/>
      </w:pPr>
      <w:r>
        <w:rPr>
          <w:rFonts w:ascii="Calibri" w:cs="Calibri" w:eastAsia="Calibri" w:hAnsi="Calibri"/>
          <w:b w:val="false"/>
          <w:bCs w:val="false"/>
          <w:i/>
          <w:iCs/>
          <w:color w:val="555555"/>
          <w:sz w:val="22"/>
          <w:szCs w:val="22"/>
        </w:rPr>
        <w:t xml:space="preserve">This chapter describes how CeloHT measures and intends to measure the outcomes of its work across all three pillars.</w:t>
      </w:r>
    </w:p>
    <w:p>
      <w:pPr>
        <w:spacing w:after="200" w:line="300"/>
        <w:jc w:val="both"/>
      </w:pPr>
      <w:r>
        <w:rPr>
          <w:rFonts w:ascii="Calibri" w:cs="Calibri" w:eastAsia="Calibri" w:hAnsi="Calibri"/>
          <w:b w:val="false"/>
          <w:bCs w:val="false"/>
          <w:i w:val="false"/>
          <w:iCs w:val="false"/>
          <w:color w:val="1A1A1A"/>
          <w:sz w:val="22"/>
          <w:szCs w:val="22"/>
        </w:rPr>
        <w:t xml:space="preserve">An organization that asks to be judged on evidence rather than hype, as CeloHT does throughout this book, must specify what evidence it tracks. CeloHT's current measurement practice is strongest in areas with the most mature output, namely education and open-source technical work, and is still developing in areas that are earlier-stage, principally the Agent Network and Reforestation pillars.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50"/>
        <w:gridCol w:w="3500"/>
      </w:tblGrid>
      <w:tr>
        <w:trPr>
          <w:tblHeader/>
        </w:trPr>
        <w:tc>
          <w:tcPr>
            <w:tcW w:type="dxa" w:w="220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Pillar</w:t>
            </w:r>
          </w:p>
        </w:tc>
        <w:tc>
          <w:tcPr>
            <w:tcW w:type="dxa" w:w="365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Current Metrics Tracked</w:t>
            </w:r>
          </w:p>
        </w:tc>
        <w:tc>
          <w:tcPr>
            <w:tcW w:type="dxa" w:w="350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Metrics Planned</w:t>
            </w:r>
          </w:p>
        </w:tc>
      </w:tr>
      <w:tr>
        <w:tc>
          <w:tcPr>
            <w:tcW w:type="dxa" w:w="2200"/>
            <w:shd w:fill="FFFFFF" w:val="clear"/>
            <w:tcMar>
              <w:top w:type="dxa" w:w="90"/>
              <w:left w:type="dxa" w:w="140"/>
              <w:bottom w:type="dxa" w:w="90"/>
              <w:right w:type="dxa" w:w="140"/>
            </w:tcMar>
          </w:tcPr>
          <w:p>
            <w:r>
              <w:rPr>
                <w:rFonts w:ascii="Calibri" w:cs="Calibri" w:eastAsia="Calibri" w:hAnsi="Calibri"/>
                <w:color w:val="1A1A1A"/>
                <w:sz w:val="19"/>
                <w:szCs w:val="19"/>
              </w:rPr>
              <w:t xml:space="preserve">Education</w:t>
            </w:r>
          </w:p>
        </w:tc>
        <w:tc>
          <w:tcPr>
            <w:tcW w:type="dxa" w:w="3650"/>
            <w:shd w:fill="FFFFFF" w:val="clear"/>
            <w:tcMar>
              <w:top w:type="dxa" w:w="90"/>
              <w:left w:type="dxa" w:w="140"/>
              <w:bottom w:type="dxa" w:w="90"/>
              <w:right w:type="dxa" w:w="140"/>
            </w:tcMar>
          </w:tcPr>
          <w:p>
            <w:r>
              <w:rPr>
                <w:rFonts w:ascii="Calibri" w:cs="Calibri" w:eastAsia="Calibri" w:hAnsi="Calibri"/>
                <w:color w:val="1A1A1A"/>
                <w:sz w:val="19"/>
                <w:szCs w:val="19"/>
              </w:rPr>
              <w:t xml:space="preserve">Volumes completed, pages published, curriculum topics covered</w:t>
            </w:r>
          </w:p>
        </w:tc>
        <w:tc>
          <w:tcPr>
            <w:tcW w:type="dxa" w:w="3500"/>
            <w:shd w:fill="FFFFFF" w:val="clear"/>
            <w:tcMar>
              <w:top w:type="dxa" w:w="90"/>
              <w:left w:type="dxa" w:w="140"/>
              <w:bottom w:type="dxa" w:w="90"/>
              <w:right w:type="dxa" w:w="140"/>
            </w:tcMar>
          </w:tcPr>
          <w:p>
            <w:r>
              <w:rPr>
                <w:rFonts w:ascii="Calibri" w:cs="Calibri" w:eastAsia="Calibri" w:hAnsi="Calibri"/>
                <w:color w:val="1A1A1A"/>
                <w:sz w:val="19"/>
                <w:szCs w:val="19"/>
              </w:rPr>
              <w:t xml:space="preserve">Learner completion rates, assessment outcomes</w:t>
            </w:r>
          </w:p>
        </w:tc>
      </w:tr>
      <w:tr>
        <w:tc>
          <w:tcPr>
            <w:tcW w:type="dxa" w:w="2200"/>
            <w:shd w:fill="F5F6F8" w:val="clear"/>
            <w:tcMar>
              <w:top w:type="dxa" w:w="90"/>
              <w:left w:type="dxa" w:w="140"/>
              <w:bottom w:type="dxa" w:w="90"/>
              <w:right w:type="dxa" w:w="140"/>
            </w:tcMar>
          </w:tcPr>
          <w:p>
            <w:r>
              <w:rPr>
                <w:rFonts w:ascii="Calibri" w:cs="Calibri" w:eastAsia="Calibri" w:hAnsi="Calibri"/>
                <w:color w:val="1A1A1A"/>
                <w:sz w:val="19"/>
                <w:szCs w:val="19"/>
              </w:rPr>
              <w:t xml:space="preserve">Technical / Open Source</w:t>
            </w:r>
          </w:p>
        </w:tc>
        <w:tc>
          <w:tcPr>
            <w:tcW w:type="dxa" w:w="3650"/>
            <w:shd w:fill="F5F6F8" w:val="clear"/>
            <w:tcMar>
              <w:top w:type="dxa" w:w="90"/>
              <w:left w:type="dxa" w:w="140"/>
              <w:bottom w:type="dxa" w:w="90"/>
              <w:right w:type="dxa" w:w="140"/>
            </w:tcMar>
          </w:tcPr>
          <w:p>
            <w:r>
              <w:rPr>
                <w:rFonts w:ascii="Calibri" w:cs="Calibri" w:eastAsia="Calibri" w:hAnsi="Calibri"/>
                <w:color w:val="1A1A1A"/>
                <w:sz w:val="19"/>
                <w:szCs w:val="19"/>
              </w:rPr>
              <w:t xml:space="preserve">Repository count, documentation completeness, commit activity</w:t>
            </w:r>
          </w:p>
        </w:tc>
        <w:tc>
          <w:tcPr>
            <w:tcW w:type="dxa" w:w="3500"/>
            <w:shd w:fill="F5F6F8" w:val="clear"/>
            <w:tcMar>
              <w:top w:type="dxa" w:w="90"/>
              <w:left w:type="dxa" w:w="140"/>
              <w:bottom w:type="dxa" w:w="90"/>
              <w:right w:type="dxa" w:w="140"/>
            </w:tcMar>
          </w:tcPr>
          <w:p>
            <w:r>
              <w:rPr>
                <w:rFonts w:ascii="Calibri" w:cs="Calibri" w:eastAsia="Calibri" w:hAnsi="Calibri"/>
                <w:color w:val="1A1A1A"/>
                <w:sz w:val="19"/>
                <w:szCs w:val="19"/>
              </w:rPr>
              <w:t xml:space="preserve">External contributor count, security review completion</w:t>
            </w:r>
          </w:p>
        </w:tc>
      </w:tr>
      <w:tr>
        <w:tc>
          <w:tcPr>
            <w:tcW w:type="dxa" w:w="2200"/>
            <w:shd w:fill="FFFFFF" w:val="clear"/>
            <w:tcMar>
              <w:top w:type="dxa" w:w="90"/>
              <w:left w:type="dxa" w:w="140"/>
              <w:bottom w:type="dxa" w:w="90"/>
              <w:right w:type="dxa" w:w="140"/>
            </w:tcMar>
          </w:tcPr>
          <w:p>
            <w:r>
              <w:rPr>
                <w:rFonts w:ascii="Calibri" w:cs="Calibri" w:eastAsia="Calibri" w:hAnsi="Calibri"/>
                <w:color w:val="1A1A1A"/>
                <w:sz w:val="19"/>
                <w:szCs w:val="19"/>
              </w:rPr>
              <w:t xml:space="preserve">Agent Network</w:t>
            </w:r>
          </w:p>
        </w:tc>
        <w:tc>
          <w:tcPr>
            <w:tcW w:type="dxa" w:w="3650"/>
            <w:shd w:fill="FFFFFF" w:val="clear"/>
            <w:tcMar>
              <w:top w:type="dxa" w:w="90"/>
              <w:left w:type="dxa" w:w="140"/>
              <w:bottom w:type="dxa" w:w="90"/>
              <w:right w:type="dxa" w:w="140"/>
            </w:tcMar>
          </w:tcPr>
          <w:p>
            <w:r>
              <w:rPr>
                <w:rFonts w:ascii="Calibri" w:cs="Calibri" w:eastAsia="Calibri" w:hAnsi="Calibri"/>
                <w:color w:val="1A1A1A"/>
                <w:sz w:val="19"/>
                <w:szCs w:val="19"/>
              </w:rPr>
              <w:t xml:space="preserve">Number of active agents onboarded</w:t>
            </w:r>
          </w:p>
        </w:tc>
        <w:tc>
          <w:tcPr>
            <w:tcW w:type="dxa" w:w="3500"/>
            <w:shd w:fill="FFFFFF" w:val="clear"/>
            <w:tcMar>
              <w:top w:type="dxa" w:w="90"/>
              <w:left w:type="dxa" w:w="140"/>
              <w:bottom w:type="dxa" w:w="90"/>
              <w:right w:type="dxa" w:w="140"/>
            </w:tcMar>
          </w:tcPr>
          <w:p>
            <w:r>
              <w:rPr>
                <w:rFonts w:ascii="Calibri" w:cs="Calibri" w:eastAsia="Calibri" w:hAnsi="Calibri"/>
                <w:color w:val="1A1A1A"/>
                <w:sz w:val="19"/>
                <w:szCs w:val="19"/>
              </w:rPr>
              <w:t xml:space="preserve">Households reached per agent, follow-up engagement rates</w:t>
            </w:r>
          </w:p>
        </w:tc>
      </w:tr>
      <w:tr>
        <w:tc>
          <w:tcPr>
            <w:tcW w:type="dxa" w:w="2200"/>
            <w:shd w:fill="F5F6F8" w:val="clear"/>
            <w:tcMar>
              <w:top w:type="dxa" w:w="90"/>
              <w:left w:type="dxa" w:w="140"/>
              <w:bottom w:type="dxa" w:w="90"/>
              <w:right w:type="dxa" w:w="140"/>
            </w:tcMar>
          </w:tcPr>
          <w:p>
            <w:r>
              <w:rPr>
                <w:rFonts w:ascii="Calibri" w:cs="Calibri" w:eastAsia="Calibri" w:hAnsi="Calibri"/>
                <w:color w:val="1A1A1A"/>
                <w:sz w:val="19"/>
                <w:szCs w:val="19"/>
              </w:rPr>
              <w:t xml:space="preserve">Reforestation</w:t>
            </w:r>
          </w:p>
        </w:tc>
        <w:tc>
          <w:tcPr>
            <w:tcW w:type="dxa" w:w="3650"/>
            <w:shd w:fill="F5F6F8" w:val="clear"/>
            <w:tcMar>
              <w:top w:type="dxa" w:w="90"/>
              <w:left w:type="dxa" w:w="140"/>
              <w:bottom w:type="dxa" w:w="90"/>
              <w:right w:type="dxa" w:w="140"/>
            </w:tcMar>
          </w:tcPr>
          <w:p>
            <w:r>
              <w:rPr>
                <w:rFonts w:ascii="Calibri" w:cs="Calibri" w:eastAsia="Calibri" w:hAnsi="Calibri"/>
                <w:color w:val="1A1A1A"/>
                <w:sz w:val="19"/>
                <w:szCs w:val="19"/>
              </w:rPr>
              <w:t xml:space="preserve">Program design and planning status</w:t>
            </w:r>
          </w:p>
        </w:tc>
        <w:tc>
          <w:tcPr>
            <w:tcW w:type="dxa" w:w="3500"/>
            <w:shd w:fill="F5F6F8" w:val="clear"/>
            <w:tcMar>
              <w:top w:type="dxa" w:w="90"/>
              <w:left w:type="dxa" w:w="140"/>
              <w:bottom w:type="dxa" w:w="90"/>
              <w:right w:type="dxa" w:w="140"/>
            </w:tcMar>
          </w:tcPr>
          <w:p>
            <w:r>
              <w:rPr>
                <w:rFonts w:ascii="Calibri" w:cs="Calibri" w:eastAsia="Calibri" w:hAnsi="Calibri"/>
                <w:color w:val="1A1A1A"/>
                <w:sz w:val="19"/>
                <w:szCs w:val="19"/>
              </w:rPr>
              <w:t xml:space="preserve">Trees planted, survival rate, area under stewardship</w:t>
            </w:r>
          </w:p>
        </w:tc>
      </w:tr>
    </w:tbl>
    <w:p>
      <w:pPr>
        <w:spacing w:after="200"/>
      </w:pPr>
    </w:p>
    <w:p>
      <w:pPr>
        <w:spacing w:after="200" w:line="300"/>
        <w:jc w:val="both"/>
      </w:pPr>
      <w:r>
        <w:rPr>
          <w:rFonts w:ascii="Calibri" w:cs="Calibri" w:eastAsia="Calibri" w:hAnsi="Calibri"/>
          <w:b w:val="false"/>
          <w:bCs w:val="false"/>
          <w:i w:val="false"/>
          <w:iCs w:val="false"/>
          <w:color w:val="1A1A1A"/>
          <w:sz w:val="22"/>
          <w:szCs w:val="22"/>
        </w:rPr>
        <w:t xml:space="preserve">This table is presented with its gaps visible rather than filled in with placeholder figures, in keeping with CeloHT's principle of verifying before claiming. Where a metric is described as "planned" rather than "tracked," that distinction is intentional and reflects the organization's actual current capability, not a lack of ambition.</w:t>
      </w:r>
    </w:p>
    <w:p>
      <w:pPr>
        <w:sectPr>
          <w:headerReference w:type="default" r:id="rId63"/>
          <w:footerReference w:type="default" r:id="rId64"/>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29</w:t>
      </w:r>
    </w:p>
    <w:p>
      <w:pPr>
        <w:pStyle w:val="Heading1"/>
        <w:pBdr>
          <w:bottom w:val="single" w:color="0B1120" w:sz="6" w:space="8"/>
        </w:pBdr>
        <w:spacing w:after="260"/>
      </w:pPr>
      <w:r>
        <w:rPr>
          <w:rFonts w:ascii="Cambria" w:cs="Cambria" w:eastAsia="Cambria" w:hAnsi="Cambria"/>
          <w:b/>
          <w:bCs/>
          <w:color w:val="0B1120"/>
          <w:sz w:val="40"/>
          <w:szCs w:val="40"/>
        </w:rPr>
        <w:t xml:space="preserve">Economic Model</w:t>
      </w:r>
    </w:p>
    <w:p>
      <w:pPr>
        <w:spacing w:after="200" w:line="300"/>
        <w:jc w:val="both"/>
      </w:pPr>
      <w:r>
        <w:rPr>
          <w:rFonts w:ascii="Calibri" w:cs="Calibri" w:eastAsia="Calibri" w:hAnsi="Calibri"/>
          <w:b w:val="false"/>
          <w:bCs w:val="false"/>
          <w:i/>
          <w:iCs/>
          <w:color w:val="555555"/>
          <w:sz w:val="22"/>
          <w:szCs w:val="22"/>
        </w:rPr>
        <w:t xml:space="preserve">The chapter that follows explains how CeloHT's activities create economic value without relying on a token or speculative financial instrument.</w:t>
      </w:r>
    </w:p>
    <w:p>
      <w:pPr>
        <w:spacing w:after="200" w:line="300"/>
        <w:jc w:val="both"/>
      </w:pPr>
      <w:r>
        <w:rPr>
          <w:rFonts w:ascii="Calibri" w:cs="Calibri" w:eastAsia="Calibri" w:hAnsi="Calibri"/>
          <w:b w:val="false"/>
          <w:bCs w:val="false"/>
          <w:i w:val="false"/>
          <w:iCs w:val="false"/>
          <w:color w:val="1A1A1A"/>
          <w:sz w:val="22"/>
          <w:szCs w:val="22"/>
        </w:rPr>
        <w:t xml:space="preserve">A recurring question from investors and grant reviewers familiar with the Web3 sector concerns how an organization without a token generates or captures economic value. CeloHT's answer is direct: it does not seek to capture value through a financial instrument it issues, but through the durable capabilities it builds in people and communities, monetized and sustained through channels described in the following chapters on Business Sustainability, Funding Strategy, and Revenue Streams.</w:t>
      </w:r>
    </w:p>
    <w:p>
      <w:pPr>
        <w:pStyle w:val="Heading2"/>
        <w:spacing w:after="140" w:before="260"/>
      </w:pPr>
      <w:r>
        <w:rPr>
          <w:rFonts w:ascii="Cambria" w:cs="Cambria" w:eastAsia="Cambria" w:hAnsi="Cambria"/>
          <w:b/>
          <w:bCs/>
          <w:color w:val="0B1120"/>
          <w:sz w:val="26"/>
          <w:szCs w:val="26"/>
        </w:rPr>
        <w:t xml:space="preserve">Value Creation Without Token Issuance</w:t>
      </w:r>
    </w:p>
    <w:p>
      <w:pPr>
        <w:spacing w:after="200" w:line="300"/>
        <w:jc w:val="both"/>
      </w:pPr>
      <w:r>
        <w:rPr>
          <w:rFonts w:ascii="Calibri" w:cs="Calibri" w:eastAsia="Calibri" w:hAnsi="Calibri"/>
          <w:b w:val="false"/>
          <w:bCs w:val="false"/>
          <w:i w:val="false"/>
          <w:iCs w:val="false"/>
          <w:color w:val="1A1A1A"/>
          <w:sz w:val="22"/>
          <w:szCs w:val="22"/>
        </w:rPr>
        <w:t xml:space="preserve">CeloHT creates value in three observable forms: educational capital, in the form of financial and technical literacy that participants retain and apply regardless of which specific tools they use afterward; technical capital, in the form of open-source infrastructure that reduces the cost for future builders, in Haiti and elsewhere, to develop similar tools; and network capital, in the form of the trust relationships built through the Agent Network, which have value independent of any single transaction.</w:t>
      </w:r>
    </w:p>
    <w:p>
      <w:pPr>
        <w:pStyle w:val="Heading2"/>
        <w:spacing w:after="140" w:before="260"/>
      </w:pPr>
      <w:r>
        <w:rPr>
          <w:rFonts w:ascii="Cambria" w:cs="Cambria" w:eastAsia="Cambria" w:hAnsi="Cambria"/>
          <w:b/>
          <w:bCs/>
          <w:color w:val="0B1120"/>
          <w:sz w:val="26"/>
          <w:szCs w:val="26"/>
        </w:rPr>
        <w:t xml:space="preserve">Relationship to FreClean</w:t>
      </w:r>
    </w:p>
    <w:p>
      <w:pPr>
        <w:spacing w:after="200" w:line="300"/>
        <w:jc w:val="both"/>
      </w:pPr>
      <w:r>
        <w:rPr>
          <w:rFonts w:ascii="Calibri" w:cs="Calibri" w:eastAsia="Calibri" w:hAnsi="Calibri"/>
          <w:b w:val="false"/>
          <w:bCs w:val="false"/>
          <w:i w:val="false"/>
          <w:iCs w:val="false"/>
          <w:color w:val="1A1A1A"/>
          <w:sz w:val="22"/>
          <w:szCs w:val="22"/>
        </w:rPr>
        <w:t xml:space="preserve">CeloHT's economic model is also informed by its relationship to FreClean, discussed in the chapter on Organizational Structure. FreClean generates direct commercial revenue through cleaning services, and a portion of that revenue and operational learning supports CeloHT's development, giving the broader Dubic-led venture ecosystem a revenue-generating component alongside its grant-and-donation-funded education and infrastructure work.</w:t>
      </w:r>
    </w:p>
    <w:p>
      <w:pPr>
        <w:pBdr>
          <w:left w:val="single" w:color="F5C842" w:sz="24" w:space="12"/>
        </w:pBdr>
        <w:spacing w:after="240" w:before="240"/>
        <w:ind w:left="500" w:right="500"/>
      </w:pPr>
      <w:r>
        <w:rPr>
          <w:rFonts w:ascii="Cambria" w:cs="Cambria" w:eastAsia="Cambria" w:hAnsi="Cambria"/>
          <w:i/>
          <w:iCs/>
          <w:color w:val="0B1120"/>
          <w:sz w:val="24"/>
          <w:szCs w:val="24"/>
        </w:rPr>
        <w:t xml:space="preserve">"Our value is not a coin. It is what a person can do after they finish one of our courses, and what a developer can build on top of code we have already written."</w:t>
      </w:r>
    </w:p>
    <w:p>
      <w:pPr>
        <w:sectPr>
          <w:headerReference w:type="default" r:id="rId65"/>
          <w:footerReference w:type="default" r:id="rId66"/>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30</w:t>
      </w:r>
    </w:p>
    <w:p>
      <w:pPr>
        <w:pStyle w:val="Heading1"/>
        <w:pBdr>
          <w:bottom w:val="single" w:color="0B1120" w:sz="6" w:space="8"/>
        </w:pBdr>
        <w:spacing w:after="260"/>
      </w:pPr>
      <w:r>
        <w:rPr>
          <w:rFonts w:ascii="Cambria" w:cs="Cambria" w:eastAsia="Cambria" w:hAnsi="Cambria"/>
          <w:b/>
          <w:bCs/>
          <w:color w:val="0B1120"/>
          <w:sz w:val="40"/>
          <w:szCs w:val="40"/>
        </w:rPr>
        <w:t xml:space="preserve">Business Sustainability</w:t>
      </w:r>
    </w:p>
    <w:p>
      <w:pPr>
        <w:spacing w:after="200" w:line="300"/>
        <w:jc w:val="both"/>
      </w:pPr>
      <w:r>
        <w:rPr>
          <w:rFonts w:ascii="Calibri" w:cs="Calibri" w:eastAsia="Calibri" w:hAnsi="Calibri"/>
          <w:b w:val="false"/>
          <w:bCs w:val="false"/>
          <w:i/>
          <w:iCs/>
          <w:color w:val="555555"/>
          <w:sz w:val="22"/>
          <w:szCs w:val="22"/>
        </w:rPr>
        <w:t xml:space="preserve">This section explains how CeloHT intends to sustain its operations beyond initial grants or donations.</w:t>
      </w:r>
    </w:p>
    <w:p>
      <w:pPr>
        <w:spacing w:after="200" w:line="300"/>
        <w:jc w:val="both"/>
      </w:pPr>
      <w:r>
        <w:rPr>
          <w:rFonts w:ascii="Calibri" w:cs="Calibri" w:eastAsia="Calibri" w:hAnsi="Calibri"/>
          <w:b w:val="false"/>
          <w:bCs w:val="false"/>
          <w:i w:val="false"/>
          <w:iCs w:val="false"/>
          <w:color w:val="1A1A1A"/>
          <w:sz w:val="22"/>
          <w:szCs w:val="22"/>
        </w:rPr>
        <w:t xml:space="preserve">Sustainability is among the most common questions grant committees and impact investors direct at community-driven, open-source initiatives, and for good reason: development history is full of programs that performed well during a funded pilot period and disappeared once that funding ended. CeloHT's approach to this question is to diversify the foundations of sustainability across several channels rather than relying on any single one.</w:t>
      </w:r>
    </w:p>
    <w:p>
      <w:pPr>
        <w:pStyle w:val="Heading2"/>
        <w:spacing w:after="140" w:before="260"/>
      </w:pPr>
      <w:r>
        <w:rPr>
          <w:rFonts w:ascii="Cambria" w:cs="Cambria" w:eastAsia="Cambria" w:hAnsi="Cambria"/>
          <w:b/>
          <w:bCs/>
          <w:color w:val="0B1120"/>
          <w:sz w:val="26"/>
          <w:szCs w:val="26"/>
        </w:rPr>
        <w:t xml:space="preserve">Diversified Foundations, Not a Single Formula</w:t>
      </w:r>
    </w:p>
    <w:p>
      <w:pPr>
        <w:spacing w:after="200" w:line="300"/>
        <w:jc w:val="both"/>
      </w:pPr>
      <w:r>
        <w:rPr>
          <w:rFonts w:ascii="Calibri" w:cs="Calibri" w:eastAsia="Calibri" w:hAnsi="Calibri"/>
          <w:b w:val="false"/>
          <w:bCs w:val="false"/>
          <w:i w:val="false"/>
          <w:iCs w:val="false"/>
          <w:color w:val="1A1A1A"/>
          <w:sz w:val="22"/>
          <w:szCs w:val="22"/>
        </w:rPr>
        <w:t xml:space="preserve">CeloHT does not present a single revenue formula as the answer to sustainability, because no early-stage organization in its position can credibly claim to have solved that problem completely. Instead, sustainability rests on four foundations described across this and the following two chapters: grant and donation funding tied to specific, auditable deliverables; a modest and growing set of revenue streams described in the next chapter; the operational cross-support relationship with FreClean; and the durability of open-source infrastructure, which continues to provide value to the community even during periods of funding uncertainty, since published code and completed educational volumes do not disappear when a grant cycle ends.</w:t>
      </w:r>
    </w:p>
    <w:p>
      <w:pPr>
        <w:pStyle w:val="Heading2"/>
        <w:spacing w:after="140" w:before="260"/>
      </w:pPr>
      <w:r>
        <w:rPr>
          <w:rFonts w:ascii="Cambria" w:cs="Cambria" w:eastAsia="Cambria" w:hAnsi="Cambria"/>
          <w:b/>
          <w:bCs/>
          <w:color w:val="0B1120"/>
          <w:sz w:val="26"/>
          <w:szCs w:val="26"/>
        </w:rPr>
        <w:t xml:space="preserve">Cost Discipline as a Sustainability Strategy</w:t>
      </w:r>
    </w:p>
    <w:p>
      <w:pPr>
        <w:spacing w:after="200" w:line="300"/>
        <w:jc w:val="both"/>
      </w:pPr>
      <w:r>
        <w:rPr>
          <w:rFonts w:ascii="Calibri" w:cs="Calibri" w:eastAsia="Calibri" w:hAnsi="Calibri"/>
          <w:b w:val="false"/>
          <w:bCs w:val="false"/>
          <w:i w:val="false"/>
          <w:iCs w:val="false"/>
          <w:color w:val="1A1A1A"/>
          <w:sz w:val="22"/>
          <w:szCs w:val="22"/>
        </w:rPr>
        <w:t xml:space="preserve">A significant part of CeloHT's sustainability strategy is simply cost discipline. By integrating with existing infrastructure such as Valora and USDm rather than building and maintaining proprietary alternatives, and by relying on a lean, founder-led team supplemented by open-source contributors rather than a large paid staff, CeloHT's operating costs remain modest relative to organizations attempting to build equivalent infrastructure from the ground up.</w:t>
      </w:r>
    </w:p>
    <w:p>
      <w:pPr>
        <w:sectPr>
          <w:headerReference w:type="default" r:id="rId67"/>
          <w:footerReference w:type="default" r:id="rId68"/>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31</w:t>
      </w:r>
    </w:p>
    <w:p>
      <w:pPr>
        <w:pStyle w:val="Heading1"/>
        <w:pBdr>
          <w:bottom w:val="single" w:color="0B1120" w:sz="6" w:space="8"/>
        </w:pBdr>
        <w:spacing w:after="260"/>
      </w:pPr>
      <w:r>
        <w:rPr>
          <w:rFonts w:ascii="Cambria" w:cs="Cambria" w:eastAsia="Cambria" w:hAnsi="Cambria"/>
          <w:b/>
          <w:bCs/>
          <w:color w:val="0B1120"/>
          <w:sz w:val="40"/>
          <w:szCs w:val="40"/>
        </w:rPr>
        <w:t xml:space="preserve">Funding Strategy</w:t>
      </w:r>
    </w:p>
    <w:p>
      <w:pPr>
        <w:spacing w:after="200" w:line="300"/>
        <w:jc w:val="both"/>
      </w:pPr>
      <w:r>
        <w:rPr>
          <w:rFonts w:ascii="Calibri" w:cs="Calibri" w:eastAsia="Calibri" w:hAnsi="Calibri"/>
          <w:b w:val="false"/>
          <w:bCs w:val="false"/>
          <w:i/>
          <w:iCs/>
          <w:color w:val="555555"/>
          <w:sz w:val="22"/>
          <w:szCs w:val="22"/>
        </w:rPr>
        <w:t xml:space="preserve">The discussion here describes the categories of funding CeloHT pursues and how each is matched to a specific stage of the organization's work.</w:t>
      </w:r>
    </w:p>
    <w:p>
      <w:pPr>
        <w:spacing w:after="200" w:line="300"/>
        <w:jc w:val="both"/>
      </w:pPr>
      <w:r>
        <w:rPr>
          <w:rFonts w:ascii="Calibri" w:cs="Calibri" w:eastAsia="Calibri" w:hAnsi="Calibri"/>
          <w:b w:val="false"/>
          <w:bCs w:val="false"/>
          <w:i w:val="false"/>
          <w:iCs w:val="false"/>
          <w:color w:val="1A1A1A"/>
          <w:sz w:val="22"/>
          <w:szCs w:val="22"/>
        </w:rPr>
        <w:t xml:space="preserve">CeloHT's funding strategy distinguishes between three categories of capital, each suited to a different kind of work and carrying different expectations for reporting and use.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3350"/>
        <w:gridCol w:w="2400"/>
      </w:tblGrid>
      <w:tr>
        <w:trPr>
          <w:tblHeader/>
        </w:trPr>
        <w:tc>
          <w:tcPr>
            <w:tcW w:type="dxa" w:w="360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Funding Type</w:t>
            </w:r>
          </w:p>
        </w:tc>
        <w:tc>
          <w:tcPr>
            <w:tcW w:type="dxa" w:w="335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Best Suited To</w:t>
            </w:r>
          </w:p>
        </w:tc>
        <w:tc>
          <w:tcPr>
            <w:tcW w:type="dxa" w:w="240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Reporting Expectation</w:t>
            </w:r>
          </w:p>
        </w:tc>
      </w:tr>
      <w:tr>
        <w:tc>
          <w:tcPr>
            <w:tcW w:type="dxa" w:w="3600"/>
            <w:shd w:fill="FFFFFF" w:val="clear"/>
            <w:tcMar>
              <w:top w:type="dxa" w:w="90"/>
              <w:left w:type="dxa" w:w="140"/>
              <w:bottom w:type="dxa" w:w="90"/>
              <w:right w:type="dxa" w:w="140"/>
            </w:tcMar>
          </w:tcPr>
          <w:p>
            <w:r>
              <w:rPr>
                <w:rFonts w:ascii="Calibri" w:cs="Calibri" w:eastAsia="Calibri" w:hAnsi="Calibri"/>
                <w:color w:val="1A1A1A"/>
                <w:sz w:val="19"/>
                <w:szCs w:val="19"/>
              </w:rPr>
              <w:t xml:space="preserve">Grants (foundations, DAOs, development agencies)</w:t>
            </w:r>
          </w:p>
        </w:tc>
        <w:tc>
          <w:tcPr>
            <w:tcW w:type="dxa" w:w="3350"/>
            <w:shd w:fill="FFFFFF" w:val="clear"/>
            <w:tcMar>
              <w:top w:type="dxa" w:w="90"/>
              <w:left w:type="dxa" w:w="140"/>
              <w:bottom w:type="dxa" w:w="90"/>
              <w:right w:type="dxa" w:w="140"/>
            </w:tcMar>
          </w:tcPr>
          <w:p>
            <w:r>
              <w:rPr>
                <w:rFonts w:ascii="Calibri" w:cs="Calibri" w:eastAsia="Calibri" w:hAnsi="Calibri"/>
                <w:color w:val="1A1A1A"/>
                <w:sz w:val="19"/>
                <w:szCs w:val="19"/>
              </w:rPr>
              <w:t xml:space="preserve">Discrete deliverables: documentation, specific curriculum volumes, technical audits</w:t>
            </w:r>
          </w:p>
        </w:tc>
        <w:tc>
          <w:tcPr>
            <w:tcW w:type="dxa" w:w="2400"/>
            <w:shd w:fill="FFFFFF" w:val="clear"/>
            <w:tcMar>
              <w:top w:type="dxa" w:w="90"/>
              <w:left w:type="dxa" w:w="140"/>
              <w:bottom w:type="dxa" w:w="90"/>
              <w:right w:type="dxa" w:w="140"/>
            </w:tcMar>
          </w:tcPr>
          <w:p>
            <w:r>
              <w:rPr>
                <w:rFonts w:ascii="Calibri" w:cs="Calibri" w:eastAsia="Calibri" w:hAnsi="Calibri"/>
                <w:color w:val="1A1A1A"/>
                <w:sz w:val="19"/>
                <w:szCs w:val="19"/>
              </w:rPr>
              <w:t xml:space="preserve">Deliverable-specific reporting tied to grant terms</w:t>
            </w:r>
          </w:p>
        </w:tc>
      </w:tr>
      <w:tr>
        <w:tc>
          <w:tcPr>
            <w:tcW w:type="dxa" w:w="3600"/>
            <w:shd w:fill="F5F6F8" w:val="clear"/>
            <w:tcMar>
              <w:top w:type="dxa" w:w="90"/>
              <w:left w:type="dxa" w:w="140"/>
              <w:bottom w:type="dxa" w:w="90"/>
              <w:right w:type="dxa" w:w="140"/>
            </w:tcMar>
          </w:tcPr>
          <w:p>
            <w:r>
              <w:rPr>
                <w:rFonts w:ascii="Calibri" w:cs="Calibri" w:eastAsia="Calibri" w:hAnsi="Calibri"/>
                <w:color w:val="1A1A1A"/>
                <w:sz w:val="19"/>
                <w:szCs w:val="19"/>
              </w:rPr>
              <w:t xml:space="preserve">Philanthropic donations</w:t>
            </w:r>
          </w:p>
        </w:tc>
        <w:tc>
          <w:tcPr>
            <w:tcW w:type="dxa" w:w="3350"/>
            <w:shd w:fill="F5F6F8" w:val="clear"/>
            <w:tcMar>
              <w:top w:type="dxa" w:w="90"/>
              <w:left w:type="dxa" w:w="140"/>
              <w:bottom w:type="dxa" w:w="90"/>
              <w:right w:type="dxa" w:w="140"/>
            </w:tcMar>
          </w:tcPr>
          <w:p>
            <w:r>
              <w:rPr>
                <w:rFonts w:ascii="Calibri" w:cs="Calibri" w:eastAsia="Calibri" w:hAnsi="Calibri"/>
                <w:color w:val="1A1A1A"/>
                <w:sz w:val="19"/>
                <w:szCs w:val="19"/>
              </w:rPr>
              <w:t xml:space="preserve">General operating support and reforestation program funding</w:t>
            </w:r>
          </w:p>
        </w:tc>
        <w:tc>
          <w:tcPr>
            <w:tcW w:type="dxa" w:w="2400"/>
            <w:shd w:fill="F5F6F8" w:val="clear"/>
            <w:tcMar>
              <w:top w:type="dxa" w:w="90"/>
              <w:left w:type="dxa" w:w="140"/>
              <w:bottom w:type="dxa" w:w="90"/>
              <w:right w:type="dxa" w:w="140"/>
            </w:tcMar>
          </w:tcPr>
          <w:p>
            <w:r>
              <w:rPr>
                <w:rFonts w:ascii="Calibri" w:cs="Calibri" w:eastAsia="Calibri" w:hAnsi="Calibri"/>
                <w:color w:val="1A1A1A"/>
                <w:sz w:val="19"/>
                <w:szCs w:val="19"/>
              </w:rPr>
              <w:t xml:space="preserve">Aggregate public reporting on program outcomes</w:t>
            </w:r>
          </w:p>
        </w:tc>
      </w:tr>
      <w:tr>
        <w:tc>
          <w:tcPr>
            <w:tcW w:type="dxa" w:w="3600"/>
            <w:shd w:fill="FFFFFF" w:val="clear"/>
            <w:tcMar>
              <w:top w:type="dxa" w:w="90"/>
              <w:left w:type="dxa" w:w="140"/>
              <w:bottom w:type="dxa" w:w="90"/>
              <w:right w:type="dxa" w:w="140"/>
            </w:tcMar>
          </w:tcPr>
          <w:p>
            <w:r>
              <w:rPr>
                <w:rFonts w:ascii="Calibri" w:cs="Calibri" w:eastAsia="Calibri" w:hAnsi="Calibri"/>
                <w:color w:val="1A1A1A"/>
                <w:sz w:val="19"/>
                <w:szCs w:val="19"/>
              </w:rPr>
              <w:t xml:space="preserve">Investment or partnership capital</w:t>
            </w:r>
          </w:p>
        </w:tc>
        <w:tc>
          <w:tcPr>
            <w:tcW w:type="dxa" w:w="3350"/>
            <w:shd w:fill="FFFFFF" w:val="clear"/>
            <w:tcMar>
              <w:top w:type="dxa" w:w="90"/>
              <w:left w:type="dxa" w:w="140"/>
              <w:bottom w:type="dxa" w:w="90"/>
              <w:right w:type="dxa" w:w="140"/>
            </w:tcMar>
          </w:tcPr>
          <w:p>
            <w:r>
              <w:rPr>
                <w:rFonts w:ascii="Calibri" w:cs="Calibri" w:eastAsia="Calibri" w:hAnsi="Calibri"/>
                <w:color w:val="1A1A1A"/>
                <w:sz w:val="19"/>
                <w:szCs w:val="19"/>
              </w:rPr>
              <w:t xml:space="preserve">Scaling proven components: Agent Network expansion, dApp mainnet development</w:t>
            </w:r>
          </w:p>
        </w:tc>
        <w:tc>
          <w:tcPr>
            <w:tcW w:type="dxa" w:w="2400"/>
            <w:shd w:fill="FFFFFF" w:val="clear"/>
            <w:tcMar>
              <w:top w:type="dxa" w:w="90"/>
              <w:left w:type="dxa" w:w="140"/>
              <w:bottom w:type="dxa" w:w="90"/>
              <w:right w:type="dxa" w:w="140"/>
            </w:tcMar>
          </w:tcPr>
          <w:p>
            <w:r>
              <w:rPr>
                <w:rFonts w:ascii="Calibri" w:cs="Calibri" w:eastAsia="Calibri" w:hAnsi="Calibri"/>
                <w:color w:val="1A1A1A"/>
                <w:sz w:val="19"/>
                <w:szCs w:val="19"/>
              </w:rPr>
              <w:t xml:space="preserve">Standard investor reporting, including the disclosures described in Institutional Readiness</w:t>
            </w:r>
          </w:p>
        </w:tc>
      </w:tr>
    </w:tbl>
    <w:p>
      <w:pPr>
        <w:spacing w:after="200"/>
      </w:pPr>
    </w:p>
    <w:p>
      <w:pPr>
        <w:spacing w:after="200" w:line="300"/>
        <w:jc w:val="both"/>
      </w:pPr>
      <w:r>
        <w:rPr>
          <w:rFonts w:ascii="Calibri" w:cs="Calibri" w:eastAsia="Calibri" w:hAnsi="Calibri"/>
          <w:b w:val="false"/>
          <w:bCs w:val="false"/>
          <w:i w:val="false"/>
          <w:iCs w:val="false"/>
          <w:color w:val="1A1A1A"/>
          <w:sz w:val="22"/>
          <w:szCs w:val="22"/>
        </w:rPr>
        <w:t xml:space="preserve">This categorization is not merely administrative. It reflects a view that different funders have different legitimate expectations, and that matching the right funding type to the right activity produces better outcomes than treating all incoming capital as fungible general support. A grant intended for documentation work, for instance, is tracked and reported against that specific purpose, following the segregation-of-purpose principle described in the chapter on Treasury Principles.</w:t>
      </w:r>
    </w:p>
    <w:p>
      <w:pPr>
        <w:sectPr>
          <w:headerReference w:type="default" r:id="rId69"/>
          <w:footerReference w:type="default" r:id="rId70"/>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32</w:t>
      </w:r>
    </w:p>
    <w:p>
      <w:pPr>
        <w:pStyle w:val="Heading1"/>
        <w:pBdr>
          <w:bottom w:val="single" w:color="0B1120" w:sz="6" w:space="8"/>
        </w:pBdr>
        <w:spacing w:after="260"/>
      </w:pPr>
      <w:r>
        <w:rPr>
          <w:rFonts w:ascii="Cambria" w:cs="Cambria" w:eastAsia="Cambria" w:hAnsi="Cambria"/>
          <w:b/>
          <w:bCs/>
          <w:color w:val="0B1120"/>
          <w:sz w:val="40"/>
          <w:szCs w:val="40"/>
        </w:rPr>
        <w:t xml:space="preserve">Revenue Streams</w:t>
      </w:r>
    </w:p>
    <w:p>
      <w:pPr>
        <w:spacing w:after="200" w:line="300"/>
        <w:jc w:val="both"/>
      </w:pPr>
      <w:r>
        <w:rPr>
          <w:rFonts w:ascii="Calibri" w:cs="Calibri" w:eastAsia="Calibri" w:hAnsi="Calibri"/>
          <w:b w:val="false"/>
          <w:bCs w:val="false"/>
          <w:i/>
          <w:iCs/>
          <w:color w:val="555555"/>
          <w:sz w:val="22"/>
          <w:szCs w:val="22"/>
        </w:rPr>
        <w:t xml:space="preserve">This chapter identifies CeloHT's current and prospective revenue sources, stated at their actual current scale.</w:t>
      </w:r>
    </w:p>
    <w:p>
      <w:pPr>
        <w:spacing w:after="200" w:line="300"/>
        <w:jc w:val="both"/>
      </w:pPr>
      <w:r>
        <w:rPr>
          <w:rFonts w:ascii="Calibri" w:cs="Calibri" w:eastAsia="Calibri" w:hAnsi="Calibri"/>
          <w:b w:val="false"/>
          <w:bCs w:val="false"/>
          <w:i w:val="false"/>
          <w:iCs w:val="false"/>
          <w:color w:val="1A1A1A"/>
          <w:sz w:val="22"/>
          <w:szCs w:val="22"/>
        </w:rPr>
        <w:t xml:space="preserve">Consistent with CeloHT's commitment to precision over promotion, this chapter distinguishes clearly between revenue streams that are active today, even at modest scale, and those that remain prospective.</w:t>
      </w:r>
    </w:p>
    <w:p>
      <w:pPr>
        <w:pStyle w:val="Heading2"/>
        <w:spacing w:after="140" w:before="260"/>
      </w:pPr>
      <w:r>
        <w:rPr>
          <w:rFonts w:ascii="Cambria" w:cs="Cambria" w:eastAsia="Cambria" w:hAnsi="Cambria"/>
          <w:b/>
          <w:bCs/>
          <w:color w:val="0B1120"/>
          <w:sz w:val="26"/>
          <w:szCs w:val="26"/>
        </w:rPr>
        <w:t xml:space="preserve">Active or Near-Term Streams</w:t>
      </w:r>
    </w:p>
    <w:p>
      <w:pPr>
        <w:spacing w:after="200" w:line="300"/>
        <w:jc w:val="both"/>
      </w:pPr>
      <w:r>
        <w:rPr>
          <w:rFonts w:ascii="Calibri" w:cs="Calibri" w:eastAsia="Calibri" w:hAnsi="Calibri"/>
          <w:b w:val="false"/>
          <w:bCs w:val="false"/>
          <w:i w:val="false"/>
          <w:iCs w:val="false"/>
          <w:color w:val="1A1A1A"/>
          <w:sz w:val="22"/>
          <w:szCs w:val="22"/>
        </w:rPr>
        <w:t xml:space="preserve">CeloHT's most direct near-term revenue opportunity lies in premium or certificate-bearing versions of its educational content, offered alongside freely available core materials, a model consistent with the organization's belief that foundational financial literacy should remain accessible while specialized or credentialed training can reasonably carry a cost. FreClean's cleaning-services revenue, while a separate entity, also functions as an indirect support mechanism through the cross-venture relationship described in the chapter on Organizational Structure.</w:t>
      </w:r>
    </w:p>
    <w:p>
      <w:pPr>
        <w:pStyle w:val="Heading2"/>
        <w:spacing w:after="140" w:before="260"/>
      </w:pPr>
      <w:r>
        <w:rPr>
          <w:rFonts w:ascii="Cambria" w:cs="Cambria" w:eastAsia="Cambria" w:hAnsi="Cambria"/>
          <w:b/>
          <w:bCs/>
          <w:color w:val="0B1120"/>
          <w:sz w:val="26"/>
          <w:szCs w:val="26"/>
        </w:rPr>
        <w:t xml:space="preserve">Prospective Streams</w:t>
      </w:r>
    </w:p>
    <w:p>
      <w:pPr>
        <w:spacing w:after="200" w:line="300"/>
        <w:jc w:val="both"/>
      </w:pPr>
      <w:r>
        <w:rPr>
          <w:rFonts w:ascii="Calibri" w:cs="Calibri" w:eastAsia="Calibri" w:hAnsi="Calibri"/>
          <w:b w:val="false"/>
          <w:bCs w:val="false"/>
          <w:i w:val="false"/>
          <w:iCs w:val="false"/>
          <w:color w:val="1A1A1A"/>
          <w:sz w:val="22"/>
          <w:szCs w:val="22"/>
        </w:rPr>
        <w:t xml:space="preserve">Longer-term prospective revenue includes licensing or consulting arrangements in which CeloHT's documentation methodology and curriculum framework are adapted for other Caribbean markets facing similar language and access barriers, and potential fee-based services connected to the Agent Network as it matures, such as paid onboarding support for partner organizations seeking to reach the same communities CeloHT already serves. Neither stream generates meaningful revenue today, and this book states that directly rather than presenting early-stage exploration as an established business line.</w:t>
      </w:r>
    </w:p>
    <w:p>
      <w:pPr>
        <w:sectPr>
          <w:headerReference w:type="default" r:id="rId71"/>
          <w:footerReference w:type="default" r:id="rId72"/>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33</w:t>
      </w:r>
    </w:p>
    <w:p>
      <w:pPr>
        <w:pStyle w:val="Heading1"/>
        <w:pBdr>
          <w:bottom w:val="single" w:color="0B1120" w:sz="6" w:space="8"/>
        </w:pBdr>
        <w:spacing w:after="260"/>
      </w:pPr>
      <w:r>
        <w:rPr>
          <w:rFonts w:ascii="Cambria" w:cs="Cambria" w:eastAsia="Cambria" w:hAnsi="Cambria"/>
          <w:b/>
          <w:bCs/>
          <w:color w:val="0B1120"/>
          <w:sz w:val="40"/>
          <w:szCs w:val="40"/>
        </w:rPr>
        <w:t xml:space="preserve">Strategic Partnerships</w:t>
      </w:r>
    </w:p>
    <w:p>
      <w:pPr>
        <w:spacing w:after="200" w:line="300"/>
        <w:jc w:val="both"/>
      </w:pPr>
      <w:r>
        <w:rPr>
          <w:rFonts w:ascii="Calibri" w:cs="Calibri" w:eastAsia="Calibri" w:hAnsi="Calibri"/>
          <w:b w:val="false"/>
          <w:bCs w:val="false"/>
          <w:i/>
          <w:iCs/>
          <w:color w:val="555555"/>
          <w:sz w:val="22"/>
          <w:szCs w:val="22"/>
        </w:rPr>
        <w:t xml:space="preserve">The chapter that follows describes the kinds of partnerships CeloHT seeks and the governance safeguards applied to them.</w:t>
      </w:r>
    </w:p>
    <w:p>
      <w:pPr>
        <w:spacing w:after="200" w:line="300"/>
        <w:jc w:val="both"/>
      </w:pPr>
      <w:r>
        <w:rPr>
          <w:rFonts w:ascii="Calibri" w:cs="Calibri" w:eastAsia="Calibri" w:hAnsi="Calibri"/>
          <w:b w:val="false"/>
          <w:bCs w:val="false"/>
          <w:i w:val="false"/>
          <w:iCs w:val="false"/>
          <w:color w:val="1A1A1A"/>
          <w:sz w:val="22"/>
          <w:szCs w:val="22"/>
        </w:rPr>
        <w:t xml:space="preserve">CeloHT approaches partnerships as instruments for extending specific capabilities the organization does not intend to build internally, rather than as generic endorsements sought for credibility alone. Priority partnership categories include established Celo-ecosystem organizations capable of providing technical review and mainnet-deployment guidance, development-sector institutions such as grant-making foundations and NGOs with distribution networks already active in Haiti, and educational institutions that could integrate CeloHT Academy materials into existing programs.</w:t>
      </w:r>
    </w:p>
    <w:p>
      <w:pPr>
        <w:pStyle w:val="Heading2"/>
        <w:spacing w:after="140" w:before="260"/>
      </w:pPr>
      <w:r>
        <w:rPr>
          <w:rFonts w:ascii="Cambria" w:cs="Cambria" w:eastAsia="Cambria" w:hAnsi="Cambria"/>
          <w:b/>
          <w:bCs/>
          <w:color w:val="0B1120"/>
          <w:sz w:val="26"/>
          <w:szCs w:val="26"/>
        </w:rPr>
        <w:t xml:space="preserve">Managing the FreClean Relationship</w:t>
      </w:r>
    </w:p>
    <w:p>
      <w:pPr>
        <w:spacing w:after="200" w:line="300"/>
        <w:jc w:val="both"/>
      </w:pPr>
      <w:r>
        <w:rPr>
          <w:rFonts w:ascii="Calibri" w:cs="Calibri" w:eastAsia="Calibri" w:hAnsi="Calibri"/>
          <w:b w:val="false"/>
          <w:bCs w:val="false"/>
          <w:i w:val="false"/>
          <w:iCs w:val="false"/>
          <w:color w:val="1A1A1A"/>
          <w:sz w:val="22"/>
          <w:szCs w:val="22"/>
        </w:rPr>
        <w:t xml:space="preserve">Because CeloHT and FreClean share a founder, the organization has adopted a specific governance instrument, documented in a dedicated PARTNERSHIPS.md file within the governance repository, to disclose and manage this relationship as a conflict-of-interest matter rather than leaving it unaddressed. This document specifies how transactions or resource-sharing between the two ventures are disclosed, ensuring that CeloHT's community and funders have visibility into a relationship that could otherwise raise reasonable questions if left unexplained.</w:t>
      </w:r>
    </w:p>
    <w:p>
      <w:pPr>
        <w:pStyle w:val="Heading2"/>
        <w:spacing w:after="140" w:before="260"/>
      </w:pPr>
      <w:r>
        <w:rPr>
          <w:rFonts w:ascii="Cambria" w:cs="Cambria" w:eastAsia="Cambria" w:hAnsi="Cambria"/>
          <w:b/>
          <w:bCs/>
          <w:color w:val="0B1120"/>
          <w:sz w:val="26"/>
          <w:szCs w:val="26"/>
        </w:rPr>
        <w:t xml:space="preserve">Partnership Evaluation Criteria</w:t>
      </w:r>
    </w:p>
    <w:p>
      <w:pPr>
        <w:spacing w:after="200" w:line="300"/>
        <w:jc w:val="both"/>
      </w:pPr>
      <w:r>
        <w:rPr>
          <w:rFonts w:ascii="Calibri" w:cs="Calibri" w:eastAsia="Calibri" w:hAnsi="Calibri"/>
          <w:b w:val="false"/>
          <w:bCs w:val="false"/>
          <w:i w:val="false"/>
          <w:iCs w:val="false"/>
          <w:color w:val="1A1A1A"/>
          <w:sz w:val="22"/>
          <w:szCs w:val="22"/>
        </w:rPr>
        <w:t xml:space="preserve">Prospective partnerships are evaluated against three questions: does the partnership advance a capability described in this book's roadmap; is the partner's own conduct consistent with CeloHT's transparency and no-token principles; and does the partnership create any dependency that would compromise CeloHT's ability to operate independently if the relationship ended. A partnership that fails any of these tests is not pursued, regardless of the resources it might bring.</w:t>
      </w:r>
    </w:p>
    <w:p>
      <w:pPr>
        <w:sectPr>
          <w:headerReference w:type="default" r:id="rId73"/>
          <w:footerReference w:type="default" r:id="rId74"/>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34</w:t>
      </w:r>
    </w:p>
    <w:p>
      <w:pPr>
        <w:pStyle w:val="Heading1"/>
        <w:pBdr>
          <w:bottom w:val="single" w:color="0B1120" w:sz="6" w:space="8"/>
        </w:pBdr>
        <w:spacing w:after="260"/>
      </w:pPr>
      <w:r>
        <w:rPr>
          <w:rFonts w:ascii="Cambria" w:cs="Cambria" w:eastAsia="Cambria" w:hAnsi="Cambria"/>
          <w:b/>
          <w:bCs/>
          <w:color w:val="0B1120"/>
          <w:sz w:val="40"/>
          <w:szCs w:val="40"/>
        </w:rPr>
        <w:t xml:space="preserve">Developer Ecosystem</w:t>
      </w:r>
    </w:p>
    <w:p>
      <w:pPr>
        <w:spacing w:after="200" w:line="300"/>
        <w:jc w:val="both"/>
      </w:pPr>
      <w:r>
        <w:rPr>
          <w:rFonts w:ascii="Calibri" w:cs="Calibri" w:eastAsia="Calibri" w:hAnsi="Calibri"/>
          <w:b w:val="false"/>
          <w:bCs w:val="false"/>
          <w:i/>
          <w:iCs/>
          <w:color w:val="555555"/>
          <w:sz w:val="22"/>
          <w:szCs w:val="22"/>
        </w:rPr>
        <w:t xml:space="preserve">This section describes CeloHT's approach to attracting, supporting, and retaining external open-source contributors.</w:t>
      </w:r>
    </w:p>
    <w:p>
      <w:pPr>
        <w:spacing w:after="200" w:line="300"/>
        <w:jc w:val="both"/>
      </w:pPr>
      <w:r>
        <w:rPr>
          <w:rFonts w:ascii="Calibri" w:cs="Calibri" w:eastAsia="Calibri" w:hAnsi="Calibri"/>
          <w:b w:val="false"/>
          <w:bCs w:val="false"/>
          <w:i w:val="false"/>
          <w:iCs w:val="false"/>
          <w:color w:val="1A1A1A"/>
          <w:sz w:val="22"/>
          <w:szCs w:val="22"/>
        </w:rPr>
        <w:t xml:space="preserve">A recurring theme throughout this book is CeloHT's ambition to cultivate a developer community capable of sustaining and extending the project beyond its founding team. This chapter addresses the practical mechanisms behind that ambition.</w:t>
      </w:r>
    </w:p>
    <w:p>
      <w:pPr>
        <w:pStyle w:val="Heading2"/>
        <w:spacing w:after="140" w:before="260"/>
      </w:pPr>
      <w:r>
        <w:rPr>
          <w:rFonts w:ascii="Cambria" w:cs="Cambria" w:eastAsia="Cambria" w:hAnsi="Cambria"/>
          <w:b/>
          <w:bCs/>
          <w:color w:val="0B1120"/>
          <w:sz w:val="26"/>
          <w:szCs w:val="26"/>
        </w:rPr>
        <w:t xml:space="preserve">Lowering the Barrier to Contribution</w:t>
      </w:r>
    </w:p>
    <w:p>
      <w:pPr>
        <w:spacing w:after="200" w:line="300"/>
        <w:jc w:val="both"/>
      </w:pPr>
      <w:r>
        <w:rPr>
          <w:rFonts w:ascii="Calibri" w:cs="Calibri" w:eastAsia="Calibri" w:hAnsi="Calibri"/>
          <w:b w:val="false"/>
          <w:bCs w:val="false"/>
          <w:i w:val="false"/>
          <w:iCs w:val="false"/>
          <w:color w:val="1A1A1A"/>
          <w:sz w:val="22"/>
          <w:szCs w:val="22"/>
        </w:rPr>
        <w:t xml:space="preserve">CeloHT's modular repository structure, described in the chapter on Technical Architecture, is itself a developer-ecosystem strategy: a contributor interested in documentation does not need to understand the smart-contract package, and a contributor interested in frontend work on the dApp does not need deep familiarity with governance processes. This separation is intended to make meaningful first contributions realistic for developers at a range of experience levels, including those newer to open-source collaboration.</w:t>
      </w:r>
    </w:p>
    <w:p>
      <w:pPr>
        <w:pStyle w:val="Heading2"/>
        <w:spacing w:after="140" w:before="260"/>
      </w:pPr>
      <w:r>
        <w:rPr>
          <w:rFonts w:ascii="Cambria" w:cs="Cambria" w:eastAsia="Cambria" w:hAnsi="Cambria"/>
          <w:b/>
          <w:bCs/>
          <w:color w:val="0B1120"/>
          <w:sz w:val="26"/>
          <w:szCs w:val="26"/>
        </w:rPr>
        <w:t xml:space="preserve">From Contributor to Core Contributor</w:t>
      </w:r>
    </w:p>
    <w:p>
      <w:pPr>
        <w:spacing w:after="200" w:line="300"/>
        <w:jc w:val="both"/>
      </w:pPr>
      <w:r>
        <w:rPr>
          <w:rFonts w:ascii="Calibri" w:cs="Calibri" w:eastAsia="Calibri" w:hAnsi="Calibri"/>
          <w:b w:val="false"/>
          <w:bCs w:val="false"/>
          <w:i w:val="false"/>
          <w:iCs w:val="false"/>
          <w:color w:val="1A1A1A"/>
          <w:sz w:val="22"/>
          <w:szCs w:val="22"/>
        </w:rPr>
        <w:t xml:space="preserve">The path from an initial contribution to the core-contributor tier described in the chapter on Community Governance is intended to be transparent and merit-based, tracked through sustained, quality contributions visible in each repository's public history, rather than through invitation alone. CeloHT views this pathway as directly connected to its long-term vision of a Haitian-led technical community capable of eventually assuming greater governance authority.</w:t>
      </w:r>
    </w:p>
    <w:p>
      <w:pPr>
        <w:spacing w:after="200" w:line="300"/>
        <w:jc w:val="both"/>
      </w:pPr>
      <w:r>
        <w:rPr>
          <w:rFonts w:ascii="Calibri" w:cs="Calibri" w:eastAsia="Calibri" w:hAnsi="Calibri"/>
          <w:b w:val="false"/>
          <w:bCs w:val="false"/>
          <w:i w:val="false"/>
          <w:iCs w:val="false"/>
          <w:color w:val="1A1A1A"/>
          <w:sz w:val="22"/>
          <w:szCs w:val="22"/>
        </w:rPr>
        <w:t xml:space="preserve">A GitHub organizational audit conducted on CeloHT's public repositories identified specific configuration gaps, including missing contribution guidelines and incomplete issue templates, that were subsequently addressed through a structured remediation effort. This history is included here deliberately: it illustrates that CeloHT treats developer-experience quality as a metric to be measured and improved, not assumed.</w:t>
      </w:r>
    </w:p>
    <w:p>
      <w:pPr>
        <w:sectPr>
          <w:headerReference w:type="default" r:id="rId75"/>
          <w:footerReference w:type="default" r:id="rId76"/>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35</w:t>
      </w:r>
    </w:p>
    <w:p>
      <w:pPr>
        <w:pStyle w:val="Heading1"/>
        <w:pBdr>
          <w:bottom w:val="single" w:color="0B1120" w:sz="6" w:space="8"/>
        </w:pBdr>
        <w:spacing w:after="260"/>
      </w:pPr>
      <w:r>
        <w:rPr>
          <w:rFonts w:ascii="Cambria" w:cs="Cambria" w:eastAsia="Cambria" w:hAnsi="Cambria"/>
          <w:b/>
          <w:bCs/>
          <w:color w:val="0B1120"/>
          <w:sz w:val="40"/>
          <w:szCs w:val="40"/>
        </w:rPr>
        <w:t xml:space="preserve">Documentation Strategy</w:t>
      </w:r>
    </w:p>
    <w:p>
      <w:pPr>
        <w:spacing w:after="200" w:line="300"/>
        <w:jc w:val="both"/>
      </w:pPr>
      <w:r>
        <w:rPr>
          <w:rFonts w:ascii="Calibri" w:cs="Calibri" w:eastAsia="Calibri" w:hAnsi="Calibri"/>
          <w:b w:val="false"/>
          <w:bCs w:val="false"/>
          <w:i/>
          <w:iCs/>
          <w:color w:val="555555"/>
          <w:sz w:val="22"/>
          <w:szCs w:val="22"/>
        </w:rPr>
        <w:t xml:space="preserve">The discussion here describes the standards and structure governing CeloHT's documentation across governance, technical, and educational domains.</w:t>
      </w:r>
    </w:p>
    <w:p>
      <w:pPr>
        <w:spacing w:after="200" w:line="300"/>
        <w:jc w:val="both"/>
      </w:pPr>
      <w:r>
        <w:rPr>
          <w:rFonts w:ascii="Calibri" w:cs="Calibri" w:eastAsia="Calibri" w:hAnsi="Calibri"/>
          <w:b w:val="false"/>
          <w:bCs w:val="false"/>
          <w:i w:val="false"/>
          <w:iCs w:val="false"/>
          <w:color w:val="1A1A1A"/>
          <w:sz w:val="22"/>
          <w:szCs w:val="22"/>
        </w:rPr>
        <w:t xml:space="preserve">Documentation at CeloHT is treated as a distinct discipline with its own standards, not as a secondary byproduct of engineering or educational work completed elsewhere. This treatment reflects the organization's founding premise, described in the chapter on The Story Behind CeloHT, that comprehension is the primary barrier CeloHT exists to address, and comprehension depends directly on documentation quality.</w:t>
      </w:r>
    </w:p>
    <w:p>
      <w:pPr>
        <w:pStyle w:val="Heading2"/>
        <w:spacing w:after="140" w:before="260"/>
      </w:pPr>
      <w:r>
        <w:rPr>
          <w:rFonts w:ascii="Cambria" w:cs="Cambria" w:eastAsia="Cambria" w:hAnsi="Cambria"/>
          <w:b/>
          <w:bCs/>
          <w:color w:val="0B1120"/>
          <w:sz w:val="26"/>
          <w:szCs w:val="26"/>
        </w:rPr>
        <w:t xml:space="preserve">Documentation Domains</w:t>
      </w:r>
    </w:p>
    <w:p>
      <w:pPr>
        <w:spacing w:after="200" w:line="300"/>
        <w:jc w:val="both"/>
      </w:pPr>
      <w:r>
        <w:rPr>
          <w:rFonts w:ascii="Calibri" w:cs="Calibri" w:eastAsia="Calibri" w:hAnsi="Calibri"/>
          <w:b w:val="false"/>
          <w:bCs w:val="false"/>
          <w:i w:val="false"/>
          <w:iCs w:val="false"/>
          <w:color w:val="1A1A1A"/>
          <w:sz w:val="22"/>
          <w:szCs w:val="22"/>
        </w:rPr>
        <w:t xml:space="preserve">CeloHT maintains documentation across four domains, each with distinct standards: governance documentation, which records proposals and decisions in the format described in the chapter on How Decisions Are Made; technical documentation, covering API references, architecture overviews, and setup instructions for each of the eight repositories; legal and organizational documentation, including governance structure and role transparency, with unfilled roles marked explicitly as vacant rather than omitted; and educational documentation, comprising the CeloHT Academy series and related instructional materials.</w:t>
      </w:r>
    </w:p>
    <w:p>
      <w:pPr>
        <w:pStyle w:val="Heading2"/>
        <w:spacing w:after="140" w:before="260"/>
      </w:pPr>
      <w:r>
        <w:rPr>
          <w:rFonts w:ascii="Cambria" w:cs="Cambria" w:eastAsia="Cambria" w:hAnsi="Cambria"/>
          <w:b/>
          <w:bCs/>
          <w:color w:val="0B1120"/>
          <w:sz w:val="26"/>
          <w:szCs w:val="26"/>
        </w:rPr>
        <w:t xml:space="preserve">The Documentation Hub as Integration Point</w:t>
      </w:r>
    </w:p>
    <w:p>
      <w:pPr>
        <w:spacing w:after="200" w:line="300"/>
        <w:jc w:val="both"/>
      </w:pPr>
      <w:r>
        <w:rPr>
          <w:rFonts w:ascii="Calibri" w:cs="Calibri" w:eastAsia="Calibri" w:hAnsi="Calibri"/>
          <w:b w:val="false"/>
          <w:bCs w:val="false"/>
          <w:i w:val="false"/>
          <w:iCs w:val="false"/>
          <w:color w:val="1A1A1A"/>
          <w:sz w:val="22"/>
          <w:szCs w:val="22"/>
        </w:rPr>
        <w:t xml:space="preserve">The dedicated documentation hub repository, introduced in the chapter on Our Open Source Philosophy, functions as the integration point across these four domains, intended to give any visitor, whether investor, developer, journalist, or learner, a single, navigable entry point into CeloHT's complete body of work, organized by audience and purpose rather than by internal repository structure alone.</w:t>
      </w:r>
    </w:p>
    <w:p>
      <w:pPr>
        <w:sectPr>
          <w:headerReference w:type="default" r:id="rId77"/>
          <w:footerReference w:type="default" r:id="rId78"/>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36</w:t>
      </w:r>
    </w:p>
    <w:p>
      <w:pPr>
        <w:pStyle w:val="Heading1"/>
        <w:pBdr>
          <w:bottom w:val="single" w:color="0B1120" w:sz="6" w:space="8"/>
        </w:pBdr>
        <w:spacing w:after="260"/>
      </w:pPr>
      <w:r>
        <w:rPr>
          <w:rFonts w:ascii="Cambria" w:cs="Cambria" w:eastAsia="Cambria" w:hAnsi="Cambria"/>
          <w:b/>
          <w:bCs/>
          <w:color w:val="0B1120"/>
          <w:sz w:val="40"/>
          <w:szCs w:val="40"/>
        </w:rPr>
        <w:t xml:space="preserve">Roadmap</w:t>
      </w:r>
    </w:p>
    <w:p>
      <w:pPr>
        <w:spacing w:after="200" w:line="300"/>
        <w:jc w:val="both"/>
      </w:pPr>
      <w:r>
        <w:rPr>
          <w:rFonts w:ascii="Calibri" w:cs="Calibri" w:eastAsia="Calibri" w:hAnsi="Calibri"/>
          <w:b w:val="false"/>
          <w:bCs w:val="false"/>
          <w:i/>
          <w:iCs/>
          <w:color w:val="555555"/>
          <w:sz w:val="22"/>
          <w:szCs w:val="22"/>
        </w:rPr>
        <w:t xml:space="preserve">This chapter lays out CeloHT's forward-looking plan across its technical, educational, and community pillars.</w:t>
      </w:r>
    </w:p>
    <w:p>
      <w:pPr>
        <w:spacing w:after="200" w:line="300"/>
        <w:jc w:val="both"/>
      </w:pPr>
      <w:r>
        <w:rPr>
          <w:rFonts w:ascii="Calibri" w:cs="Calibri" w:eastAsia="Calibri" w:hAnsi="Calibri"/>
          <w:b w:val="false"/>
          <w:bCs w:val="false"/>
          <w:i w:val="false"/>
          <w:iCs w:val="false"/>
          <w:color w:val="1A1A1A"/>
          <w:sz w:val="22"/>
          <w:szCs w:val="22"/>
        </w:rPr>
        <w:t xml:space="preserve">CeloHT's roadmap is organized in phases rather than fixed calendar dates, reflecting the reality that an organization of its current size and funding profile cannot commit to rigid timelines without risking the credibility it has built through accurate self-reporting elsewhere in this book. Each phase is defined by the completion of specific, verifiable deliverables.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50"/>
      </w:tblGrid>
      <w:tr>
        <w:trPr>
          <w:tblHeader/>
        </w:trPr>
        <w:tc>
          <w:tcPr>
            <w:tcW w:type="dxa" w:w="270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Phase</w:t>
            </w:r>
          </w:p>
        </w:tc>
        <w:tc>
          <w:tcPr>
            <w:tcW w:type="dxa" w:w="320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Primary Focus</w:t>
            </w:r>
          </w:p>
        </w:tc>
        <w:tc>
          <w:tcPr>
            <w:tcW w:type="dxa" w:w="345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Representative Deliverables</w:t>
            </w:r>
          </w:p>
        </w:tc>
      </w:tr>
      <w:tr>
        <w:tc>
          <w:tcPr>
            <w:tcW w:type="dxa" w:w="2700"/>
            <w:shd w:fill="FFFFFF" w:val="clear"/>
            <w:tcMar>
              <w:top w:type="dxa" w:w="90"/>
              <w:left w:type="dxa" w:w="140"/>
              <w:bottom w:type="dxa" w:w="90"/>
              <w:right w:type="dxa" w:w="140"/>
            </w:tcMar>
          </w:tcPr>
          <w:p>
            <w:r>
              <w:rPr>
                <w:rFonts w:ascii="Calibri" w:cs="Calibri" w:eastAsia="Calibri" w:hAnsi="Calibri"/>
                <w:color w:val="1A1A1A"/>
                <w:sz w:val="19"/>
                <w:szCs w:val="19"/>
              </w:rPr>
              <w:t xml:space="preserve">Phase 1: Foundation (current)</w:t>
            </w:r>
          </w:p>
        </w:tc>
        <w:tc>
          <w:tcPr>
            <w:tcW w:type="dxa" w:w="3200"/>
            <w:shd w:fill="FFFFFF" w:val="clear"/>
            <w:tcMar>
              <w:top w:type="dxa" w:w="90"/>
              <w:left w:type="dxa" w:w="140"/>
              <w:bottom w:type="dxa" w:w="90"/>
              <w:right w:type="dxa" w:w="140"/>
            </w:tcMar>
          </w:tcPr>
          <w:p>
            <w:r>
              <w:rPr>
                <w:rFonts w:ascii="Calibri" w:cs="Calibri" w:eastAsia="Calibri" w:hAnsi="Calibri"/>
                <w:color w:val="1A1A1A"/>
                <w:sz w:val="19"/>
                <w:szCs w:val="19"/>
              </w:rPr>
              <w:t xml:space="preserve">Documentation, education, and governance infrastructure</w:t>
            </w:r>
          </w:p>
        </w:tc>
        <w:tc>
          <w:tcPr>
            <w:tcW w:type="dxa" w:w="3450"/>
            <w:shd w:fill="FFFFFF" w:val="clear"/>
            <w:tcMar>
              <w:top w:type="dxa" w:w="90"/>
              <w:left w:type="dxa" w:w="140"/>
              <w:bottom w:type="dxa" w:w="90"/>
              <w:right w:type="dxa" w:w="140"/>
            </w:tcMar>
          </w:tcPr>
          <w:p>
            <w:r>
              <w:rPr>
                <w:rFonts w:ascii="Calibri" w:cs="Calibri" w:eastAsia="Calibri" w:hAnsi="Calibri"/>
                <w:color w:val="1A1A1A"/>
                <w:sz w:val="19"/>
                <w:szCs w:val="19"/>
              </w:rPr>
              <w:t xml:space="preserve">CeloHT Academy volumes 1-13, eight-repository technical ecosystem, governance framework</w:t>
            </w:r>
          </w:p>
        </w:tc>
      </w:tr>
      <w:tr>
        <w:tc>
          <w:tcPr>
            <w:tcW w:type="dxa" w:w="2700"/>
            <w:shd w:fill="F5F6F8" w:val="clear"/>
            <w:tcMar>
              <w:top w:type="dxa" w:w="90"/>
              <w:left w:type="dxa" w:w="140"/>
              <w:bottom w:type="dxa" w:w="90"/>
              <w:right w:type="dxa" w:w="140"/>
            </w:tcMar>
          </w:tcPr>
          <w:p>
            <w:r>
              <w:rPr>
                <w:rFonts w:ascii="Calibri" w:cs="Calibri" w:eastAsia="Calibri" w:hAnsi="Calibri"/>
                <w:color w:val="1A1A1A"/>
                <w:sz w:val="19"/>
                <w:szCs w:val="19"/>
              </w:rPr>
              <w:t xml:space="preserve">Phase 2: Validation</w:t>
            </w:r>
          </w:p>
        </w:tc>
        <w:tc>
          <w:tcPr>
            <w:tcW w:type="dxa" w:w="3200"/>
            <w:shd w:fill="F5F6F8" w:val="clear"/>
            <w:tcMar>
              <w:top w:type="dxa" w:w="90"/>
              <w:left w:type="dxa" w:w="140"/>
              <w:bottom w:type="dxa" w:w="90"/>
              <w:right w:type="dxa" w:w="140"/>
            </w:tcMar>
          </w:tcPr>
          <w:p>
            <w:r>
              <w:rPr>
                <w:rFonts w:ascii="Calibri" w:cs="Calibri" w:eastAsia="Calibri" w:hAnsi="Calibri"/>
                <w:color w:val="1A1A1A"/>
                <w:sz w:val="19"/>
                <w:szCs w:val="19"/>
              </w:rPr>
              <w:t xml:space="preserve">External review and controlled real-world testing</w:t>
            </w:r>
          </w:p>
        </w:tc>
        <w:tc>
          <w:tcPr>
            <w:tcW w:type="dxa" w:w="3450"/>
            <w:shd w:fill="F5F6F8" w:val="clear"/>
            <w:tcMar>
              <w:top w:type="dxa" w:w="90"/>
              <w:left w:type="dxa" w:w="140"/>
              <w:bottom w:type="dxa" w:w="90"/>
              <w:right w:type="dxa" w:w="140"/>
            </w:tcMar>
          </w:tcPr>
          <w:p>
            <w:r>
              <w:rPr>
                <w:rFonts w:ascii="Calibri" w:cs="Calibri" w:eastAsia="Calibri" w:hAnsi="Calibri"/>
                <w:color w:val="1A1A1A"/>
                <w:sz w:val="19"/>
                <w:szCs w:val="19"/>
              </w:rPr>
              <w:t xml:space="preserve">Smart-contract security review, Agent Network pilot in Léogâne, remaining Academy volumes</w:t>
            </w:r>
          </w:p>
        </w:tc>
      </w:tr>
      <w:tr>
        <w:tc>
          <w:tcPr>
            <w:tcW w:type="dxa" w:w="2700"/>
            <w:shd w:fill="FFFFFF" w:val="clear"/>
            <w:tcMar>
              <w:top w:type="dxa" w:w="90"/>
              <w:left w:type="dxa" w:w="140"/>
              <w:bottom w:type="dxa" w:w="90"/>
              <w:right w:type="dxa" w:w="140"/>
            </w:tcMar>
          </w:tcPr>
          <w:p>
            <w:r>
              <w:rPr>
                <w:rFonts w:ascii="Calibri" w:cs="Calibri" w:eastAsia="Calibri" w:hAnsi="Calibri"/>
                <w:color w:val="1A1A1A"/>
                <w:sz w:val="19"/>
                <w:szCs w:val="19"/>
              </w:rPr>
              <w:t xml:space="preserve">Phase 3: Scale</w:t>
            </w:r>
          </w:p>
        </w:tc>
        <w:tc>
          <w:tcPr>
            <w:tcW w:type="dxa" w:w="3200"/>
            <w:shd w:fill="FFFFFF" w:val="clear"/>
            <w:tcMar>
              <w:top w:type="dxa" w:w="90"/>
              <w:left w:type="dxa" w:w="140"/>
              <w:bottom w:type="dxa" w:w="90"/>
              <w:right w:type="dxa" w:w="140"/>
            </w:tcMar>
          </w:tcPr>
          <w:p>
            <w:r>
              <w:rPr>
                <w:rFonts w:ascii="Calibri" w:cs="Calibri" w:eastAsia="Calibri" w:hAnsi="Calibri"/>
                <w:color w:val="1A1A1A"/>
                <w:sz w:val="19"/>
                <w:szCs w:val="19"/>
              </w:rPr>
              <w:t xml:space="preserve">Mainnet deployment and geographic expansion</w:t>
            </w:r>
          </w:p>
        </w:tc>
        <w:tc>
          <w:tcPr>
            <w:tcW w:type="dxa" w:w="3450"/>
            <w:shd w:fill="FFFFFF" w:val="clear"/>
            <w:tcMar>
              <w:top w:type="dxa" w:w="90"/>
              <w:left w:type="dxa" w:w="140"/>
              <w:bottom w:type="dxa" w:w="90"/>
              <w:right w:type="dxa" w:w="140"/>
            </w:tcMar>
          </w:tcPr>
          <w:p>
            <w:r>
              <w:rPr>
                <w:rFonts w:ascii="Calibri" w:cs="Calibri" w:eastAsia="Calibri" w:hAnsi="Calibri"/>
                <w:color w:val="1A1A1A"/>
                <w:sz w:val="19"/>
                <w:szCs w:val="19"/>
              </w:rPr>
              <w:t xml:space="preserve">Live USDm wallet integration, expanded Agent Network coverage, reforestation program scale-up</w:t>
            </w:r>
          </w:p>
        </w:tc>
      </w:tr>
      <w:tr>
        <w:tc>
          <w:tcPr>
            <w:tcW w:type="dxa" w:w="2700"/>
            <w:shd w:fill="F5F6F8" w:val="clear"/>
            <w:tcMar>
              <w:top w:type="dxa" w:w="90"/>
              <w:left w:type="dxa" w:w="140"/>
              <w:bottom w:type="dxa" w:w="90"/>
              <w:right w:type="dxa" w:w="140"/>
            </w:tcMar>
          </w:tcPr>
          <w:p>
            <w:r>
              <w:rPr>
                <w:rFonts w:ascii="Calibri" w:cs="Calibri" w:eastAsia="Calibri" w:hAnsi="Calibri"/>
                <w:color w:val="1A1A1A"/>
                <w:sz w:val="19"/>
                <w:szCs w:val="19"/>
              </w:rPr>
              <w:t xml:space="preserve">Phase 4: Regional Extension</w:t>
            </w:r>
          </w:p>
        </w:tc>
        <w:tc>
          <w:tcPr>
            <w:tcW w:type="dxa" w:w="3200"/>
            <w:shd w:fill="F5F6F8" w:val="clear"/>
            <w:tcMar>
              <w:top w:type="dxa" w:w="90"/>
              <w:left w:type="dxa" w:w="140"/>
              <w:bottom w:type="dxa" w:w="90"/>
              <w:right w:type="dxa" w:w="140"/>
            </w:tcMar>
          </w:tcPr>
          <w:p>
            <w:r>
              <w:rPr>
                <w:rFonts w:ascii="Calibri" w:cs="Calibri" w:eastAsia="Calibri" w:hAnsi="Calibri"/>
                <w:color w:val="1A1A1A"/>
                <w:sz w:val="19"/>
                <w:szCs w:val="19"/>
              </w:rPr>
              <w:t xml:space="preserve">Application of the CeloHT model beyond Haiti</w:t>
            </w:r>
          </w:p>
        </w:tc>
        <w:tc>
          <w:tcPr>
            <w:tcW w:type="dxa" w:w="3450"/>
            <w:shd w:fill="F5F6F8" w:val="clear"/>
            <w:tcMar>
              <w:top w:type="dxa" w:w="90"/>
              <w:left w:type="dxa" w:w="140"/>
              <w:bottom w:type="dxa" w:w="90"/>
              <w:right w:type="dxa" w:w="140"/>
            </w:tcMar>
          </w:tcPr>
          <w:p>
            <w:r>
              <w:rPr>
                <w:rFonts w:ascii="Calibri" w:cs="Calibri" w:eastAsia="Calibri" w:hAnsi="Calibri"/>
                <w:color w:val="1A1A1A"/>
                <w:sz w:val="19"/>
                <w:szCs w:val="19"/>
              </w:rPr>
              <w:t xml:space="preserve">Adapted curriculum and governance framework for additional Caribbean markets</w:t>
            </w:r>
          </w:p>
        </w:tc>
      </w:tr>
    </w:tbl>
    <w:p>
      <w:pPr>
        <w:spacing w:after="200"/>
      </w:pPr>
    </w:p>
    <w:p>
      <w:pPr>
        <w:spacing w:after="200" w:line="300"/>
        <w:jc w:val="both"/>
      </w:pPr>
      <w:r>
        <w:rPr>
          <w:rFonts w:ascii="Calibri" w:cs="Calibri" w:eastAsia="Calibri" w:hAnsi="Calibri"/>
          <w:b w:val="false"/>
          <w:bCs w:val="false"/>
          <w:i w:val="false"/>
          <w:iCs w:val="false"/>
          <w:color w:val="1A1A1A"/>
          <w:sz w:val="22"/>
          <w:szCs w:val="22"/>
        </w:rPr>
        <w:t xml:space="preserve">CeloHT is currently operating within Phase 1, with elements of Phase 2, including early planning for external smart-contract review, already underway. This book does not claim progress into later phases that has not yet occurred.</w:t>
      </w:r>
    </w:p>
    <w:p>
      <w:pPr>
        <w:sectPr>
          <w:headerReference w:type="default" r:id="rId79"/>
          <w:footerReference w:type="default" r:id="rId80"/>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37</w:t>
      </w:r>
    </w:p>
    <w:p>
      <w:pPr>
        <w:pStyle w:val="Heading1"/>
        <w:pBdr>
          <w:bottom w:val="single" w:color="0B1120" w:sz="6" w:space="8"/>
        </w:pBdr>
        <w:spacing w:after="260"/>
      </w:pPr>
      <w:r>
        <w:rPr>
          <w:rFonts w:ascii="Cambria" w:cs="Cambria" w:eastAsia="Cambria" w:hAnsi="Cambria"/>
          <w:b/>
          <w:bCs/>
          <w:color w:val="0B1120"/>
          <w:sz w:val="40"/>
          <w:szCs w:val="40"/>
        </w:rPr>
        <w:t xml:space="preserve">Milestones</w:t>
      </w:r>
    </w:p>
    <w:p>
      <w:pPr>
        <w:spacing w:after="200" w:line="300"/>
        <w:jc w:val="both"/>
      </w:pPr>
      <w:r>
        <w:rPr>
          <w:rFonts w:ascii="Calibri" w:cs="Calibri" w:eastAsia="Calibri" w:hAnsi="Calibri"/>
          <w:b w:val="false"/>
          <w:bCs w:val="false"/>
          <w:i/>
          <w:iCs/>
          <w:color w:val="555555"/>
          <w:sz w:val="22"/>
          <w:szCs w:val="22"/>
        </w:rPr>
        <w:t xml:space="preserve">The chapter that follows provides a verifiable timeline of CeloHT's completed work to date.</w:t>
      </w:r>
    </w:p>
    <w:p>
      <w:pPr>
        <w:spacing w:after="200" w:line="300"/>
        <w:jc w:val="both"/>
      </w:pPr>
      <w:r>
        <w:rPr>
          <w:rFonts w:ascii="Calibri" w:cs="Calibri" w:eastAsia="Calibri" w:hAnsi="Calibri"/>
          <w:b w:val="false"/>
          <w:bCs w:val="false"/>
          <w:i w:val="false"/>
          <w:iCs w:val="false"/>
          <w:color w:val="1A1A1A"/>
          <w:sz w:val="22"/>
          <w:szCs w:val="22"/>
        </w:rPr>
        <w:t xml:space="preserve">This chapter presents CeloHT's history as a sequence of completed, verifiable milestones, offered as evidence for the claims made throughout this book rather than as a promotional narrative.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400"/>
        <w:gridCol w:w="4950"/>
      </w:tblGrid>
      <w:tr>
        <w:trPr>
          <w:tblHeader/>
        </w:trPr>
        <w:tc>
          <w:tcPr>
            <w:tcW w:type="dxa" w:w="440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Milestone</w:t>
            </w:r>
          </w:p>
        </w:tc>
        <w:tc>
          <w:tcPr>
            <w:tcW w:type="dxa" w:w="495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Significance</w:t>
            </w:r>
          </w:p>
        </w:tc>
      </w:tr>
      <w:tr>
        <w:tc>
          <w:tcPr>
            <w:tcW w:type="dxa" w:w="4400"/>
            <w:shd w:fill="FFFFFF" w:val="clear"/>
            <w:tcMar>
              <w:top w:type="dxa" w:w="90"/>
              <w:left w:type="dxa" w:w="140"/>
              <w:bottom w:type="dxa" w:w="90"/>
              <w:right w:type="dxa" w:w="140"/>
            </w:tcMar>
          </w:tcPr>
          <w:p>
            <w:r>
              <w:rPr>
                <w:rFonts w:ascii="Calibri" w:cs="Calibri" w:eastAsia="Calibri" w:hAnsi="Calibri"/>
                <w:color w:val="1A1A1A"/>
                <w:sz w:val="19"/>
                <w:szCs w:val="19"/>
              </w:rPr>
              <w:t xml:space="preserve">Founding of CeloHT, April 16, 2022</w:t>
            </w:r>
          </w:p>
        </w:tc>
        <w:tc>
          <w:tcPr>
            <w:tcW w:type="dxa" w:w="4950"/>
            <w:shd w:fill="FFFFFF" w:val="clear"/>
            <w:tcMar>
              <w:top w:type="dxa" w:w="90"/>
              <w:left w:type="dxa" w:w="140"/>
              <w:bottom w:type="dxa" w:w="90"/>
              <w:right w:type="dxa" w:w="140"/>
            </w:tcMar>
          </w:tcPr>
          <w:p>
            <w:r>
              <w:rPr>
                <w:rFonts w:ascii="Calibri" w:cs="Calibri" w:eastAsia="Calibri" w:hAnsi="Calibri"/>
                <w:color w:val="1A1A1A"/>
                <w:sz w:val="19"/>
                <w:szCs w:val="19"/>
              </w:rPr>
              <w:t xml:space="preserve">Establishment of the project's founding date and initial mission</w:t>
            </w:r>
          </w:p>
        </w:tc>
      </w:tr>
      <w:tr>
        <w:tc>
          <w:tcPr>
            <w:tcW w:type="dxa" w:w="4400"/>
            <w:shd w:fill="F5F6F8" w:val="clear"/>
            <w:tcMar>
              <w:top w:type="dxa" w:w="90"/>
              <w:left w:type="dxa" w:w="140"/>
              <w:bottom w:type="dxa" w:w="90"/>
              <w:right w:type="dxa" w:w="140"/>
            </w:tcMar>
          </w:tcPr>
          <w:p>
            <w:r>
              <w:rPr>
                <w:rFonts w:ascii="Calibri" w:cs="Calibri" w:eastAsia="Calibri" w:hAnsi="Calibri"/>
                <w:color w:val="1A1A1A"/>
                <w:sz w:val="19"/>
                <w:szCs w:val="19"/>
              </w:rPr>
              <w:t xml:space="preserve">Publication of the nine-volume trading encyclopedia in Haitian Creole</w:t>
            </w:r>
          </w:p>
        </w:tc>
        <w:tc>
          <w:tcPr>
            <w:tcW w:type="dxa" w:w="4950"/>
            <w:shd w:fill="F5F6F8" w:val="clear"/>
            <w:tcMar>
              <w:top w:type="dxa" w:w="90"/>
              <w:left w:type="dxa" w:w="140"/>
              <w:bottom w:type="dxa" w:w="90"/>
              <w:right w:type="dxa" w:w="140"/>
            </w:tcMar>
          </w:tcPr>
          <w:p>
            <w:r>
              <w:rPr>
                <w:rFonts w:ascii="Calibri" w:cs="Calibri" w:eastAsia="Calibri" w:hAnsi="Calibri"/>
                <w:color w:val="1A1A1A"/>
                <w:sz w:val="19"/>
                <w:szCs w:val="19"/>
              </w:rPr>
              <w:t xml:space="preserve">First large-scale demonstration of CeloHT's Haitian Creole-first educational approach</w:t>
            </w:r>
          </w:p>
        </w:tc>
      </w:tr>
      <w:tr>
        <w:tc>
          <w:tcPr>
            <w:tcW w:type="dxa" w:w="4400"/>
            <w:shd w:fill="FFFFFF" w:val="clear"/>
            <w:tcMar>
              <w:top w:type="dxa" w:w="90"/>
              <w:left w:type="dxa" w:w="140"/>
              <w:bottom w:type="dxa" w:w="90"/>
              <w:right w:type="dxa" w:w="140"/>
            </w:tcMar>
          </w:tcPr>
          <w:p>
            <w:r>
              <w:rPr>
                <w:rFonts w:ascii="Calibri" w:cs="Calibri" w:eastAsia="Calibri" w:hAnsi="Calibri"/>
                <w:color w:val="1A1A1A"/>
                <w:sz w:val="19"/>
                <w:szCs w:val="19"/>
              </w:rPr>
              <w:t xml:space="preserve">Establishment of the eight-repository GitHub technical ecosystem</w:t>
            </w:r>
          </w:p>
        </w:tc>
        <w:tc>
          <w:tcPr>
            <w:tcW w:type="dxa" w:w="4950"/>
            <w:shd w:fill="FFFFFF" w:val="clear"/>
            <w:tcMar>
              <w:top w:type="dxa" w:w="90"/>
              <w:left w:type="dxa" w:w="140"/>
              <w:bottom w:type="dxa" w:w="90"/>
              <w:right w:type="dxa" w:w="140"/>
            </w:tcMar>
          </w:tcPr>
          <w:p>
            <w:r>
              <w:rPr>
                <w:rFonts w:ascii="Calibri" w:cs="Calibri" w:eastAsia="Calibri" w:hAnsi="Calibri"/>
                <w:color w:val="1A1A1A"/>
                <w:sz w:val="19"/>
                <w:szCs w:val="19"/>
              </w:rPr>
              <w:t xml:space="preserve">Formalization of CeloHT's open-source technical infrastructure</w:t>
            </w:r>
          </w:p>
        </w:tc>
      </w:tr>
      <w:tr>
        <w:tc>
          <w:tcPr>
            <w:tcW w:type="dxa" w:w="4400"/>
            <w:shd w:fill="F5F6F8" w:val="clear"/>
            <w:tcMar>
              <w:top w:type="dxa" w:w="90"/>
              <w:left w:type="dxa" w:w="140"/>
              <w:bottom w:type="dxa" w:w="90"/>
              <w:right w:type="dxa" w:w="140"/>
            </w:tcMar>
          </w:tcPr>
          <w:p>
            <w:r>
              <w:rPr>
                <w:rFonts w:ascii="Calibri" w:cs="Calibri" w:eastAsia="Calibri" w:hAnsi="Calibri"/>
                <w:color w:val="1A1A1A"/>
                <w:sz w:val="19"/>
                <w:szCs w:val="19"/>
              </w:rPr>
              <w:t xml:space="preserve">Completion of thirteen CeloHT Academy volumes</w:t>
            </w:r>
          </w:p>
        </w:tc>
        <w:tc>
          <w:tcPr>
            <w:tcW w:type="dxa" w:w="4950"/>
            <w:shd w:fill="F5F6F8" w:val="clear"/>
            <w:tcMar>
              <w:top w:type="dxa" w:w="90"/>
              <w:left w:type="dxa" w:w="140"/>
              <w:bottom w:type="dxa" w:w="90"/>
              <w:right w:type="dxa" w:w="140"/>
            </w:tcMar>
          </w:tcPr>
          <w:p>
            <w:r>
              <w:rPr>
                <w:rFonts w:ascii="Calibri" w:cs="Calibri" w:eastAsia="Calibri" w:hAnsi="Calibri"/>
                <w:color w:val="1A1A1A"/>
                <w:sz w:val="19"/>
                <w:szCs w:val="19"/>
              </w:rPr>
              <w:t xml:space="preserve">Substantial progress toward the thirty-volume educational goal</w:t>
            </w:r>
          </w:p>
        </w:tc>
      </w:tr>
      <w:tr>
        <w:tc>
          <w:tcPr>
            <w:tcW w:type="dxa" w:w="4400"/>
            <w:shd w:fill="FFFFFF" w:val="clear"/>
            <w:tcMar>
              <w:top w:type="dxa" w:w="90"/>
              <w:left w:type="dxa" w:w="140"/>
              <w:bottom w:type="dxa" w:w="90"/>
              <w:right w:type="dxa" w:w="140"/>
            </w:tcMar>
          </w:tcPr>
          <w:p>
            <w:r>
              <w:rPr>
                <w:rFonts w:ascii="Calibri" w:cs="Calibri" w:eastAsia="Calibri" w:hAnsi="Calibri"/>
                <w:color w:val="1A1A1A"/>
                <w:sz w:val="19"/>
                <w:szCs w:val="19"/>
              </w:rPr>
              <w:t xml:space="preserve">GitHub organizational audit and remediation</w:t>
            </w:r>
          </w:p>
        </w:tc>
        <w:tc>
          <w:tcPr>
            <w:tcW w:type="dxa" w:w="4950"/>
            <w:shd w:fill="FFFFFF" w:val="clear"/>
            <w:tcMar>
              <w:top w:type="dxa" w:w="90"/>
              <w:left w:type="dxa" w:w="140"/>
              <w:bottom w:type="dxa" w:w="90"/>
              <w:right w:type="dxa" w:w="140"/>
            </w:tcMar>
          </w:tcPr>
          <w:p>
            <w:r>
              <w:rPr>
                <w:rFonts w:ascii="Calibri" w:cs="Calibri" w:eastAsia="Calibri" w:hAnsi="Calibri"/>
                <w:color w:val="1A1A1A"/>
                <w:sz w:val="19"/>
                <w:szCs w:val="19"/>
              </w:rPr>
              <w:t xml:space="preserve">Demonstrated commitment to measurable open-source maturity standards</w:t>
            </w:r>
          </w:p>
        </w:tc>
      </w:tr>
      <w:tr>
        <w:tc>
          <w:tcPr>
            <w:tcW w:type="dxa" w:w="4400"/>
            <w:shd w:fill="F5F6F8" w:val="clear"/>
            <w:tcMar>
              <w:top w:type="dxa" w:w="90"/>
              <w:left w:type="dxa" w:w="140"/>
              <w:bottom w:type="dxa" w:w="90"/>
              <w:right w:type="dxa" w:w="140"/>
            </w:tcMar>
          </w:tcPr>
          <w:p>
            <w:r>
              <w:rPr>
                <w:rFonts w:ascii="Calibri" w:cs="Calibri" w:eastAsia="Calibri" w:hAnsi="Calibri"/>
                <w:color w:val="1A1A1A"/>
                <w:sz w:val="19"/>
                <w:szCs w:val="19"/>
              </w:rPr>
              <w:t xml:space="preserve">Launch of the navigable dApp prototype</w:t>
            </w:r>
          </w:p>
        </w:tc>
        <w:tc>
          <w:tcPr>
            <w:tcW w:type="dxa" w:w="4950"/>
            <w:shd w:fill="F5F6F8" w:val="clear"/>
            <w:tcMar>
              <w:top w:type="dxa" w:w="90"/>
              <w:left w:type="dxa" w:w="140"/>
              <w:bottom w:type="dxa" w:w="90"/>
              <w:right w:type="dxa" w:w="140"/>
            </w:tcMar>
          </w:tcPr>
          <w:p>
            <w:r>
              <w:rPr>
                <w:rFonts w:ascii="Calibri" w:cs="Calibri" w:eastAsia="Calibri" w:hAnsi="Calibri"/>
                <w:color w:val="1A1A1A"/>
                <w:sz w:val="19"/>
                <w:szCs w:val="19"/>
              </w:rPr>
              <w:t xml:space="preserve">First integrated demonstration of CeloHT's technical and educational vision in a single product experience</w:t>
            </w:r>
          </w:p>
        </w:tc>
      </w:tr>
      <w:tr>
        <w:tc>
          <w:tcPr>
            <w:tcW w:type="dxa" w:w="4400"/>
            <w:shd w:fill="FFFFFF" w:val="clear"/>
            <w:tcMar>
              <w:top w:type="dxa" w:w="90"/>
              <w:left w:type="dxa" w:w="140"/>
              <w:bottom w:type="dxa" w:w="90"/>
              <w:right w:type="dxa" w:w="140"/>
            </w:tcMar>
          </w:tcPr>
          <w:p>
            <w:r>
              <w:rPr>
                <w:rFonts w:ascii="Calibri" w:cs="Calibri" w:eastAsia="Calibri" w:hAnsi="Calibri"/>
                <w:color w:val="1A1A1A"/>
                <w:sz w:val="19"/>
                <w:szCs w:val="19"/>
              </w:rPr>
              <w:t xml:space="preserve">Publication of institutional governance and financial-governance documentation</w:t>
            </w:r>
          </w:p>
        </w:tc>
        <w:tc>
          <w:tcPr>
            <w:tcW w:type="dxa" w:w="4950"/>
            <w:shd w:fill="FFFFFF" w:val="clear"/>
            <w:tcMar>
              <w:top w:type="dxa" w:w="90"/>
              <w:left w:type="dxa" w:w="140"/>
              <w:bottom w:type="dxa" w:w="90"/>
              <w:right w:type="dxa" w:w="140"/>
            </w:tcMar>
          </w:tcPr>
          <w:p>
            <w:r>
              <w:rPr>
                <w:rFonts w:ascii="Calibri" w:cs="Calibri" w:eastAsia="Calibri" w:hAnsi="Calibri"/>
                <w:color w:val="1A1A1A"/>
                <w:sz w:val="19"/>
                <w:szCs w:val="19"/>
              </w:rPr>
              <w:t xml:space="preserve">Formalization of transparency and accountability standards ahead of scaled external funding</w:t>
            </w:r>
          </w:p>
        </w:tc>
      </w:tr>
    </w:tbl>
    <w:p>
      <w:pPr>
        <w:spacing w:after="200"/>
      </w:pPr>
    </w:p>
    <w:p>
      <w:pPr>
        <w:spacing w:after="200" w:line="300"/>
        <w:jc w:val="both"/>
      </w:pPr>
      <w:r>
        <w:rPr>
          <w:rFonts w:ascii="Calibri" w:cs="Calibri" w:eastAsia="Calibri" w:hAnsi="Calibri"/>
          <w:b w:val="false"/>
          <w:bCs w:val="false"/>
          <w:i w:val="false"/>
          <w:iCs w:val="false"/>
          <w:color w:val="1A1A1A"/>
          <w:sz w:val="22"/>
          <w:szCs w:val="22"/>
        </w:rPr>
        <w:t xml:space="preserve">Readers are encouraged to verify these milestones directly against CeloHT's public repositories and published materials, consistent with the organization's belief, stated in the chapter on Our Open Source Philosophy, that accountability should not depend on trusting CeloHT's account of itself.</w:t>
      </w:r>
    </w:p>
    <w:p>
      <w:pPr>
        <w:sectPr>
          <w:headerReference w:type="default" r:id="rId81"/>
          <w:footerReference w:type="default" r:id="rId82"/>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38</w:t>
      </w:r>
    </w:p>
    <w:p>
      <w:pPr>
        <w:pStyle w:val="Heading1"/>
        <w:pBdr>
          <w:bottom w:val="single" w:color="0B1120" w:sz="6" w:space="8"/>
        </w:pBdr>
        <w:spacing w:after="260"/>
      </w:pPr>
      <w:r>
        <w:rPr>
          <w:rFonts w:ascii="Cambria" w:cs="Cambria" w:eastAsia="Cambria" w:hAnsi="Cambria"/>
          <w:b/>
          <w:bCs/>
          <w:color w:val="0B1120"/>
          <w:sz w:val="40"/>
          <w:szCs w:val="40"/>
        </w:rPr>
        <w:t xml:space="preserve">Key Metrics</w:t>
      </w:r>
    </w:p>
    <w:p>
      <w:pPr>
        <w:spacing w:after="200" w:line="300"/>
        <w:jc w:val="both"/>
      </w:pPr>
      <w:r>
        <w:rPr>
          <w:rFonts w:ascii="Calibri" w:cs="Calibri" w:eastAsia="Calibri" w:hAnsi="Calibri"/>
          <w:b w:val="false"/>
          <w:bCs w:val="false"/>
          <w:i/>
          <w:iCs/>
          <w:color w:val="555555"/>
          <w:sz w:val="22"/>
          <w:szCs w:val="22"/>
        </w:rPr>
        <w:t xml:space="preserve">This section consolidates CeloHT's most important verifiable metrics into a single reference point.</w:t>
      </w:r>
    </w:p>
    <w:p>
      <w:pPr>
        <w:spacing w:after="200" w:line="300"/>
        <w:jc w:val="both"/>
      </w:pPr>
      <w:r>
        <w:rPr>
          <w:rFonts w:ascii="Calibri" w:cs="Calibri" w:eastAsia="Calibri" w:hAnsi="Calibri"/>
          <w:b w:val="false"/>
          <w:bCs w:val="false"/>
          <w:i w:val="false"/>
          <w:iCs w:val="false"/>
          <w:color w:val="1A1A1A"/>
          <w:sz w:val="22"/>
          <w:szCs w:val="22"/>
        </w:rPr>
        <w:t xml:space="preserve">This chapter draws together figures introduced throughout the book into a single reference table, intended to give investors and grant reviewers a quick, accurate snapshot of CeloHT's current state without needing to search earlier chapters.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rPr>
          <w:tblHeader/>
        </w:trPr>
        <w:tc>
          <w:tcPr>
            <w:tcW w:type="dxa" w:w="470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Metric</w:t>
            </w:r>
          </w:p>
        </w:tc>
        <w:tc>
          <w:tcPr>
            <w:tcW w:type="dxa" w:w="465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Current Figure</w:t>
            </w:r>
          </w:p>
        </w:tc>
      </w:tr>
      <w:tr>
        <w:tc>
          <w:tcPr>
            <w:tcW w:type="dxa" w:w="4700"/>
            <w:shd w:fill="FFFFFF" w:val="clear"/>
            <w:tcMar>
              <w:top w:type="dxa" w:w="90"/>
              <w:left w:type="dxa" w:w="140"/>
              <w:bottom w:type="dxa" w:w="90"/>
              <w:right w:type="dxa" w:w="140"/>
            </w:tcMar>
          </w:tcPr>
          <w:p>
            <w:r>
              <w:rPr>
                <w:rFonts w:ascii="Calibri" w:cs="Calibri" w:eastAsia="Calibri" w:hAnsi="Calibri"/>
                <w:color w:val="1A1A1A"/>
                <w:sz w:val="19"/>
                <w:szCs w:val="19"/>
              </w:rPr>
              <w:t xml:space="preserve">Founding date</w:t>
            </w:r>
          </w:p>
        </w:tc>
        <w:tc>
          <w:tcPr>
            <w:tcW w:type="dxa" w:w="4650"/>
            <w:shd w:fill="FFFFFF" w:val="clear"/>
            <w:tcMar>
              <w:top w:type="dxa" w:w="90"/>
              <w:left w:type="dxa" w:w="140"/>
              <w:bottom w:type="dxa" w:w="90"/>
              <w:right w:type="dxa" w:w="140"/>
            </w:tcMar>
          </w:tcPr>
          <w:p>
            <w:r>
              <w:rPr>
                <w:rFonts w:ascii="Calibri" w:cs="Calibri" w:eastAsia="Calibri" w:hAnsi="Calibri"/>
                <w:color w:val="1A1A1A"/>
                <w:sz w:val="19"/>
                <w:szCs w:val="19"/>
              </w:rPr>
              <w:t xml:space="preserve">April 16, 2022</w:t>
            </w:r>
          </w:p>
        </w:tc>
      </w:tr>
      <w:tr>
        <w:tc>
          <w:tcPr>
            <w:tcW w:type="dxa" w:w="4700"/>
            <w:shd w:fill="F5F6F8" w:val="clear"/>
            <w:tcMar>
              <w:top w:type="dxa" w:w="90"/>
              <w:left w:type="dxa" w:w="140"/>
              <w:bottom w:type="dxa" w:w="90"/>
              <w:right w:type="dxa" w:w="140"/>
            </w:tcMar>
          </w:tcPr>
          <w:p>
            <w:r>
              <w:rPr>
                <w:rFonts w:ascii="Calibri" w:cs="Calibri" w:eastAsia="Calibri" w:hAnsi="Calibri"/>
                <w:color w:val="1A1A1A"/>
                <w:sz w:val="19"/>
                <w:szCs w:val="19"/>
              </w:rPr>
              <w:t xml:space="preserve">Public GitHub repositories</w:t>
            </w:r>
          </w:p>
        </w:tc>
        <w:tc>
          <w:tcPr>
            <w:tcW w:type="dxa" w:w="4650"/>
            <w:shd w:fill="F5F6F8" w:val="clear"/>
            <w:tcMar>
              <w:top w:type="dxa" w:w="90"/>
              <w:left w:type="dxa" w:w="140"/>
              <w:bottom w:type="dxa" w:w="90"/>
              <w:right w:type="dxa" w:w="140"/>
            </w:tcMar>
          </w:tcPr>
          <w:p>
            <w:r>
              <w:rPr>
                <w:rFonts w:ascii="Calibri" w:cs="Calibri" w:eastAsia="Calibri" w:hAnsi="Calibri"/>
                <w:color w:val="1A1A1A"/>
                <w:sz w:val="19"/>
                <w:szCs w:val="19"/>
              </w:rPr>
              <w:t xml:space="preserve">Eight, spanning governance, documentation, research, website, dApp, smart contracts, brand, and community health</w:t>
            </w:r>
          </w:p>
        </w:tc>
      </w:tr>
      <w:tr>
        <w:tc>
          <w:tcPr>
            <w:tcW w:type="dxa" w:w="4700"/>
            <w:shd w:fill="FFFFFF" w:val="clear"/>
            <w:tcMar>
              <w:top w:type="dxa" w:w="90"/>
              <w:left w:type="dxa" w:w="140"/>
              <w:bottom w:type="dxa" w:w="90"/>
              <w:right w:type="dxa" w:w="140"/>
            </w:tcMar>
          </w:tcPr>
          <w:p>
            <w:r>
              <w:rPr>
                <w:rFonts w:ascii="Calibri" w:cs="Calibri" w:eastAsia="Calibri" w:hAnsi="Calibri"/>
                <w:color w:val="1A1A1A"/>
                <w:sz w:val="19"/>
                <w:szCs w:val="19"/>
              </w:rPr>
              <w:t xml:space="preserve">CeloHT Academy volumes completed</w:t>
            </w:r>
          </w:p>
        </w:tc>
        <w:tc>
          <w:tcPr>
            <w:tcW w:type="dxa" w:w="4650"/>
            <w:shd w:fill="FFFFFF" w:val="clear"/>
            <w:tcMar>
              <w:top w:type="dxa" w:w="90"/>
              <w:left w:type="dxa" w:w="140"/>
              <w:bottom w:type="dxa" w:w="90"/>
              <w:right w:type="dxa" w:w="140"/>
            </w:tcMar>
          </w:tcPr>
          <w:p>
            <w:r>
              <w:rPr>
                <w:rFonts w:ascii="Calibri" w:cs="Calibri" w:eastAsia="Calibri" w:hAnsi="Calibri"/>
                <w:color w:val="1A1A1A"/>
                <w:sz w:val="19"/>
                <w:szCs w:val="19"/>
              </w:rPr>
              <w:t xml:space="preserve">13 of 30 planned</w:t>
            </w:r>
          </w:p>
        </w:tc>
      </w:tr>
      <w:tr>
        <w:tc>
          <w:tcPr>
            <w:tcW w:type="dxa" w:w="4700"/>
            <w:shd w:fill="F5F6F8" w:val="clear"/>
            <w:tcMar>
              <w:top w:type="dxa" w:w="90"/>
              <w:left w:type="dxa" w:w="140"/>
              <w:bottom w:type="dxa" w:w="90"/>
              <w:right w:type="dxa" w:w="140"/>
            </w:tcMar>
          </w:tcPr>
          <w:p>
            <w:r>
              <w:rPr>
                <w:rFonts w:ascii="Calibri" w:cs="Calibri" w:eastAsia="Calibri" w:hAnsi="Calibri"/>
                <w:color w:val="1A1A1A"/>
                <w:sz w:val="19"/>
                <w:szCs w:val="19"/>
              </w:rPr>
              <w:t xml:space="preserve">Academy content published</w:t>
            </w:r>
          </w:p>
        </w:tc>
        <w:tc>
          <w:tcPr>
            <w:tcW w:type="dxa" w:w="4650"/>
            <w:shd w:fill="F5F6F8" w:val="clear"/>
            <w:tcMar>
              <w:top w:type="dxa" w:w="90"/>
              <w:left w:type="dxa" w:w="140"/>
              <w:bottom w:type="dxa" w:w="90"/>
              <w:right w:type="dxa" w:w="140"/>
            </w:tcMar>
          </w:tcPr>
          <w:p>
            <w:r>
              <w:rPr>
                <w:rFonts w:ascii="Calibri" w:cs="Calibri" w:eastAsia="Calibri" w:hAnsi="Calibri"/>
                <w:color w:val="1A1A1A"/>
                <w:sz w:val="19"/>
                <w:szCs w:val="19"/>
              </w:rPr>
              <w:t xml:space="preserve">More than 350 pages</w:t>
            </w:r>
          </w:p>
        </w:tc>
      </w:tr>
      <w:tr>
        <w:tc>
          <w:tcPr>
            <w:tcW w:type="dxa" w:w="4700"/>
            <w:shd w:fill="FFFFFF" w:val="clear"/>
            <w:tcMar>
              <w:top w:type="dxa" w:w="90"/>
              <w:left w:type="dxa" w:w="140"/>
              <w:bottom w:type="dxa" w:w="90"/>
              <w:right w:type="dxa" w:w="140"/>
            </w:tcMar>
          </w:tcPr>
          <w:p>
            <w:r>
              <w:rPr>
                <w:rFonts w:ascii="Calibri" w:cs="Calibri" w:eastAsia="Calibri" w:hAnsi="Calibri"/>
                <w:color w:val="1A1A1A"/>
                <w:sz w:val="19"/>
                <w:szCs w:val="19"/>
              </w:rPr>
              <w:t xml:space="preserve">Primary blockchain network</w:t>
            </w:r>
          </w:p>
        </w:tc>
        <w:tc>
          <w:tcPr>
            <w:tcW w:type="dxa" w:w="4650"/>
            <w:shd w:fill="FFFFFF" w:val="clear"/>
            <w:tcMar>
              <w:top w:type="dxa" w:w="90"/>
              <w:left w:type="dxa" w:w="140"/>
              <w:bottom w:type="dxa" w:w="90"/>
              <w:right w:type="dxa" w:w="140"/>
            </w:tcMar>
          </w:tcPr>
          <w:p>
            <w:r>
              <w:rPr>
                <w:rFonts w:ascii="Calibri" w:cs="Calibri" w:eastAsia="Calibri" w:hAnsi="Calibri"/>
                <w:color w:val="1A1A1A"/>
                <w:sz w:val="19"/>
                <w:szCs w:val="19"/>
              </w:rPr>
              <w:t xml:space="preserve">Celo</w:t>
            </w:r>
          </w:p>
        </w:tc>
      </w:tr>
      <w:tr>
        <w:tc>
          <w:tcPr>
            <w:tcW w:type="dxa" w:w="4700"/>
            <w:shd w:fill="F5F6F8" w:val="clear"/>
            <w:tcMar>
              <w:top w:type="dxa" w:w="90"/>
              <w:left w:type="dxa" w:w="140"/>
              <w:bottom w:type="dxa" w:w="90"/>
              <w:right w:type="dxa" w:w="140"/>
            </w:tcMar>
          </w:tcPr>
          <w:p>
            <w:r>
              <w:rPr>
                <w:rFonts w:ascii="Calibri" w:cs="Calibri" w:eastAsia="Calibri" w:hAnsi="Calibri"/>
                <w:color w:val="1A1A1A"/>
                <w:sz w:val="19"/>
                <w:szCs w:val="19"/>
              </w:rPr>
              <w:t xml:space="preserve">Primary stablecoin used</w:t>
            </w:r>
          </w:p>
        </w:tc>
        <w:tc>
          <w:tcPr>
            <w:tcW w:type="dxa" w:w="4650"/>
            <w:shd w:fill="F5F6F8" w:val="clear"/>
            <w:tcMar>
              <w:top w:type="dxa" w:w="90"/>
              <w:left w:type="dxa" w:w="140"/>
              <w:bottom w:type="dxa" w:w="90"/>
              <w:right w:type="dxa" w:w="140"/>
            </w:tcMar>
          </w:tcPr>
          <w:p>
            <w:r>
              <w:rPr>
                <w:rFonts w:ascii="Calibri" w:cs="Calibri" w:eastAsia="Calibri" w:hAnsi="Calibri"/>
                <w:color w:val="1A1A1A"/>
                <w:sz w:val="19"/>
                <w:szCs w:val="19"/>
              </w:rPr>
              <w:t xml:space="preserve">USDm (formerly cUSD)</w:t>
            </w:r>
          </w:p>
        </w:tc>
      </w:tr>
      <w:tr>
        <w:tc>
          <w:tcPr>
            <w:tcW w:type="dxa" w:w="4700"/>
            <w:shd w:fill="FFFFFF" w:val="clear"/>
            <w:tcMar>
              <w:top w:type="dxa" w:w="90"/>
              <w:left w:type="dxa" w:w="140"/>
              <w:bottom w:type="dxa" w:w="90"/>
              <w:right w:type="dxa" w:w="140"/>
            </w:tcMar>
          </w:tcPr>
          <w:p>
            <w:r>
              <w:rPr>
                <w:rFonts w:ascii="Calibri" w:cs="Calibri" w:eastAsia="Calibri" w:hAnsi="Calibri"/>
                <w:color w:val="1A1A1A"/>
                <w:sz w:val="19"/>
                <w:szCs w:val="19"/>
              </w:rPr>
              <w:t xml:space="preserve">Primary wallet integration</w:t>
            </w:r>
          </w:p>
        </w:tc>
        <w:tc>
          <w:tcPr>
            <w:tcW w:type="dxa" w:w="4650"/>
            <w:shd w:fill="FFFFFF" w:val="clear"/>
            <w:tcMar>
              <w:top w:type="dxa" w:w="90"/>
              <w:left w:type="dxa" w:w="140"/>
              <w:bottom w:type="dxa" w:w="90"/>
              <w:right w:type="dxa" w:w="140"/>
            </w:tcMar>
          </w:tcPr>
          <w:p>
            <w:r>
              <w:rPr>
                <w:rFonts w:ascii="Calibri" w:cs="Calibri" w:eastAsia="Calibri" w:hAnsi="Calibri"/>
                <w:color w:val="1A1A1A"/>
                <w:sz w:val="19"/>
                <w:szCs w:val="19"/>
              </w:rPr>
              <w:t xml:space="preserve">Valora</w:t>
            </w:r>
          </w:p>
        </w:tc>
      </w:tr>
      <w:tr>
        <w:tc>
          <w:tcPr>
            <w:tcW w:type="dxa" w:w="4700"/>
            <w:shd w:fill="F5F6F8" w:val="clear"/>
            <w:tcMar>
              <w:top w:type="dxa" w:w="90"/>
              <w:left w:type="dxa" w:w="140"/>
              <w:bottom w:type="dxa" w:w="90"/>
              <w:right w:type="dxa" w:w="140"/>
            </w:tcMar>
          </w:tcPr>
          <w:p>
            <w:r>
              <w:rPr>
                <w:rFonts w:ascii="Calibri" w:cs="Calibri" w:eastAsia="Calibri" w:hAnsi="Calibri"/>
                <w:color w:val="1A1A1A"/>
                <w:sz w:val="19"/>
                <w:szCs w:val="19"/>
              </w:rPr>
              <w:t xml:space="preserve">Token or cryptocurrency issued</w:t>
            </w:r>
          </w:p>
        </w:tc>
        <w:tc>
          <w:tcPr>
            <w:tcW w:type="dxa" w:w="4650"/>
            <w:shd w:fill="F5F6F8" w:val="clear"/>
            <w:tcMar>
              <w:top w:type="dxa" w:w="90"/>
              <w:left w:type="dxa" w:w="140"/>
              <w:bottom w:type="dxa" w:w="90"/>
              <w:right w:type="dxa" w:w="140"/>
            </w:tcMar>
          </w:tcPr>
          <w:p>
            <w:r>
              <w:rPr>
                <w:rFonts w:ascii="Calibri" w:cs="Calibri" w:eastAsia="Calibri" w:hAnsi="Calibri"/>
                <w:color w:val="1A1A1A"/>
                <w:sz w:val="19"/>
                <w:szCs w:val="19"/>
              </w:rPr>
              <w:t xml:space="preserve">None</w:t>
            </w:r>
          </w:p>
        </w:tc>
      </w:tr>
      <w:tr>
        <w:tc>
          <w:tcPr>
            <w:tcW w:type="dxa" w:w="4700"/>
            <w:shd w:fill="FFFFFF" w:val="clear"/>
            <w:tcMar>
              <w:top w:type="dxa" w:w="90"/>
              <w:left w:type="dxa" w:w="140"/>
              <w:bottom w:type="dxa" w:w="90"/>
              <w:right w:type="dxa" w:w="140"/>
            </w:tcMar>
          </w:tcPr>
          <w:p>
            <w:r>
              <w:rPr>
                <w:rFonts w:ascii="Calibri" w:cs="Calibri" w:eastAsia="Calibri" w:hAnsi="Calibri"/>
                <w:color w:val="1A1A1A"/>
                <w:sz w:val="19"/>
                <w:szCs w:val="19"/>
              </w:rPr>
              <w:t xml:space="preserve">Founding team location</w:t>
            </w:r>
          </w:p>
        </w:tc>
        <w:tc>
          <w:tcPr>
            <w:tcW w:type="dxa" w:w="4650"/>
            <w:shd w:fill="FFFFFF" w:val="clear"/>
            <w:tcMar>
              <w:top w:type="dxa" w:w="90"/>
              <w:left w:type="dxa" w:w="140"/>
              <w:bottom w:type="dxa" w:w="90"/>
              <w:right w:type="dxa" w:w="140"/>
            </w:tcMar>
          </w:tcPr>
          <w:p>
            <w:r>
              <w:rPr>
                <w:rFonts w:ascii="Calibri" w:cs="Calibri" w:eastAsia="Calibri" w:hAnsi="Calibri"/>
                <w:color w:val="1A1A1A"/>
                <w:sz w:val="19"/>
                <w:szCs w:val="19"/>
              </w:rPr>
              <w:t xml:space="preserve">Léogâne, Haiti</w:t>
            </w:r>
          </w:p>
        </w:tc>
      </w:tr>
      <w:tr>
        <w:tc>
          <w:tcPr>
            <w:tcW w:type="dxa" w:w="4700"/>
            <w:shd w:fill="F5F6F8" w:val="clear"/>
            <w:tcMar>
              <w:top w:type="dxa" w:w="90"/>
              <w:left w:type="dxa" w:w="140"/>
              <w:bottom w:type="dxa" w:w="90"/>
              <w:right w:type="dxa" w:w="140"/>
            </w:tcMar>
          </w:tcPr>
          <w:p>
            <w:r>
              <w:rPr>
                <w:rFonts w:ascii="Calibri" w:cs="Calibri" w:eastAsia="Calibri" w:hAnsi="Calibri"/>
                <w:color w:val="1A1A1A"/>
                <w:sz w:val="19"/>
                <w:szCs w:val="19"/>
              </w:rPr>
              <w:t xml:space="preserve">Roadmap phase</w:t>
            </w:r>
          </w:p>
        </w:tc>
        <w:tc>
          <w:tcPr>
            <w:tcW w:type="dxa" w:w="4650"/>
            <w:shd w:fill="F5F6F8" w:val="clear"/>
            <w:tcMar>
              <w:top w:type="dxa" w:w="90"/>
              <w:left w:type="dxa" w:w="140"/>
              <w:bottom w:type="dxa" w:w="90"/>
              <w:right w:type="dxa" w:w="140"/>
            </w:tcMar>
          </w:tcPr>
          <w:p>
            <w:r>
              <w:rPr>
                <w:rFonts w:ascii="Calibri" w:cs="Calibri" w:eastAsia="Calibri" w:hAnsi="Calibri"/>
                <w:color w:val="1A1A1A"/>
                <w:sz w:val="19"/>
                <w:szCs w:val="19"/>
              </w:rPr>
              <w:t xml:space="preserve">Phase 1 (Foundation), with early Phase 2 activity underway</w:t>
            </w:r>
          </w:p>
        </w:tc>
      </w:tr>
    </w:tbl>
    <w:p>
      <w:pPr>
        <w:spacing w:after="200"/>
      </w:pPr>
    </w:p>
    <w:p>
      <w:pPr>
        <w:spacing w:after="200" w:line="300"/>
        <w:jc w:val="both"/>
      </w:pPr>
      <w:r>
        <w:rPr>
          <w:rFonts w:ascii="Calibri" w:cs="Calibri" w:eastAsia="Calibri" w:hAnsi="Calibri"/>
          <w:b w:val="false"/>
          <w:bCs w:val="false"/>
          <w:i w:val="false"/>
          <w:iCs w:val="false"/>
          <w:color w:val="1A1A1A"/>
          <w:sz w:val="22"/>
          <w:szCs w:val="22"/>
        </w:rPr>
        <w:t xml:space="preserve">Every figure in this table corresponds to a claim made and explained in greater detail elsewhere in this manuscript. None is presented here without that supporting context, in keeping with the principle that a metric divorced from explanation is easily misread.</w:t>
      </w:r>
    </w:p>
    <w:p>
      <w:pPr>
        <w:sectPr>
          <w:headerReference w:type="default" r:id="rId83"/>
          <w:footerReference w:type="default" r:id="rId84"/>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39</w:t>
      </w:r>
    </w:p>
    <w:p>
      <w:pPr>
        <w:pStyle w:val="Heading1"/>
        <w:pBdr>
          <w:bottom w:val="single" w:color="0B1120" w:sz="6" w:space="8"/>
        </w:pBdr>
        <w:spacing w:after="260"/>
      </w:pPr>
      <w:r>
        <w:rPr>
          <w:rFonts w:ascii="Cambria" w:cs="Cambria" w:eastAsia="Cambria" w:hAnsi="Cambria"/>
          <w:b/>
          <w:bCs/>
          <w:color w:val="0B1120"/>
          <w:sz w:val="40"/>
          <w:szCs w:val="40"/>
        </w:rPr>
        <w:t xml:space="preserve">Case Studies</w:t>
      </w:r>
    </w:p>
    <w:p>
      <w:pPr>
        <w:spacing w:after="200" w:line="300"/>
        <w:jc w:val="both"/>
      </w:pPr>
      <w:r>
        <w:rPr>
          <w:rFonts w:ascii="Calibri" w:cs="Calibri" w:eastAsia="Calibri" w:hAnsi="Calibri"/>
          <w:b w:val="false"/>
          <w:bCs w:val="false"/>
          <w:i/>
          <w:iCs/>
          <w:color w:val="555555"/>
          <w:sz w:val="22"/>
          <w:szCs w:val="22"/>
        </w:rPr>
        <w:t xml:space="preserve">The discussion here presents detailed case studies of CeloHT's work where sufficient documented evidence exists, and states plainly where it does not yet.</w:t>
      </w:r>
    </w:p>
    <w:p>
      <w:pPr>
        <w:spacing w:after="200" w:line="300"/>
        <w:jc w:val="both"/>
      </w:pPr>
      <w:r>
        <w:rPr>
          <w:rFonts w:ascii="Calibri" w:cs="Calibri" w:eastAsia="Calibri" w:hAnsi="Calibri"/>
          <w:b w:val="false"/>
          <w:bCs w:val="false"/>
          <w:i w:val="false"/>
          <w:iCs w:val="false"/>
          <w:color w:val="1A1A1A"/>
          <w:sz w:val="22"/>
          <w:szCs w:val="22"/>
        </w:rPr>
        <w:t xml:space="preserve">A rigorous case study requires documented before-and-after evidence, typically gathered over a period of sustained program operation. CeloHT's Agent Network and applied financial-tool usage are still early enough in their deployment that this book does not present fabricated or composite case studies in place of that evidence, in keeping with the organization's explicit no-fictional-data standard.</w:t>
      </w:r>
    </w:p>
    <w:p>
      <w:pPr>
        <w:pStyle w:val="Heading2"/>
        <w:spacing w:after="140" w:before="260"/>
      </w:pPr>
      <w:r>
        <w:rPr>
          <w:rFonts w:ascii="Cambria" w:cs="Cambria" w:eastAsia="Cambria" w:hAnsi="Cambria"/>
          <w:b/>
          <w:bCs/>
          <w:color w:val="0B1120"/>
          <w:sz w:val="26"/>
          <w:szCs w:val="26"/>
        </w:rPr>
        <w:t xml:space="preserve">What Can Be Documented Today</w:t>
      </w:r>
    </w:p>
    <w:p>
      <w:pPr>
        <w:spacing w:after="200" w:line="300"/>
        <w:jc w:val="both"/>
      </w:pPr>
      <w:r>
        <w:rPr>
          <w:rFonts w:ascii="Calibri" w:cs="Calibri" w:eastAsia="Calibri" w:hAnsi="Calibri"/>
          <w:b w:val="false"/>
          <w:bCs w:val="false"/>
          <w:i w:val="false"/>
          <w:iCs w:val="false"/>
          <w:color w:val="1A1A1A"/>
          <w:sz w:val="22"/>
          <w:szCs w:val="22"/>
        </w:rPr>
        <w:t xml:space="preserve">What can be documented with confidence at this stage is process-level case evidence: the GitHub organizational audit conducted on CeloHT's public repositories, which identified specific, named configuration gaps and produced a twenty-two-file remediation package addressing them, is one example of a completed, verifiable case. This is a case study in organizational maturity and self-correction rather than end-user financial outcomes, and it is presented as such.</w:t>
      </w:r>
    </w:p>
    <w:p>
      <w:pPr>
        <w:pStyle w:val="Heading2"/>
        <w:spacing w:after="140" w:before="260"/>
      </w:pPr>
      <w:r>
        <w:rPr>
          <w:rFonts w:ascii="Cambria" w:cs="Cambria" w:eastAsia="Cambria" w:hAnsi="Cambria"/>
          <w:b/>
          <w:bCs/>
          <w:color w:val="0B1120"/>
          <w:sz w:val="26"/>
          <w:szCs w:val="26"/>
        </w:rPr>
        <w:t xml:space="preserve">What This Chapter Will Contain in Future Editions</w:t>
      </w:r>
    </w:p>
    <w:p>
      <w:pPr>
        <w:spacing w:after="200" w:line="300"/>
        <w:jc w:val="both"/>
      </w:pPr>
      <w:r>
        <w:rPr>
          <w:rFonts w:ascii="Calibri" w:cs="Calibri" w:eastAsia="Calibri" w:hAnsi="Calibri"/>
          <w:b w:val="false"/>
          <w:bCs w:val="false"/>
          <w:i w:val="false"/>
          <w:iCs w:val="false"/>
          <w:color w:val="1A1A1A"/>
          <w:sz w:val="22"/>
          <w:szCs w:val="22"/>
        </w:rPr>
        <w:t xml:space="preserve">As the Agent Network pilot referenced in the Roadmap chapter proceeds, this chapter is intended to be replaced with genuine, individually documented case studies of specific communities or households, gathered with appropriate consent and verified against the same evidentiary standard applied to every other chapter of this book. Readers evaluating CeloHT today should treat the absence of such case studies as an accurate reflection of the organization's current stage, not as a gap concealed by generic or invented examples.</w:t>
      </w:r>
    </w:p>
    <w:p>
      <w:pPr>
        <w:sectPr>
          <w:headerReference w:type="default" r:id="rId85"/>
          <w:footerReference w:type="default" r:id="rId86"/>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40</w:t>
      </w:r>
    </w:p>
    <w:p>
      <w:pPr>
        <w:pStyle w:val="Heading1"/>
        <w:pBdr>
          <w:bottom w:val="single" w:color="0B1120" w:sz="6" w:space="8"/>
        </w:pBdr>
        <w:spacing w:after="260"/>
      </w:pPr>
      <w:r>
        <w:rPr>
          <w:rFonts w:ascii="Cambria" w:cs="Cambria" w:eastAsia="Cambria" w:hAnsi="Cambria"/>
          <w:b/>
          <w:bCs/>
          <w:color w:val="0B1120"/>
          <w:sz w:val="40"/>
          <w:szCs w:val="40"/>
        </w:rPr>
        <w:t xml:space="preserve">User Stories</w:t>
      </w:r>
    </w:p>
    <w:p>
      <w:pPr>
        <w:spacing w:after="200" w:line="300"/>
        <w:jc w:val="both"/>
      </w:pPr>
      <w:r>
        <w:rPr>
          <w:rFonts w:ascii="Calibri" w:cs="Calibri" w:eastAsia="Calibri" w:hAnsi="Calibri"/>
          <w:b w:val="false"/>
          <w:bCs w:val="false"/>
          <w:i/>
          <w:iCs/>
          <w:color w:val="555555"/>
          <w:sz w:val="22"/>
          <w:szCs w:val="22"/>
        </w:rPr>
        <w:t xml:space="preserve">This chapter describes representative user journeys through CeloHT's educational and technical platform, distinguished clearly from documented individual accounts.</w:t>
      </w:r>
    </w:p>
    <w:p>
      <w:pPr>
        <w:spacing w:after="200" w:line="300"/>
        <w:jc w:val="both"/>
      </w:pPr>
      <w:r>
        <w:rPr>
          <w:rFonts w:ascii="Calibri" w:cs="Calibri" w:eastAsia="Calibri" w:hAnsi="Calibri"/>
          <w:b w:val="false"/>
          <w:bCs w:val="false"/>
          <w:i w:val="false"/>
          <w:iCs w:val="false"/>
          <w:color w:val="1A1A1A"/>
          <w:sz w:val="22"/>
          <w:szCs w:val="22"/>
        </w:rPr>
        <w:t xml:space="preserve">This chapter presents illustrative user journeys describing how the CeloHT platform is designed to be used. These are presented as representative journeys through the product design, not as accounts of specific, named individuals, a distinction this book maintains deliberately rather than blurring for narrative effect.</w:t>
      </w:r>
    </w:p>
    <w:p>
      <w:pPr>
        <w:pStyle w:val="Heading2"/>
        <w:spacing w:after="140" w:before="260"/>
      </w:pPr>
      <w:r>
        <w:rPr>
          <w:rFonts w:ascii="Cambria" w:cs="Cambria" w:eastAsia="Cambria" w:hAnsi="Cambria"/>
          <w:b/>
          <w:bCs/>
          <w:color w:val="0B1120"/>
          <w:sz w:val="26"/>
          <w:szCs w:val="26"/>
        </w:rPr>
        <w:t xml:space="preserve">Illustrative Journey: The First-Time Learner</w:t>
      </w:r>
    </w:p>
    <w:p>
      <w:pPr>
        <w:spacing w:after="200" w:line="300"/>
        <w:jc w:val="both"/>
      </w:pPr>
      <w:r>
        <w:rPr>
          <w:rFonts w:ascii="Calibri" w:cs="Calibri" w:eastAsia="Calibri" w:hAnsi="Calibri"/>
          <w:b w:val="false"/>
          <w:bCs w:val="false"/>
          <w:i w:val="false"/>
          <w:iCs w:val="false"/>
          <w:color w:val="1A1A1A"/>
          <w:sz w:val="22"/>
          <w:szCs w:val="22"/>
        </w:rPr>
        <w:t xml:space="preserve">A representative first-time learner begins with an introductory Academy volume covering basic digital-finance concepts in Haitian Creole, often after an initial conversation with a local agent. From there, the design intends for the learner to progress at their own pace through additional volumes relevant to their interests, optionally engaging with the dApp prototype to see how concepts such as wallet transactions and governance voting function in a simulated, risk-free environment before any live use.</w:t>
      </w:r>
    </w:p>
    <w:p>
      <w:pPr>
        <w:pStyle w:val="Heading2"/>
        <w:spacing w:after="140" w:before="260"/>
      </w:pPr>
      <w:r>
        <w:rPr>
          <w:rFonts w:ascii="Cambria" w:cs="Cambria" w:eastAsia="Cambria" w:hAnsi="Cambria"/>
          <w:b/>
          <w:bCs/>
          <w:color w:val="0B1120"/>
          <w:sz w:val="26"/>
          <w:szCs w:val="26"/>
        </w:rPr>
        <w:t xml:space="preserve">Illustrative Journey: The Aspiring Contributor</w:t>
      </w:r>
    </w:p>
    <w:p>
      <w:pPr>
        <w:spacing w:after="200" w:line="300"/>
        <w:jc w:val="both"/>
      </w:pPr>
      <w:r>
        <w:rPr>
          <w:rFonts w:ascii="Calibri" w:cs="Calibri" w:eastAsia="Calibri" w:hAnsi="Calibri"/>
          <w:b w:val="false"/>
          <w:bCs w:val="false"/>
          <w:i w:val="false"/>
          <w:iCs w:val="false"/>
          <w:color w:val="1A1A1A"/>
          <w:sz w:val="22"/>
          <w:szCs w:val="22"/>
        </w:rPr>
        <w:t xml:space="preserve">A representative aspiring developer contributor might discover CeloHT through its public GitHub organization, begin with a smaller documentation or website contribution given the modular repository structure described earlier, and progress toward more substantial technical contributions as they build familiarity with the codebase and demonstrate sustained engagement, consistent with the core-contributor pathway described in the chapter on Developer Ecosystem.</w:t>
      </w:r>
    </w:p>
    <w:p>
      <w:pPr>
        <w:spacing w:after="200" w:line="300"/>
        <w:jc w:val="both"/>
      </w:pPr>
      <w:r>
        <w:rPr>
          <w:rFonts w:ascii="Calibri" w:cs="Calibri" w:eastAsia="Calibri" w:hAnsi="Calibri"/>
          <w:b w:val="false"/>
          <w:bCs w:val="false"/>
          <w:i w:val="false"/>
          <w:iCs w:val="false"/>
          <w:color w:val="1A1A1A"/>
          <w:sz w:val="22"/>
          <w:szCs w:val="22"/>
        </w:rPr>
        <w:t xml:space="preserve">Both journeys describe the platform's intended design rather than a specific person's documented experience. As the Agent Network pilot generates real, consented user accounts, this chapter is intended to incorporate genuine individual stories alongside, or in place of, these illustrative journeys.</w:t>
      </w:r>
    </w:p>
    <w:p>
      <w:pPr>
        <w:sectPr>
          <w:headerReference w:type="default" r:id="rId87"/>
          <w:footerReference w:type="default" r:id="rId88"/>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41</w:t>
      </w:r>
    </w:p>
    <w:p>
      <w:pPr>
        <w:pStyle w:val="Heading1"/>
        <w:pBdr>
          <w:bottom w:val="single" w:color="0B1120" w:sz="6" w:space="8"/>
        </w:pBdr>
        <w:spacing w:after="260"/>
      </w:pPr>
      <w:r>
        <w:rPr>
          <w:rFonts w:ascii="Cambria" w:cs="Cambria" w:eastAsia="Cambria" w:hAnsi="Cambria"/>
          <w:b/>
          <w:bCs/>
          <w:color w:val="0B1120"/>
          <w:sz w:val="40"/>
          <w:szCs w:val="40"/>
        </w:rPr>
        <w:t xml:space="preserve">Community Testimonials</w:t>
      </w:r>
    </w:p>
    <w:p>
      <w:pPr>
        <w:spacing w:after="200" w:line="300"/>
        <w:jc w:val="both"/>
      </w:pPr>
      <w:r>
        <w:rPr>
          <w:rFonts w:ascii="Calibri" w:cs="Calibri" w:eastAsia="Calibri" w:hAnsi="Calibri"/>
          <w:b w:val="false"/>
          <w:bCs w:val="false"/>
          <w:i/>
          <w:iCs/>
          <w:color w:val="555555"/>
          <w:sz w:val="22"/>
          <w:szCs w:val="22"/>
        </w:rPr>
        <w:t xml:space="preserve">The chapter that follows explains CeloHT's approach to gathering and presenting community testimonials, and the current status of this effort.</w:t>
      </w:r>
    </w:p>
    <w:p>
      <w:pPr>
        <w:spacing w:after="200" w:line="300"/>
        <w:jc w:val="both"/>
      </w:pPr>
      <w:r>
        <w:rPr>
          <w:rFonts w:ascii="Calibri" w:cs="Calibri" w:eastAsia="Calibri" w:hAnsi="Calibri"/>
          <w:b w:val="false"/>
          <w:bCs w:val="false"/>
          <w:i w:val="false"/>
          <w:iCs w:val="false"/>
          <w:color w:val="1A1A1A"/>
          <w:sz w:val="22"/>
          <w:szCs w:val="22"/>
        </w:rPr>
        <w:t xml:space="preserve">Genuine testimonials carry evidentiary weight precisely because they are attributable to real individuals who have consented to share their experience publicly. CeloHT has not yet conducted a structured testimonial collection process tied to formal consent and attribution standards, and this book does not manufacture testimonial content to fill that gap, consistent with the standard applied throughout this book.</w:t>
      </w:r>
    </w:p>
    <w:p>
      <w:pPr>
        <w:pStyle w:val="Heading2"/>
        <w:spacing w:after="140" w:before="260"/>
      </w:pPr>
      <w:r>
        <w:rPr>
          <w:rFonts w:ascii="Cambria" w:cs="Cambria" w:eastAsia="Cambria" w:hAnsi="Cambria"/>
          <w:b/>
          <w:bCs/>
          <w:color w:val="0B1120"/>
          <w:sz w:val="26"/>
          <w:szCs w:val="26"/>
        </w:rPr>
        <w:t xml:space="preserve">The Planned Process</w:t>
      </w:r>
    </w:p>
    <w:p>
      <w:pPr>
        <w:spacing w:after="200" w:line="300"/>
        <w:jc w:val="both"/>
      </w:pPr>
      <w:r>
        <w:rPr>
          <w:rFonts w:ascii="Calibri" w:cs="Calibri" w:eastAsia="Calibri" w:hAnsi="Calibri"/>
          <w:b w:val="false"/>
          <w:bCs w:val="false"/>
          <w:i w:val="false"/>
          <w:iCs w:val="false"/>
          <w:color w:val="1A1A1A"/>
          <w:sz w:val="22"/>
          <w:szCs w:val="22"/>
        </w:rPr>
        <w:t xml:space="preserve">CeloHT's intended process for future editions of this book involves collecting testimonials directly from Academy learners, agents, and technical contributors, with explicit consent for public attribution, including the option for a contributor to remain anonymous or identified by first name and general location only, respecting the privacy preferences of individuals in communities where public association with financial technology may carry personal considerations.</w:t>
      </w:r>
    </w:p>
    <w:p>
      <w:pPr>
        <w:spacing w:after="200" w:line="300"/>
        <w:jc w:val="both"/>
      </w:pPr>
      <w:r>
        <w:rPr>
          <w:rFonts w:ascii="Calibri" w:cs="Calibri" w:eastAsia="Calibri" w:hAnsi="Calibri"/>
          <w:b w:val="false"/>
          <w:bCs w:val="false"/>
          <w:i w:val="false"/>
          <w:iCs w:val="false"/>
          <w:color w:val="1A1A1A"/>
          <w:sz w:val="22"/>
          <w:szCs w:val="22"/>
        </w:rPr>
        <w:t xml:space="preserve">Readers are invited to treat the absence of testimonials in this edition as consistent with, rather than contradictory to, the transparency standard this book has maintained throughout: an unverified quotation attributed to an unnamed community member would carry the appearance of evidence without its substance.</w:t>
      </w:r>
    </w:p>
    <w:p>
      <w:pPr>
        <w:sectPr>
          <w:headerReference w:type="default" r:id="rId89"/>
          <w:footerReference w:type="default" r:id="rId90"/>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42</w:t>
      </w:r>
    </w:p>
    <w:p>
      <w:pPr>
        <w:pStyle w:val="Heading1"/>
        <w:pBdr>
          <w:bottom w:val="single" w:color="0B1120" w:sz="6" w:space="8"/>
        </w:pBdr>
        <w:spacing w:after="260"/>
      </w:pPr>
      <w:r>
        <w:rPr>
          <w:rFonts w:ascii="Cambria" w:cs="Cambria" w:eastAsia="Cambria" w:hAnsi="Cambria"/>
          <w:b/>
          <w:bCs/>
          <w:color w:val="0B1120"/>
          <w:sz w:val="40"/>
          <w:szCs w:val="40"/>
        </w:rPr>
        <w:t xml:space="preserve">Lessons Learned</w:t>
      </w:r>
    </w:p>
    <w:p>
      <w:pPr>
        <w:spacing w:after="200" w:line="300"/>
        <w:jc w:val="both"/>
      </w:pPr>
      <w:r>
        <w:rPr>
          <w:rFonts w:ascii="Calibri" w:cs="Calibri" w:eastAsia="Calibri" w:hAnsi="Calibri"/>
          <w:b w:val="false"/>
          <w:bCs w:val="false"/>
          <w:i/>
          <w:iCs/>
          <w:color w:val="555555"/>
          <w:sz w:val="22"/>
          <w:szCs w:val="22"/>
        </w:rPr>
        <w:t xml:space="preserve">This section shares specific, concrete lessons CeloHT has drawn from its work to date.</w:t>
      </w:r>
    </w:p>
    <w:p>
      <w:pPr>
        <w:pStyle w:val="Heading2"/>
        <w:spacing w:after="140" w:before="260"/>
      </w:pPr>
      <w:r>
        <w:rPr>
          <w:rFonts w:ascii="Cambria" w:cs="Cambria" w:eastAsia="Cambria" w:hAnsi="Cambria"/>
          <w:b/>
          <w:bCs/>
          <w:color w:val="0B1120"/>
          <w:sz w:val="26"/>
          <w:szCs w:val="26"/>
        </w:rPr>
        <w:t xml:space="preserve">Lesson 1: Documentation Debt Compounds Quickly</w:t>
      </w:r>
    </w:p>
    <w:p>
      <w:pPr>
        <w:spacing w:after="200" w:line="300"/>
        <w:jc w:val="both"/>
      </w:pPr>
      <w:r>
        <w:rPr>
          <w:rFonts w:ascii="Calibri" w:cs="Calibri" w:eastAsia="Calibri" w:hAnsi="Calibri"/>
          <w:b w:val="false"/>
          <w:bCs w:val="false"/>
          <w:i w:val="false"/>
          <w:iCs w:val="false"/>
          <w:color w:val="1A1A1A"/>
          <w:sz w:val="22"/>
          <w:szCs w:val="22"/>
        </w:rPr>
        <w:t xml:space="preserve">The GitHub organizational audit that scored CeloHT's repositories at 41 out of 100 on open-source maturity was, in retrospect, a valuable early corrective. The gaps identified were largely configuration and documentation issues rather than problems with the underlying code, but they illustrated how quickly a fast-moving technical project can accumulate documentation debt if onboarding materials, contribution guidelines, and issue templates are treated as secondary to feature work. The subsequent remediation effort has informed a standing practice of documenting each repository component as it is built, rather than after the fact.</w:t>
      </w:r>
    </w:p>
    <w:p>
      <w:pPr>
        <w:pStyle w:val="Heading2"/>
        <w:spacing w:after="140" w:before="260"/>
      </w:pPr>
      <w:r>
        <w:rPr>
          <w:rFonts w:ascii="Cambria" w:cs="Cambria" w:eastAsia="Cambria" w:hAnsi="Cambria"/>
          <w:b/>
          <w:bCs/>
          <w:color w:val="0B1120"/>
          <w:sz w:val="26"/>
          <w:szCs w:val="26"/>
        </w:rPr>
        <w:t xml:space="preserve">Lesson 2: Sequencing Education Before Technology Is Harder Than It Sounds</w:t>
      </w:r>
    </w:p>
    <w:p>
      <w:pPr>
        <w:spacing w:after="200" w:line="300"/>
        <w:jc w:val="both"/>
      </w:pPr>
      <w:r>
        <w:rPr>
          <w:rFonts w:ascii="Calibri" w:cs="Calibri" w:eastAsia="Calibri" w:hAnsi="Calibri"/>
          <w:b w:val="false"/>
          <w:bCs w:val="false"/>
          <w:i w:val="false"/>
          <w:iCs w:val="false"/>
          <w:color w:val="1A1A1A"/>
          <w:sz w:val="22"/>
          <w:szCs w:val="22"/>
        </w:rPr>
        <w:t xml:space="preserve">CeloHT's founding premise, that education should precede technical deployment, is easier to state as a principle than to sustain in practice, particularly when technical work often produces more visible, demonstrable progress than curriculum development. Maintaining this sequencing has required deliberate internal discipline to avoid the common pattern of technical launches outrunning the educational materials meant to support them.</w:t>
      </w:r>
    </w:p>
    <w:p>
      <w:pPr>
        <w:pStyle w:val="Heading2"/>
        <w:spacing w:after="140" w:before="260"/>
      </w:pPr>
      <w:r>
        <w:rPr>
          <w:rFonts w:ascii="Cambria" w:cs="Cambria" w:eastAsia="Cambria" w:hAnsi="Cambria"/>
          <w:b/>
          <w:bCs/>
          <w:color w:val="0B1120"/>
          <w:sz w:val="26"/>
          <w:szCs w:val="26"/>
        </w:rPr>
        <w:t xml:space="preserve">Lesson 3: A Small Team Requires Ruthless Prioritization</w:t>
      </w:r>
    </w:p>
    <w:p>
      <w:pPr>
        <w:spacing w:after="200" w:line="300"/>
        <w:jc w:val="both"/>
      </w:pPr>
      <w:r>
        <w:rPr>
          <w:rFonts w:ascii="Calibri" w:cs="Calibri" w:eastAsia="Calibri" w:hAnsi="Calibri"/>
          <w:b w:val="false"/>
          <w:bCs w:val="false"/>
          <w:i w:val="false"/>
          <w:iCs w:val="false"/>
          <w:color w:val="1A1A1A"/>
          <w:sz w:val="22"/>
          <w:szCs w:val="22"/>
        </w:rPr>
        <w:t xml:space="preserve">With a founder-led core team, CeloHT has had to make continual trade-offs between technical development, educational production, and community engagement, none of which can be fully staffed simultaneously at current resource levels. The organization's response has been to sequence work in phases, as described in the Roadmap chapter, rather than attempting parallel progress across every pillar at once. This discipline has slowed some areas of visible output in exchange for higher completion quality in others.</w:t>
      </w:r>
    </w:p>
    <w:p>
      <w:pPr>
        <w:sectPr>
          <w:headerReference w:type="default" r:id="rId91"/>
          <w:footerReference w:type="default" r:id="rId92"/>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43</w:t>
      </w:r>
    </w:p>
    <w:p>
      <w:pPr>
        <w:pStyle w:val="Heading1"/>
        <w:pBdr>
          <w:bottom w:val="single" w:color="0B1120" w:sz="6" w:space="8"/>
        </w:pBdr>
        <w:spacing w:after="260"/>
      </w:pPr>
      <w:r>
        <w:rPr>
          <w:rFonts w:ascii="Cambria" w:cs="Cambria" w:eastAsia="Cambria" w:hAnsi="Cambria"/>
          <w:b/>
          <w:bCs/>
          <w:color w:val="0B1120"/>
          <w:sz w:val="40"/>
          <w:szCs w:val="40"/>
        </w:rPr>
        <w:t xml:space="preserve">Challenges</w:t>
      </w:r>
    </w:p>
    <w:p>
      <w:pPr>
        <w:spacing w:after="200" w:line="300"/>
        <w:jc w:val="both"/>
      </w:pPr>
      <w:r>
        <w:rPr>
          <w:rFonts w:ascii="Calibri" w:cs="Calibri" w:eastAsia="Calibri" w:hAnsi="Calibri"/>
          <w:b w:val="false"/>
          <w:bCs w:val="false"/>
          <w:i/>
          <w:iCs/>
          <w:color w:val="555555"/>
          <w:sz w:val="22"/>
          <w:szCs w:val="22"/>
        </w:rPr>
        <w:t xml:space="preserve">The discussion here states directly the challenges CeloHT currently faces, without minimizing them.</w:t>
      </w:r>
    </w:p>
    <w:p>
      <w:pPr>
        <w:spacing w:after="200" w:line="300"/>
        <w:jc w:val="both"/>
      </w:pPr>
      <w:r>
        <w:rPr>
          <w:rFonts w:ascii="Calibri" w:cs="Calibri" w:eastAsia="Calibri" w:hAnsi="Calibri"/>
          <w:b w:val="false"/>
          <w:bCs w:val="false"/>
          <w:i w:val="false"/>
          <w:iCs w:val="false"/>
          <w:color w:val="1A1A1A"/>
          <w:sz w:val="22"/>
          <w:szCs w:val="22"/>
        </w:rPr>
        <w:t xml:space="preserve">This chapter complements the Risk Management chapter's forward-looking framework with a more immediate accounting of present difficulty.</w:t>
      </w:r>
    </w:p>
    <w:p>
      <w:pPr>
        <w:pStyle w:val="Heading2"/>
        <w:spacing w:after="140" w:before="260"/>
      </w:pPr>
      <w:r>
        <w:rPr>
          <w:rFonts w:ascii="Cambria" w:cs="Cambria" w:eastAsia="Cambria" w:hAnsi="Cambria"/>
          <w:b/>
          <w:bCs/>
          <w:color w:val="0B1120"/>
          <w:sz w:val="26"/>
          <w:szCs w:val="26"/>
        </w:rPr>
        <w:t xml:space="preserve">Capacity Constraints</w:t>
      </w:r>
    </w:p>
    <w:p>
      <w:pPr>
        <w:spacing w:after="200" w:line="300"/>
        <w:jc w:val="both"/>
      </w:pPr>
      <w:r>
        <w:rPr>
          <w:rFonts w:ascii="Calibri" w:cs="Calibri" w:eastAsia="Calibri" w:hAnsi="Calibri"/>
          <w:b w:val="false"/>
          <w:bCs w:val="false"/>
          <w:i w:val="false"/>
          <w:iCs w:val="false"/>
          <w:color w:val="1A1A1A"/>
          <w:sz w:val="22"/>
          <w:szCs w:val="22"/>
        </w:rPr>
        <w:t xml:space="preserve">The most immediate challenge is capacity: a founder-led team supplemented by a growing but still limited base of open-source contributors cannot simultaneously execute at full pace across technical development, education, community outreach, and reforestation. Progress in any one area frequently comes at the direct expense of pace in another.</w:t>
      </w:r>
    </w:p>
    <w:p>
      <w:pPr>
        <w:pStyle w:val="Heading2"/>
        <w:spacing w:after="140" w:before="260"/>
      </w:pPr>
      <w:r>
        <w:rPr>
          <w:rFonts w:ascii="Cambria" w:cs="Cambria" w:eastAsia="Cambria" w:hAnsi="Cambria"/>
          <w:b/>
          <w:bCs/>
          <w:color w:val="0B1120"/>
          <w:sz w:val="26"/>
          <w:szCs w:val="26"/>
        </w:rPr>
        <w:t xml:space="preserve">Infrastructure Conditions in Haiti</w:t>
      </w:r>
    </w:p>
    <w:p>
      <w:pPr>
        <w:spacing w:after="200" w:line="300"/>
        <w:jc w:val="both"/>
      </w:pPr>
      <w:r>
        <w:rPr>
          <w:rFonts w:ascii="Calibri" w:cs="Calibri" w:eastAsia="Calibri" w:hAnsi="Calibri"/>
          <w:b w:val="false"/>
          <w:bCs w:val="false"/>
          <w:i w:val="false"/>
          <w:iCs w:val="false"/>
          <w:color w:val="1A1A1A"/>
          <w:sz w:val="22"/>
          <w:szCs w:val="22"/>
        </w:rPr>
        <w:t xml:space="preserve">Intermittent electricity and internet connectivity, along with broader logistical and security conditions that periodically affect movement within Haiti, create real constraints on in-person Agent Network activity and community programming, constraints that a purely digital organization headquartered elsewhere would not face in the same way.</w:t>
      </w:r>
    </w:p>
    <w:p>
      <w:pPr>
        <w:pStyle w:val="Heading2"/>
        <w:spacing w:after="140" w:before="260"/>
      </w:pPr>
      <w:r>
        <w:rPr>
          <w:rFonts w:ascii="Cambria" w:cs="Cambria" w:eastAsia="Cambria" w:hAnsi="Cambria"/>
          <w:b/>
          <w:bCs/>
          <w:color w:val="0B1120"/>
          <w:sz w:val="26"/>
          <w:szCs w:val="26"/>
        </w:rPr>
        <w:t xml:space="preserve">Building Trust in a Sector With a Credibility Problem</w:t>
      </w:r>
    </w:p>
    <w:p>
      <w:pPr>
        <w:spacing w:after="200" w:line="300"/>
        <w:jc w:val="both"/>
      </w:pPr>
      <w:r>
        <w:rPr>
          <w:rFonts w:ascii="Calibri" w:cs="Calibri" w:eastAsia="Calibri" w:hAnsi="Calibri"/>
          <w:b w:val="false"/>
          <w:bCs w:val="false"/>
          <w:i w:val="false"/>
          <w:iCs w:val="false"/>
          <w:color w:val="1A1A1A"/>
          <w:sz w:val="22"/>
          <w:szCs w:val="22"/>
        </w:rPr>
        <w:t xml:space="preserve">The broader Web3 and cryptocurrency sector carries a credibility deficit in many communities, including in Haiti, due to the prevalence of speculative schemes and outright fraud operating under similar branding. CeloHT's explicit no-token, no-speculation positioning is a direct response to this challenge, but it also means the organization must continually clarify what it is not, which adds friction to community outreach that a differently branded initiative might not encounter.</w:t>
      </w:r>
    </w:p>
    <w:p>
      <w:pPr>
        <w:sectPr>
          <w:headerReference w:type="default" r:id="rId93"/>
          <w:footerReference w:type="default" r:id="rId94"/>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44</w:t>
      </w:r>
    </w:p>
    <w:p>
      <w:pPr>
        <w:pStyle w:val="Heading1"/>
        <w:pBdr>
          <w:bottom w:val="single" w:color="0B1120" w:sz="6" w:space="8"/>
        </w:pBdr>
        <w:spacing w:after="260"/>
      </w:pPr>
      <w:r>
        <w:rPr>
          <w:rFonts w:ascii="Cambria" w:cs="Cambria" w:eastAsia="Cambria" w:hAnsi="Cambria"/>
          <w:b/>
          <w:bCs/>
          <w:color w:val="0B1120"/>
          <w:sz w:val="40"/>
          <w:szCs w:val="40"/>
        </w:rPr>
        <w:t xml:space="preserve">Future Opportunities</w:t>
      </w:r>
    </w:p>
    <w:p>
      <w:pPr>
        <w:spacing w:after="200" w:line="300"/>
        <w:jc w:val="both"/>
      </w:pPr>
      <w:r>
        <w:rPr>
          <w:rFonts w:ascii="Calibri" w:cs="Calibri" w:eastAsia="Calibri" w:hAnsi="Calibri"/>
          <w:b w:val="false"/>
          <w:bCs w:val="false"/>
          <w:i/>
          <w:iCs/>
          <w:color w:val="555555"/>
          <w:sz w:val="22"/>
          <w:szCs w:val="22"/>
        </w:rPr>
        <w:t xml:space="preserve">This chapter identifies specific opportunities available to CeloHT as it moves through its roadmap phases.</w:t>
      </w:r>
    </w:p>
    <w:p>
      <w:pPr>
        <w:pStyle w:val="Heading2"/>
        <w:spacing w:after="140" w:before="260"/>
      </w:pPr>
      <w:r>
        <w:rPr>
          <w:rFonts w:ascii="Cambria" w:cs="Cambria" w:eastAsia="Cambria" w:hAnsi="Cambria"/>
          <w:b/>
          <w:bCs/>
          <w:color w:val="0B1120"/>
          <w:sz w:val="26"/>
          <w:szCs w:val="26"/>
        </w:rPr>
        <w:t xml:space="preserve">Grant Alignment With Established Ecosystem Priorities</w:t>
      </w:r>
    </w:p>
    <w:p>
      <w:pPr>
        <w:spacing w:after="200" w:line="300"/>
        <w:jc w:val="both"/>
      </w:pPr>
      <w:r>
        <w:rPr>
          <w:rFonts w:ascii="Calibri" w:cs="Calibri" w:eastAsia="Calibri" w:hAnsi="Calibri"/>
          <w:b w:val="false"/>
          <w:bCs w:val="false"/>
          <w:i w:val="false"/>
          <w:iCs w:val="false"/>
          <w:color w:val="1A1A1A"/>
          <w:sz w:val="22"/>
          <w:szCs w:val="22"/>
        </w:rPr>
        <w:t xml:space="preserve">Organizations such as the Celo Foundation and Gitcoin maintain funding priorities that frequently emphasize financial inclusion, public-goods infrastructure, and underserved-market access: priorities that align closely with CeloHT's existing work rather than requiring the organization to reshape itself to fit external criteria.</w:t>
      </w:r>
    </w:p>
    <w:p>
      <w:pPr>
        <w:pStyle w:val="Heading2"/>
        <w:spacing w:after="140" w:before="260"/>
      </w:pPr>
      <w:r>
        <w:rPr>
          <w:rFonts w:ascii="Cambria" w:cs="Cambria" w:eastAsia="Cambria" w:hAnsi="Cambria"/>
          <w:b/>
          <w:bCs/>
          <w:color w:val="0B1120"/>
          <w:sz w:val="26"/>
          <w:szCs w:val="26"/>
        </w:rPr>
        <w:t xml:space="preserve">Academic and Research Partnerships</w:t>
      </w:r>
    </w:p>
    <w:p>
      <w:pPr>
        <w:spacing w:after="200" w:line="300"/>
        <w:jc w:val="both"/>
      </w:pPr>
      <w:r>
        <w:rPr>
          <w:rFonts w:ascii="Calibri" w:cs="Calibri" w:eastAsia="Calibri" w:hAnsi="Calibri"/>
          <w:b w:val="false"/>
          <w:bCs w:val="false"/>
          <w:i w:val="false"/>
          <w:iCs w:val="false"/>
          <w:color w:val="1A1A1A"/>
          <w:sz w:val="22"/>
          <w:szCs w:val="22"/>
        </w:rPr>
        <w:t xml:space="preserve">CeloHT's documented, real-world deployment of blockchain-based financial education in a genuinely underserved market represents a potential subject of interest for academic researchers studying financial inclusion, development economics, or Web3 adoption, offering a partnership opportunity that would also lend independent, third-party rigor to CeloHT's own impact measurement.</w:t>
      </w:r>
    </w:p>
    <w:p>
      <w:pPr>
        <w:pStyle w:val="Heading2"/>
        <w:spacing w:after="140" w:before="260"/>
      </w:pPr>
      <w:r>
        <w:rPr>
          <w:rFonts w:ascii="Cambria" w:cs="Cambria" w:eastAsia="Cambria" w:hAnsi="Cambria"/>
          <w:b/>
          <w:bCs/>
          <w:color w:val="0B1120"/>
          <w:sz w:val="26"/>
          <w:szCs w:val="26"/>
        </w:rPr>
        <w:t xml:space="preserve">Diaspora Engagement</w:t>
      </w:r>
    </w:p>
    <w:p>
      <w:pPr>
        <w:spacing w:after="200" w:line="300"/>
        <w:jc w:val="both"/>
      </w:pPr>
      <w:r>
        <w:rPr>
          <w:rFonts w:ascii="Calibri" w:cs="Calibri" w:eastAsia="Calibri" w:hAnsi="Calibri"/>
          <w:b w:val="false"/>
          <w:bCs w:val="false"/>
          <w:i w:val="false"/>
          <w:iCs w:val="false"/>
          <w:color w:val="1A1A1A"/>
          <w:sz w:val="22"/>
          <w:szCs w:val="22"/>
        </w:rPr>
        <w:t xml:space="preserve">The Haitian diaspora represents both a potential funding source and a potential user base, particularly given the remittance corridor described in the chapter on Why Haiti Needs This Project. Diaspora members familiar with the financial friction of sending money to Haiti are a natural audience for CeloHT's mission, whether as donors, advisors, or eventual users.</w:t>
      </w:r>
    </w:p>
    <w:p>
      <w:pPr>
        <w:sectPr>
          <w:headerReference w:type="default" r:id="rId95"/>
          <w:footerReference w:type="default" r:id="rId96"/>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45</w:t>
      </w:r>
    </w:p>
    <w:p>
      <w:pPr>
        <w:pStyle w:val="Heading1"/>
        <w:pBdr>
          <w:bottom w:val="single" w:color="0B1120" w:sz="6" w:space="8"/>
        </w:pBdr>
        <w:spacing w:after="260"/>
      </w:pPr>
      <w:r>
        <w:rPr>
          <w:rFonts w:ascii="Cambria" w:cs="Cambria" w:eastAsia="Cambria" w:hAnsi="Cambria"/>
          <w:b/>
          <w:bCs/>
          <w:color w:val="0B1120"/>
          <w:sz w:val="40"/>
          <w:szCs w:val="40"/>
        </w:rPr>
        <w:t xml:space="preserve">International Expansion Strategy</w:t>
      </w:r>
    </w:p>
    <w:p>
      <w:pPr>
        <w:spacing w:after="200" w:line="300"/>
        <w:jc w:val="both"/>
      </w:pPr>
      <w:r>
        <w:rPr>
          <w:rFonts w:ascii="Calibri" w:cs="Calibri" w:eastAsia="Calibri" w:hAnsi="Calibri"/>
          <w:b w:val="false"/>
          <w:bCs w:val="false"/>
          <w:i/>
          <w:iCs/>
          <w:color w:val="555555"/>
          <w:sz w:val="22"/>
          <w:szCs w:val="22"/>
        </w:rPr>
        <w:t xml:space="preserve">The chapter that follows describes how and when CeloHT intends to extend its model beyond Haiti.</w:t>
      </w:r>
    </w:p>
    <w:p>
      <w:pPr>
        <w:spacing w:after="200" w:line="300"/>
        <w:jc w:val="both"/>
      </w:pPr>
      <w:r>
        <w:rPr>
          <w:rFonts w:ascii="Calibri" w:cs="Calibri" w:eastAsia="Calibri" w:hAnsi="Calibri"/>
          <w:b w:val="false"/>
          <w:bCs w:val="false"/>
          <w:i w:val="false"/>
          <w:iCs w:val="false"/>
          <w:color w:val="1A1A1A"/>
          <w:sz w:val="22"/>
          <w:szCs w:val="22"/>
        </w:rPr>
        <w:t xml:space="preserve">International expansion is deliberately placed late in CeloHT's roadmap, corresponding to Phase 4 as described earlier in this book. This sequencing reflects a conviction that a model proven imperfectly in two markets is weaker than a model proven rigorously in one, and that CeloHT's credibility with future markets will depend substantially on the strength of its Haiti track record.</w:t>
      </w:r>
    </w:p>
    <w:p>
      <w:pPr>
        <w:pStyle w:val="Heading2"/>
        <w:spacing w:after="140" w:before="260"/>
      </w:pPr>
      <w:r>
        <w:rPr>
          <w:rFonts w:ascii="Cambria" w:cs="Cambria" w:eastAsia="Cambria" w:hAnsi="Cambria"/>
          <w:b/>
          <w:bCs/>
          <w:color w:val="0B1120"/>
          <w:sz w:val="26"/>
          <w:szCs w:val="26"/>
        </w:rPr>
        <w:t xml:space="preserve">Criteria for Expansion Markets</w:t>
      </w:r>
    </w:p>
    <w:p>
      <w:pPr>
        <w:spacing w:after="200" w:line="300"/>
        <w:jc w:val="both"/>
      </w:pPr>
      <w:r>
        <w:rPr>
          <w:rFonts w:ascii="Calibri" w:cs="Calibri" w:eastAsia="Calibri" w:hAnsi="Calibri"/>
          <w:b w:val="false"/>
          <w:bCs w:val="false"/>
          <w:i w:val="false"/>
          <w:iCs w:val="false"/>
          <w:color w:val="1A1A1A"/>
          <w:sz w:val="22"/>
          <w:szCs w:val="22"/>
        </w:rPr>
        <w:t xml:space="preserve">When expansion is pursued, candidate markets will be evaluated against criteria drawn directly from the conditions that made Haiti a suitable starting point: a Creole, French, or Spanish-speaking population underserved by English-language financial and technical documentation; mobile penetration substantially ahead of formal banking infrastructure; and a local partner or founding presence capable of leading the effort on the ground, rather than CeloHT attempting to operate a foreign market remotely from Léogâne.</w:t>
      </w:r>
    </w:p>
    <w:p>
      <w:pPr>
        <w:pStyle w:val="Heading2"/>
        <w:spacing w:after="140" w:before="260"/>
      </w:pPr>
      <w:r>
        <w:rPr>
          <w:rFonts w:ascii="Cambria" w:cs="Cambria" w:eastAsia="Cambria" w:hAnsi="Cambria"/>
          <w:b/>
          <w:bCs/>
          <w:color w:val="0B1120"/>
          <w:sz w:val="26"/>
          <w:szCs w:val="26"/>
        </w:rPr>
        <w:t xml:space="preserve">What Would Transfer, and What Would Not</w:t>
      </w:r>
    </w:p>
    <w:p>
      <w:pPr>
        <w:spacing w:after="200" w:line="300"/>
        <w:jc w:val="both"/>
      </w:pPr>
      <w:r>
        <w:rPr>
          <w:rFonts w:ascii="Calibri" w:cs="Calibri" w:eastAsia="Calibri" w:hAnsi="Calibri"/>
          <w:b w:val="false"/>
          <w:bCs w:val="false"/>
          <w:i w:val="false"/>
          <w:iCs w:val="false"/>
          <w:color w:val="1A1A1A"/>
          <w:sz w:val="22"/>
          <w:szCs w:val="22"/>
        </w:rPr>
        <w:t xml:space="preserve">CeloHT's open-source codebase, governance framework, and documentation methodology are designed to be adaptable to new markets with translation and local customization rather than a rebuild from first principles. What would not transfer directly is the Agent Network itself, which depends on locally rooted trust relationships that cannot be exported and must be rebuilt authentically within each new community CeloHT eventually serves.</w:t>
      </w:r>
    </w:p>
    <w:p>
      <w:pPr>
        <w:sectPr>
          <w:headerReference w:type="default" r:id="rId97"/>
          <w:footerReference w:type="default" r:id="rId98"/>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46</w:t>
      </w:r>
    </w:p>
    <w:p>
      <w:pPr>
        <w:pStyle w:val="Heading1"/>
        <w:pBdr>
          <w:bottom w:val="single" w:color="0B1120" w:sz="6" w:space="8"/>
        </w:pBdr>
        <w:spacing w:after="260"/>
      </w:pPr>
      <w:r>
        <w:rPr>
          <w:rFonts w:ascii="Cambria" w:cs="Cambria" w:eastAsia="Cambria" w:hAnsi="Cambria"/>
          <w:b/>
          <w:bCs/>
          <w:color w:val="0B1120"/>
          <w:sz w:val="40"/>
          <w:szCs w:val="40"/>
        </w:rPr>
        <w:t xml:space="preserve">Institutional Readiness</w:t>
      </w:r>
    </w:p>
    <w:p>
      <w:pPr>
        <w:spacing w:after="200" w:line="300"/>
        <w:jc w:val="both"/>
      </w:pPr>
      <w:r>
        <w:rPr>
          <w:rFonts w:ascii="Calibri" w:cs="Calibri" w:eastAsia="Calibri" w:hAnsi="Calibri"/>
          <w:b w:val="false"/>
          <w:bCs w:val="false"/>
          <w:i/>
          <w:iCs/>
          <w:color w:val="555555"/>
          <w:sz w:val="22"/>
          <w:szCs w:val="22"/>
        </w:rPr>
        <w:t xml:space="preserve">This section assesses CeloHT's readiness for institutional-scale funding against common institutional due-diligence criteria.</w:t>
      </w:r>
    </w:p>
    <w:p>
      <w:pPr>
        <w:spacing w:after="200" w:line="300"/>
        <w:jc w:val="both"/>
      </w:pPr>
      <w:r>
        <w:rPr>
          <w:rFonts w:ascii="Calibri" w:cs="Calibri" w:eastAsia="Calibri" w:hAnsi="Calibri"/>
          <w:b w:val="false"/>
          <w:bCs w:val="false"/>
          <w:i w:val="false"/>
          <w:iCs w:val="false"/>
          <w:color w:val="1A1A1A"/>
          <w:sz w:val="22"/>
          <w:szCs w:val="22"/>
        </w:rPr>
        <w:t xml:space="preserve">Institutional funders, meaning development finance institutions, major foundations, and multilateral organizations, typically apply due-diligence criteria that go beyond the qualitative narrative this book has offered so far. This chapter evaluates CeloHT honestly against those criteria, rather than assuming the preceding chapters have already made the case.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400"/>
        <w:gridCol w:w="4950"/>
      </w:tblGrid>
      <w:tr>
        <w:trPr>
          <w:tblHeader/>
        </w:trPr>
        <w:tc>
          <w:tcPr>
            <w:tcW w:type="dxa" w:w="440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Institutional Criterion</w:t>
            </w:r>
          </w:p>
        </w:tc>
        <w:tc>
          <w:tcPr>
            <w:tcW w:type="dxa" w:w="495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Current Status</w:t>
            </w:r>
          </w:p>
        </w:tc>
      </w:tr>
      <w:tr>
        <w:tc>
          <w:tcPr>
            <w:tcW w:type="dxa" w:w="4400"/>
            <w:shd w:fill="FFFFFF" w:val="clear"/>
            <w:tcMar>
              <w:top w:type="dxa" w:w="90"/>
              <w:left w:type="dxa" w:w="140"/>
              <w:bottom w:type="dxa" w:w="90"/>
              <w:right w:type="dxa" w:w="140"/>
            </w:tcMar>
          </w:tcPr>
          <w:p>
            <w:r>
              <w:rPr>
                <w:rFonts w:ascii="Calibri" w:cs="Calibri" w:eastAsia="Calibri" w:hAnsi="Calibri"/>
                <w:color w:val="1A1A1A"/>
                <w:sz w:val="19"/>
                <w:szCs w:val="19"/>
              </w:rPr>
              <w:t xml:space="preserve">Legal entity formation</w:t>
            </w:r>
          </w:p>
        </w:tc>
        <w:tc>
          <w:tcPr>
            <w:tcW w:type="dxa" w:w="4950"/>
            <w:shd w:fill="FFFFFF" w:val="clear"/>
            <w:tcMar>
              <w:top w:type="dxa" w:w="90"/>
              <w:left w:type="dxa" w:w="140"/>
              <w:bottom w:type="dxa" w:w="90"/>
              <w:right w:type="dxa" w:w="140"/>
            </w:tcMar>
          </w:tcPr>
          <w:p>
            <w:r>
              <w:rPr>
                <w:rFonts w:ascii="Calibri" w:cs="Calibri" w:eastAsia="Calibri" w:hAnsi="Calibri"/>
                <w:color w:val="1A1A1A"/>
                <w:sz w:val="19"/>
                <w:szCs w:val="19"/>
              </w:rPr>
              <w:t xml:space="preserve">In progress; formal registration status should be confirmed directly with CeloHT prior to funding commitments</w:t>
            </w:r>
          </w:p>
        </w:tc>
      </w:tr>
      <w:tr>
        <w:tc>
          <w:tcPr>
            <w:tcW w:type="dxa" w:w="4400"/>
            <w:shd w:fill="F5F6F8" w:val="clear"/>
            <w:tcMar>
              <w:top w:type="dxa" w:w="90"/>
              <w:left w:type="dxa" w:w="140"/>
              <w:bottom w:type="dxa" w:w="90"/>
              <w:right w:type="dxa" w:w="140"/>
            </w:tcMar>
          </w:tcPr>
          <w:p>
            <w:r>
              <w:rPr>
                <w:rFonts w:ascii="Calibri" w:cs="Calibri" w:eastAsia="Calibri" w:hAnsi="Calibri"/>
                <w:color w:val="1A1A1A"/>
                <w:sz w:val="19"/>
                <w:szCs w:val="19"/>
              </w:rPr>
              <w:t xml:space="preserve">Audited financial statements</w:t>
            </w:r>
          </w:p>
        </w:tc>
        <w:tc>
          <w:tcPr>
            <w:tcW w:type="dxa" w:w="4950"/>
            <w:shd w:fill="F5F6F8" w:val="clear"/>
            <w:tcMar>
              <w:top w:type="dxa" w:w="90"/>
              <w:left w:type="dxa" w:w="140"/>
              <w:bottom w:type="dxa" w:w="90"/>
              <w:right w:type="dxa" w:w="140"/>
            </w:tcMar>
          </w:tcPr>
          <w:p>
            <w:r>
              <w:rPr>
                <w:rFonts w:ascii="Calibri" w:cs="Calibri" w:eastAsia="Calibri" w:hAnsi="Calibri"/>
                <w:color w:val="1A1A1A"/>
                <w:sz w:val="19"/>
                <w:szCs w:val="19"/>
              </w:rPr>
              <w:t xml:space="preserve">Not yet in place, appropriate to the organization's current scale</w:t>
            </w:r>
          </w:p>
        </w:tc>
      </w:tr>
      <w:tr>
        <w:tc>
          <w:tcPr>
            <w:tcW w:type="dxa" w:w="4400"/>
            <w:shd w:fill="FFFFFF" w:val="clear"/>
            <w:tcMar>
              <w:top w:type="dxa" w:w="90"/>
              <w:left w:type="dxa" w:w="140"/>
              <w:bottom w:type="dxa" w:w="90"/>
              <w:right w:type="dxa" w:w="140"/>
            </w:tcMar>
          </w:tcPr>
          <w:p>
            <w:r>
              <w:rPr>
                <w:rFonts w:ascii="Calibri" w:cs="Calibri" w:eastAsia="Calibri" w:hAnsi="Calibri"/>
                <w:color w:val="1A1A1A"/>
                <w:sz w:val="19"/>
                <w:szCs w:val="19"/>
              </w:rPr>
              <w:t xml:space="preserve">Independent board or advisory oversight</w:t>
            </w:r>
          </w:p>
        </w:tc>
        <w:tc>
          <w:tcPr>
            <w:tcW w:type="dxa" w:w="4950"/>
            <w:shd w:fill="FFFFFF" w:val="clear"/>
            <w:tcMar>
              <w:top w:type="dxa" w:w="90"/>
              <w:left w:type="dxa" w:w="140"/>
              <w:bottom w:type="dxa" w:w="90"/>
              <w:right w:type="dxa" w:w="140"/>
            </w:tcMar>
          </w:tcPr>
          <w:p>
            <w:r>
              <w:rPr>
                <w:rFonts w:ascii="Calibri" w:cs="Calibri" w:eastAsia="Calibri" w:hAnsi="Calibri"/>
                <w:color w:val="1A1A1A"/>
                <w:sz w:val="19"/>
                <w:szCs w:val="19"/>
              </w:rPr>
              <w:t xml:space="preserve">Foundation Director and Maintainer Council structure in place per GOVERNANCE.md; independent, external advisory board not yet established</w:t>
            </w:r>
          </w:p>
        </w:tc>
      </w:tr>
      <w:tr>
        <w:tc>
          <w:tcPr>
            <w:tcW w:type="dxa" w:w="4400"/>
            <w:shd w:fill="F5F6F8" w:val="clear"/>
            <w:tcMar>
              <w:top w:type="dxa" w:w="90"/>
              <w:left w:type="dxa" w:w="140"/>
              <w:bottom w:type="dxa" w:w="90"/>
              <w:right w:type="dxa" w:w="140"/>
            </w:tcMar>
          </w:tcPr>
          <w:p>
            <w:r>
              <w:rPr>
                <w:rFonts w:ascii="Calibri" w:cs="Calibri" w:eastAsia="Calibri" w:hAnsi="Calibri"/>
                <w:color w:val="1A1A1A"/>
                <w:sz w:val="19"/>
                <w:szCs w:val="19"/>
              </w:rPr>
              <w:t xml:space="preserve">Public code and documentation transparency</w:t>
            </w:r>
          </w:p>
        </w:tc>
        <w:tc>
          <w:tcPr>
            <w:tcW w:type="dxa" w:w="4950"/>
            <w:shd w:fill="F5F6F8" w:val="clear"/>
            <w:tcMar>
              <w:top w:type="dxa" w:w="90"/>
              <w:left w:type="dxa" w:w="140"/>
              <w:bottom w:type="dxa" w:w="90"/>
              <w:right w:type="dxa" w:w="140"/>
            </w:tcMar>
          </w:tcPr>
          <w:p>
            <w:r>
              <w:rPr>
                <w:rFonts w:ascii="Calibri" w:cs="Calibri" w:eastAsia="Calibri" w:hAnsi="Calibri"/>
                <w:color w:val="1A1A1A"/>
                <w:sz w:val="19"/>
                <w:szCs w:val="19"/>
              </w:rPr>
              <w:t xml:space="preserve">In place across eight public repositories</w:t>
            </w:r>
          </w:p>
        </w:tc>
      </w:tr>
      <w:tr>
        <w:tc>
          <w:tcPr>
            <w:tcW w:type="dxa" w:w="4400"/>
            <w:shd w:fill="FFFFFF" w:val="clear"/>
            <w:tcMar>
              <w:top w:type="dxa" w:w="90"/>
              <w:left w:type="dxa" w:w="140"/>
              <w:bottom w:type="dxa" w:w="90"/>
              <w:right w:type="dxa" w:w="140"/>
            </w:tcMar>
          </w:tcPr>
          <w:p>
            <w:r>
              <w:rPr>
                <w:rFonts w:ascii="Calibri" w:cs="Calibri" w:eastAsia="Calibri" w:hAnsi="Calibri"/>
                <w:color w:val="1A1A1A"/>
                <w:sz w:val="19"/>
                <w:szCs w:val="19"/>
              </w:rPr>
              <w:t xml:space="preserve">Conflict-of-interest disclosure</w:t>
            </w:r>
          </w:p>
        </w:tc>
        <w:tc>
          <w:tcPr>
            <w:tcW w:type="dxa" w:w="4950"/>
            <w:shd w:fill="FFFFFF" w:val="clear"/>
            <w:tcMar>
              <w:top w:type="dxa" w:w="90"/>
              <w:left w:type="dxa" w:w="140"/>
              <w:bottom w:type="dxa" w:w="90"/>
              <w:right w:type="dxa" w:w="140"/>
            </w:tcMar>
          </w:tcPr>
          <w:p>
            <w:r>
              <w:rPr>
                <w:rFonts w:ascii="Calibri" w:cs="Calibri" w:eastAsia="Calibri" w:hAnsi="Calibri"/>
                <w:color w:val="1A1A1A"/>
                <w:sz w:val="19"/>
                <w:szCs w:val="19"/>
              </w:rPr>
              <w:t xml:space="preserve">In place via the PARTNERSHIPS.md governance document covering the FreClean relationship</w:t>
            </w:r>
          </w:p>
        </w:tc>
      </w:tr>
      <w:tr>
        <w:tc>
          <w:tcPr>
            <w:tcW w:type="dxa" w:w="4400"/>
            <w:shd w:fill="F5F6F8" w:val="clear"/>
            <w:tcMar>
              <w:top w:type="dxa" w:w="90"/>
              <w:left w:type="dxa" w:w="140"/>
              <w:bottom w:type="dxa" w:w="90"/>
              <w:right w:type="dxa" w:w="140"/>
            </w:tcMar>
          </w:tcPr>
          <w:p>
            <w:r>
              <w:rPr>
                <w:rFonts w:ascii="Calibri" w:cs="Calibri" w:eastAsia="Calibri" w:hAnsi="Calibri"/>
                <w:color w:val="1A1A1A"/>
                <w:sz w:val="19"/>
                <w:szCs w:val="19"/>
              </w:rPr>
              <w:t xml:space="preserve">Monitoring and evaluation framework</w:t>
            </w:r>
          </w:p>
        </w:tc>
        <w:tc>
          <w:tcPr>
            <w:tcW w:type="dxa" w:w="4950"/>
            <w:shd w:fill="F5F6F8" w:val="clear"/>
            <w:tcMar>
              <w:top w:type="dxa" w:w="90"/>
              <w:left w:type="dxa" w:w="140"/>
              <w:bottom w:type="dxa" w:w="90"/>
              <w:right w:type="dxa" w:w="140"/>
            </w:tcMar>
          </w:tcPr>
          <w:p>
            <w:r>
              <w:rPr>
                <w:rFonts w:ascii="Calibri" w:cs="Calibri" w:eastAsia="Calibri" w:hAnsi="Calibri"/>
                <w:color w:val="1A1A1A"/>
                <w:sz w:val="19"/>
                <w:szCs w:val="19"/>
              </w:rPr>
              <w:t xml:space="preserve">Partially in place; strongest for education and technical output, developing for Agent Network and Reforestation</w:t>
            </w:r>
          </w:p>
        </w:tc>
      </w:tr>
    </w:tbl>
    <w:p>
      <w:pPr>
        <w:spacing w:after="200"/>
      </w:pPr>
    </w:p>
    <w:p>
      <w:pPr>
        <w:spacing w:after="200" w:line="300"/>
        <w:jc w:val="both"/>
      </w:pPr>
      <w:r>
        <w:rPr>
          <w:rFonts w:ascii="Calibri" w:cs="Calibri" w:eastAsia="Calibri" w:hAnsi="Calibri"/>
          <w:b w:val="false"/>
          <w:bCs w:val="false"/>
          <w:i w:val="false"/>
          <w:iCs w:val="false"/>
          <w:color w:val="1A1A1A"/>
          <w:sz w:val="22"/>
          <w:szCs w:val="22"/>
        </w:rPr>
        <w:t xml:space="preserve">This assessment is presented in the same spirit as the rest of this book: institutional funders considering CeloHT should treat the unmet criteria above as a realistic account of an early-stage organization's current limitations, and as a specific list of the work that funding itself could help complete, rather than a reason to dismiss the opportunity outright.</w:t>
      </w:r>
    </w:p>
    <w:p>
      <w:pPr>
        <w:sectPr>
          <w:headerReference w:type="default" r:id="rId99"/>
          <w:footerReference w:type="default" r:id="rId100"/>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47</w:t>
      </w:r>
    </w:p>
    <w:p>
      <w:pPr>
        <w:pStyle w:val="Heading1"/>
        <w:pBdr>
          <w:bottom w:val="single" w:color="0B1120" w:sz="6" w:space="8"/>
        </w:pBdr>
        <w:spacing w:after="260"/>
      </w:pPr>
      <w:r>
        <w:rPr>
          <w:rFonts w:ascii="Cambria" w:cs="Cambria" w:eastAsia="Cambria" w:hAnsi="Cambria"/>
          <w:b/>
          <w:bCs/>
          <w:color w:val="0B1120"/>
          <w:sz w:val="40"/>
          <w:szCs w:val="40"/>
        </w:rPr>
        <w:t xml:space="preserve">Grant Readiness</w:t>
      </w:r>
    </w:p>
    <w:p>
      <w:pPr>
        <w:spacing w:after="200" w:line="300"/>
        <w:jc w:val="both"/>
      </w:pPr>
      <w:r>
        <w:rPr>
          <w:rFonts w:ascii="Calibri" w:cs="Calibri" w:eastAsia="Calibri" w:hAnsi="Calibri"/>
          <w:b w:val="false"/>
          <w:bCs w:val="false"/>
          <w:i/>
          <w:iCs/>
          <w:color w:val="555555"/>
          <w:sz w:val="22"/>
          <w:szCs w:val="22"/>
        </w:rPr>
        <w:t xml:space="preserve">The discussion here describes CeloHT's readiness to receive and administer grant funding specifically.</w:t>
      </w:r>
    </w:p>
    <w:p>
      <w:pPr>
        <w:spacing w:after="200" w:line="300"/>
        <w:jc w:val="both"/>
      </w:pPr>
      <w:r>
        <w:rPr>
          <w:rFonts w:ascii="Calibri" w:cs="Calibri" w:eastAsia="Calibri" w:hAnsi="Calibri"/>
          <w:b w:val="false"/>
          <w:bCs w:val="false"/>
          <w:i w:val="false"/>
          <w:iCs w:val="false"/>
          <w:color w:val="1A1A1A"/>
          <w:sz w:val="22"/>
          <w:szCs w:val="22"/>
        </w:rPr>
        <w:t xml:space="preserve">Grant readiness differs from broader institutional readiness in that grants are typically tied to specific, bounded deliverables rather than open-ended organizational investment, which lowers some of the due-diligence burden described in the previous chapter while raising others specific to reporting and deliverable tracking.</w:t>
      </w:r>
    </w:p>
    <w:p>
      <w:pPr>
        <w:pStyle w:val="Heading2"/>
        <w:spacing w:after="140" w:before="260"/>
      </w:pPr>
      <w:r>
        <w:rPr>
          <w:rFonts w:ascii="Cambria" w:cs="Cambria" w:eastAsia="Cambria" w:hAnsi="Cambria"/>
          <w:b/>
          <w:bCs/>
          <w:color w:val="0B1120"/>
          <w:sz w:val="26"/>
          <w:szCs w:val="26"/>
        </w:rPr>
        <w:t xml:space="preserve">What CeloHT Can Offer a Grant Reviewer Today</w:t>
      </w:r>
    </w:p>
    <w:p>
      <w:pPr>
        <w:spacing w:after="200" w:line="300"/>
        <w:jc w:val="both"/>
      </w:pPr>
      <w:r>
        <w:rPr>
          <w:rFonts w:ascii="Calibri" w:cs="Calibri" w:eastAsia="Calibri" w:hAnsi="Calibri"/>
          <w:b w:val="false"/>
          <w:bCs w:val="false"/>
          <w:i w:val="false"/>
          <w:iCs w:val="false"/>
          <w:color w:val="1A1A1A"/>
          <w:sz w:val="22"/>
          <w:szCs w:val="22"/>
        </w:rPr>
        <w:t xml:space="preserve">CeloHT can offer a grant reviewer a documented history of completed deliverables, described throughout this book and summarized in the Milestones chapter; a public, auditable codebase against which any grant-funded technical work can be verified; and a governance framework, described in Community Governance and How Decisions Are Made, capable of tracking a grant-funded deliverable from proposal through public implementation record.</w:t>
      </w:r>
    </w:p>
    <w:p>
      <w:pPr>
        <w:pStyle w:val="Heading2"/>
        <w:spacing w:after="140" w:before="260"/>
      </w:pPr>
      <w:r>
        <w:rPr>
          <w:rFonts w:ascii="Cambria" w:cs="Cambria" w:eastAsia="Cambria" w:hAnsi="Cambria"/>
          <w:b/>
          <w:bCs/>
          <w:color w:val="0B1120"/>
          <w:sz w:val="26"/>
          <w:szCs w:val="26"/>
        </w:rPr>
        <w:t xml:space="preserve">Recommended Grant Structures</w:t>
      </w:r>
    </w:p>
    <w:p>
      <w:pPr>
        <w:spacing w:after="200" w:line="300"/>
        <w:jc w:val="both"/>
      </w:pPr>
      <w:r>
        <w:rPr>
          <w:rFonts w:ascii="Calibri" w:cs="Calibri" w:eastAsia="Calibri" w:hAnsi="Calibri"/>
          <w:b w:val="false"/>
          <w:bCs w:val="false"/>
          <w:i w:val="false"/>
          <w:iCs w:val="false"/>
          <w:color w:val="1A1A1A"/>
          <w:sz w:val="22"/>
          <w:szCs w:val="22"/>
        </w:rPr>
        <w:t xml:space="preserve">Based on its current organizational stage, CeloHT is best positioned to receive grants structured around discrete, milestone-based deliverables. Funding tied to the completion of a defined number of additional Academy volumes, or to a specific smart-contract security review, is a better fit than large, undifferentiated general-operating grants that would exceed the organization's current reporting infrastructure.</w:t>
      </w:r>
    </w:p>
    <w:p>
      <w:pPr>
        <w:sectPr>
          <w:headerReference w:type="default" r:id="rId101"/>
          <w:footerReference w:type="default" r:id="rId102"/>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48</w:t>
      </w:r>
    </w:p>
    <w:p>
      <w:pPr>
        <w:pStyle w:val="Heading1"/>
        <w:pBdr>
          <w:bottom w:val="single" w:color="0B1120" w:sz="6" w:space="8"/>
        </w:pBdr>
        <w:spacing w:after="260"/>
      </w:pPr>
      <w:r>
        <w:rPr>
          <w:rFonts w:ascii="Cambria" w:cs="Cambria" w:eastAsia="Cambria" w:hAnsi="Cambria"/>
          <w:b/>
          <w:bCs/>
          <w:color w:val="0B1120"/>
          <w:sz w:val="40"/>
          <w:szCs w:val="40"/>
        </w:rPr>
        <w:t xml:space="preserve">Investor FAQ</w:t>
      </w:r>
    </w:p>
    <w:p>
      <w:pPr>
        <w:spacing w:after="200" w:line="300"/>
        <w:jc w:val="both"/>
      </w:pPr>
      <w:r>
        <w:rPr>
          <w:rFonts w:ascii="Calibri" w:cs="Calibri" w:eastAsia="Calibri" w:hAnsi="Calibri"/>
          <w:b w:val="false"/>
          <w:bCs w:val="false"/>
          <w:i/>
          <w:iCs/>
          <w:color w:val="555555"/>
          <w:sz w:val="22"/>
          <w:szCs w:val="22"/>
        </w:rPr>
        <w:t xml:space="preserve">This chapter answers the questions investors most commonly raise about CeloHT directly and without evasion.</w:t>
      </w:r>
    </w:p>
    <w:p>
      <w:pPr>
        <w:spacing w:after="80" w:before="200"/>
      </w:pPr>
      <w:r>
        <w:rPr>
          <w:rFonts w:ascii="Cambria" w:cs="Cambria" w:eastAsia="Cambria" w:hAnsi="Cambria"/>
          <w:b/>
          <w:bCs/>
          <w:color w:val="0B1120"/>
          <w:sz w:val="22"/>
          <w:szCs w:val="22"/>
        </w:rPr>
        <w:t xml:space="preserve">Q: Does CeloHT have a token I can invest in?</w:t>
      </w:r>
    </w:p>
    <w:p>
      <w:pPr>
        <w:spacing w:after="120"/>
        <w:jc w:val="both"/>
      </w:pPr>
      <w:r>
        <w:rPr>
          <w:rFonts w:ascii="Calibri" w:cs="Calibri" w:eastAsia="Calibri" w:hAnsi="Calibri"/>
          <w:color w:val="1A1A1A"/>
          <w:sz w:val="22"/>
          <w:szCs w:val="22"/>
        </w:rPr>
        <w:t xml:space="preserve">A: No. CeloHT has not issued and does not plan to issue a token or cryptocurrency. There is no financial instrument to purchase or invest in directly.</w:t>
      </w:r>
    </w:p>
    <w:p>
      <w:pPr>
        <w:spacing w:after="80" w:before="200"/>
      </w:pPr>
      <w:r>
        <w:rPr>
          <w:rFonts w:ascii="Cambria" w:cs="Cambria" w:eastAsia="Cambria" w:hAnsi="Cambria"/>
          <w:b/>
          <w:bCs/>
          <w:color w:val="0B1120"/>
          <w:sz w:val="22"/>
          <w:szCs w:val="22"/>
        </w:rPr>
        <w:t xml:space="preserve">Q: If there is no token, what form would investment take?</w:t>
      </w:r>
    </w:p>
    <w:p>
      <w:pPr>
        <w:spacing w:after="120"/>
        <w:jc w:val="both"/>
      </w:pPr>
      <w:r>
        <w:rPr>
          <w:rFonts w:ascii="Calibri" w:cs="Calibri" w:eastAsia="Calibri" w:hAnsi="Calibri"/>
          <w:color w:val="1A1A1A"/>
          <w:sz w:val="22"/>
          <w:szCs w:val="22"/>
        </w:rPr>
        <w:t xml:space="preserve">A: Investment in CeloHT would take the form of grant funding, philanthropic capital, or, for future revenue-generating components described in Revenue Streams, potential equity or revenue-share arrangements structured around those specific activities rather than the organization as a whole.</w:t>
      </w:r>
    </w:p>
    <w:p>
      <w:pPr>
        <w:spacing w:after="80" w:before="200"/>
      </w:pPr>
      <w:r>
        <w:rPr>
          <w:rFonts w:ascii="Cambria" w:cs="Cambria" w:eastAsia="Cambria" w:hAnsi="Cambria"/>
          <w:b/>
          <w:bCs/>
          <w:color w:val="0B1120"/>
          <w:sz w:val="22"/>
          <w:szCs w:val="22"/>
        </w:rPr>
        <w:t xml:space="preserve">Q: What is the return on investment?</w:t>
      </w:r>
    </w:p>
    <w:p>
      <w:pPr>
        <w:spacing w:after="120"/>
        <w:jc w:val="both"/>
      </w:pPr>
      <w:r>
        <w:rPr>
          <w:rFonts w:ascii="Calibri" w:cs="Calibri" w:eastAsia="Calibri" w:hAnsi="Calibri"/>
          <w:color w:val="1A1A1A"/>
          <w:sz w:val="22"/>
          <w:szCs w:val="22"/>
        </w:rPr>
        <w:t xml:space="preserve">A: For grant and philanthropic capital, the return is measured in impact: educational reach, technical infrastructure, and reforestation outcomes, rather than financial yield. CeloHT does not present itself as a vehicle for financial return in the conventional venture-capital sense.</w:t>
      </w:r>
    </w:p>
    <w:p>
      <w:pPr>
        <w:spacing w:after="80" w:before="200"/>
      </w:pPr>
      <w:r>
        <w:rPr>
          <w:rFonts w:ascii="Cambria" w:cs="Cambria" w:eastAsia="Cambria" w:hAnsi="Cambria"/>
          <w:b/>
          <w:bCs/>
          <w:color w:val="0B1120"/>
          <w:sz w:val="22"/>
          <w:szCs w:val="22"/>
        </w:rPr>
        <w:t xml:space="preserve">Q: How is my funding protected against misuse?</w:t>
      </w:r>
    </w:p>
    <w:p>
      <w:pPr>
        <w:spacing w:after="120"/>
        <w:jc w:val="both"/>
      </w:pPr>
      <w:r>
        <w:rPr>
          <w:rFonts w:ascii="Calibri" w:cs="Calibri" w:eastAsia="Calibri" w:hAnsi="Calibri"/>
          <w:color w:val="1A1A1A"/>
          <w:sz w:val="22"/>
          <w:szCs w:val="22"/>
        </w:rPr>
        <w:t xml:space="preserve">A: Through the transparency and treasury principles described in this book, including purpose-segregated fund tracking and public reporting. CeloHT acknowledges that formal audited financial controls are not yet in place, a gap addressed directly in Institutional Readiness.</w:t>
      </w:r>
    </w:p>
    <w:p>
      <w:pPr>
        <w:spacing w:after="80" w:before="200"/>
      </w:pPr>
      <w:r>
        <w:rPr>
          <w:rFonts w:ascii="Cambria" w:cs="Cambria" w:eastAsia="Cambria" w:hAnsi="Cambria"/>
          <w:b/>
          <w:bCs/>
          <w:color w:val="0B1120"/>
          <w:sz w:val="22"/>
          <w:szCs w:val="22"/>
        </w:rPr>
        <w:t xml:space="preserve">Q: Who ultimately controls decisions about how funds are used?</w:t>
      </w:r>
    </w:p>
    <w:p>
      <w:pPr>
        <w:spacing w:after="120"/>
        <w:jc w:val="both"/>
      </w:pPr>
      <w:r>
        <w:rPr>
          <w:rFonts w:ascii="Calibri" w:cs="Calibri" w:eastAsia="Calibri" w:hAnsi="Calibri"/>
          <w:color w:val="1A1A1A"/>
          <w:sz w:val="22"/>
          <w:szCs w:val="22"/>
        </w:rPr>
        <w:t xml:space="preserve">A: The Foundation Director and Maintainer Council, per the governance structure described in Community Governance and documented publicly in GOVERNANCE.md. CeloHT does not use token-weighted voting and does not concentrate fund-use authority in a single individual.</w:t>
      </w:r>
    </w:p>
    <w:p>
      <w:pPr>
        <w:sectPr>
          <w:headerReference w:type="default" r:id="rId103"/>
          <w:footerReference w:type="default" r:id="rId104"/>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49</w:t>
      </w:r>
    </w:p>
    <w:p>
      <w:pPr>
        <w:pStyle w:val="Heading1"/>
        <w:pBdr>
          <w:bottom w:val="single" w:color="0B1120" w:sz="6" w:space="8"/>
        </w:pBdr>
        <w:spacing w:after="260"/>
      </w:pPr>
      <w:r>
        <w:rPr>
          <w:rFonts w:ascii="Cambria" w:cs="Cambria" w:eastAsia="Cambria" w:hAnsi="Cambria"/>
          <w:b/>
          <w:bCs/>
          <w:color w:val="0B1120"/>
          <w:sz w:val="40"/>
          <w:szCs w:val="40"/>
        </w:rPr>
        <w:t xml:space="preserve">Media FAQ</w:t>
      </w:r>
    </w:p>
    <w:p>
      <w:pPr>
        <w:spacing w:after="200" w:line="300"/>
        <w:jc w:val="both"/>
      </w:pPr>
      <w:r>
        <w:rPr>
          <w:rFonts w:ascii="Calibri" w:cs="Calibri" w:eastAsia="Calibri" w:hAnsi="Calibri"/>
          <w:b w:val="false"/>
          <w:bCs w:val="false"/>
          <w:i/>
          <w:iCs/>
          <w:color w:val="555555"/>
          <w:sz w:val="22"/>
          <w:szCs w:val="22"/>
        </w:rPr>
        <w:t xml:space="preserve">The chapter that follows provides journalists with direct, quotable answers to the questions most relevant to accurate reporting on CeloHT.</w:t>
      </w:r>
    </w:p>
    <w:p>
      <w:pPr>
        <w:spacing w:after="80" w:before="200"/>
      </w:pPr>
      <w:r>
        <w:rPr>
          <w:rFonts w:ascii="Cambria" w:cs="Cambria" w:eastAsia="Cambria" w:hAnsi="Cambria"/>
          <w:b/>
          <w:bCs/>
          <w:color w:val="0B1120"/>
          <w:sz w:val="22"/>
          <w:szCs w:val="22"/>
        </w:rPr>
        <w:t xml:space="preserve">Q: Is CeloHT a cryptocurrency company?</w:t>
      </w:r>
    </w:p>
    <w:p>
      <w:pPr>
        <w:spacing w:after="120"/>
        <w:jc w:val="both"/>
      </w:pPr>
      <w:r>
        <w:rPr>
          <w:rFonts w:ascii="Calibri" w:cs="Calibri" w:eastAsia="Calibri" w:hAnsi="Calibri"/>
          <w:color w:val="1A1A1A"/>
          <w:sz w:val="22"/>
          <w:szCs w:val="22"/>
        </w:rPr>
        <w:t xml:space="preserve">A: No. CeloHT is an education and open-source infrastructure initiative that uses an existing blockchain network, Celo, and an existing stablecoin, USDm (the Mento Protocol dollar, formerly known as cUSD). It has not created a cryptocurrency of its own.</w:t>
      </w:r>
    </w:p>
    <w:p>
      <w:pPr>
        <w:spacing w:after="80" w:before="200"/>
      </w:pPr>
      <w:r>
        <w:rPr>
          <w:rFonts w:ascii="Cambria" w:cs="Cambria" w:eastAsia="Cambria" w:hAnsi="Cambria"/>
          <w:b/>
          <w:bCs/>
          <w:color w:val="0B1120"/>
          <w:sz w:val="22"/>
          <w:szCs w:val="22"/>
        </w:rPr>
        <w:t xml:space="preserve">Q: Where is CeloHT based, and who leads it?</w:t>
      </w:r>
    </w:p>
    <w:p>
      <w:pPr>
        <w:spacing w:after="120"/>
        <w:jc w:val="both"/>
      </w:pPr>
      <w:r>
        <w:rPr>
          <w:rFonts w:ascii="Calibri" w:cs="Calibri" w:eastAsia="Calibri" w:hAnsi="Calibri"/>
          <w:color w:val="1A1A1A"/>
          <w:sz w:val="22"/>
          <w:szCs w:val="22"/>
        </w:rPr>
        <w:t xml:space="preserve">A: CeloHT is based in Léogâne, Haiti, and was founded by Johnny Dubic, a Haitian entrepreneur who also founded FreClean, a Léogâne-based cleaning-services venture.</w:t>
      </w:r>
    </w:p>
    <w:p>
      <w:pPr>
        <w:spacing w:after="80" w:before="200"/>
      </w:pPr>
      <w:r>
        <w:rPr>
          <w:rFonts w:ascii="Cambria" w:cs="Cambria" w:eastAsia="Cambria" w:hAnsi="Cambria"/>
          <w:b/>
          <w:bCs/>
          <w:color w:val="0B1120"/>
          <w:sz w:val="22"/>
          <w:szCs w:val="22"/>
        </w:rPr>
        <w:t xml:space="preserve">Q: What makes CeloHT's approach distinct from other Web3 financial-inclusion projects?</w:t>
      </w:r>
    </w:p>
    <w:p>
      <w:pPr>
        <w:spacing w:after="120"/>
        <w:jc w:val="both"/>
      </w:pPr>
      <w:r>
        <w:rPr>
          <w:rFonts w:ascii="Calibri" w:cs="Calibri" w:eastAsia="Calibri" w:hAnsi="Calibri"/>
          <w:color w:val="1A1A1A"/>
          <w:sz w:val="22"/>
          <w:szCs w:val="22"/>
        </w:rPr>
        <w:t xml:space="preserve">A: Its Haitian Creole-first educational content, its explicit no-token positioning, and its integration of an environmental pillar, Reforestation, alongside its financial and educational work.</w:t>
      </w:r>
    </w:p>
    <w:p>
      <w:pPr>
        <w:spacing w:after="80" w:before="200"/>
      </w:pPr>
      <w:r>
        <w:rPr>
          <w:rFonts w:ascii="Cambria" w:cs="Cambria" w:eastAsia="Cambria" w:hAnsi="Cambria"/>
          <w:b/>
          <w:bCs/>
          <w:color w:val="0B1120"/>
          <w:sz w:val="22"/>
          <w:szCs w:val="22"/>
        </w:rPr>
        <w:t xml:space="preserve">Q: How can a journalist verify claims made in this book?</w:t>
      </w:r>
    </w:p>
    <w:p>
      <w:pPr>
        <w:spacing w:after="120"/>
        <w:jc w:val="both"/>
      </w:pPr>
      <w:r>
        <w:rPr>
          <w:rFonts w:ascii="Calibri" w:cs="Calibri" w:eastAsia="Calibri" w:hAnsi="Calibri"/>
          <w:color w:val="1A1A1A"/>
          <w:sz w:val="22"/>
          <w:szCs w:val="22"/>
        </w:rPr>
        <w:t xml:space="preserve">A: Every technical and organizational claim in this book corresponds to material in CeloHT's public GitHub repositories or published educational volumes, referenced throughout by chapter. CeloHT does not ask reviewers to take unverifiable claims on faith.</w:t>
      </w:r>
    </w:p>
    <w:p>
      <w:pPr>
        <w:pStyle w:val="Heading2"/>
        <w:spacing w:after="140" w:before="260"/>
      </w:pPr>
      <w:r>
        <w:rPr>
          <w:rFonts w:ascii="Cambria" w:cs="Cambria" w:eastAsia="Cambria" w:hAnsi="Cambria"/>
          <w:b/>
          <w:bCs/>
          <w:color w:val="0B1120"/>
          <w:sz w:val="26"/>
          <w:szCs w:val="26"/>
        </w:rPr>
        <w:t xml:space="preserve">Suggested Attribution</w:t>
      </w:r>
    </w:p>
    <w:p>
      <w:pPr>
        <w:spacing w:after="200" w:line="300"/>
        <w:jc w:val="both"/>
      </w:pPr>
      <w:r>
        <w:rPr>
          <w:rFonts w:ascii="Calibri" w:cs="Calibri" w:eastAsia="Calibri" w:hAnsi="Calibri"/>
          <w:b w:val="false"/>
          <w:bCs w:val="false"/>
          <w:i w:val="false"/>
          <w:iCs w:val="false"/>
          <w:color w:val="1A1A1A"/>
          <w:sz w:val="22"/>
          <w:szCs w:val="22"/>
        </w:rPr>
        <w:t xml:space="preserve">Journalists quoting this book directly are encouraged to attribute quotations to "CeloHT's official investor and open-source project book" and to note the publication's stated commitment to independently verifiable claims.</w:t>
      </w:r>
    </w:p>
    <w:p>
      <w:pPr>
        <w:sectPr>
          <w:headerReference w:type="default" r:id="rId105"/>
          <w:footerReference w:type="default" r:id="rId106"/>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50</w:t>
      </w:r>
    </w:p>
    <w:p>
      <w:pPr>
        <w:pStyle w:val="Heading1"/>
        <w:pBdr>
          <w:bottom w:val="single" w:color="0B1120" w:sz="6" w:space="8"/>
        </w:pBdr>
        <w:spacing w:after="260"/>
      </w:pPr>
      <w:r>
        <w:rPr>
          <w:rFonts w:ascii="Cambria" w:cs="Cambria" w:eastAsia="Cambria" w:hAnsi="Cambria"/>
          <w:b/>
          <w:bCs/>
          <w:color w:val="0B1120"/>
          <w:sz w:val="40"/>
          <w:szCs w:val="40"/>
        </w:rPr>
        <w:t xml:space="preserve">Technical FAQ</w:t>
      </w:r>
    </w:p>
    <w:p>
      <w:pPr>
        <w:spacing w:after="200" w:line="300"/>
        <w:jc w:val="both"/>
      </w:pPr>
      <w:r>
        <w:rPr>
          <w:rFonts w:ascii="Calibri" w:cs="Calibri" w:eastAsia="Calibri" w:hAnsi="Calibri"/>
          <w:b w:val="false"/>
          <w:bCs w:val="false"/>
          <w:i/>
          <w:iCs/>
          <w:color w:val="555555"/>
          <w:sz w:val="22"/>
          <w:szCs w:val="22"/>
        </w:rPr>
        <w:t xml:space="preserve">This section answers common technical questions from developers and technical reviewers evaluating CeloHT's codebase.</w:t>
      </w:r>
    </w:p>
    <w:p>
      <w:pPr>
        <w:spacing w:after="80" w:before="200"/>
      </w:pPr>
      <w:r>
        <w:rPr>
          <w:rFonts w:ascii="Cambria" w:cs="Cambria" w:eastAsia="Cambria" w:hAnsi="Cambria"/>
          <w:b/>
          <w:bCs/>
          <w:color w:val="0B1120"/>
          <w:sz w:val="22"/>
          <w:szCs w:val="22"/>
        </w:rPr>
        <w:t xml:space="preserve">Q: What smart-contract language and framework does CeloHT use?</w:t>
      </w:r>
    </w:p>
    <w:p>
      <w:pPr>
        <w:spacing w:after="120"/>
        <w:jc w:val="both"/>
      </w:pPr>
      <w:r>
        <w:rPr>
          <w:rFonts w:ascii="Calibri" w:cs="Calibri" w:eastAsia="Calibri" w:hAnsi="Calibri"/>
          <w:color w:val="1A1A1A"/>
          <w:sz w:val="22"/>
          <w:szCs w:val="22"/>
        </w:rPr>
        <w:t xml:space="preserve">A: Solidity smart contracts developed and tested using the Hardhat framework, within the dApp monorepo and standalone smart-contracts repositories.</w:t>
      </w:r>
    </w:p>
    <w:p>
      <w:pPr>
        <w:spacing w:after="80" w:before="200"/>
      </w:pPr>
      <w:r>
        <w:rPr>
          <w:rFonts w:ascii="Cambria" w:cs="Cambria" w:eastAsia="Cambria" w:hAnsi="Cambria"/>
          <w:b/>
          <w:bCs/>
          <w:color w:val="0B1120"/>
          <w:sz w:val="22"/>
          <w:szCs w:val="22"/>
        </w:rPr>
        <w:t xml:space="preserve">Q: Has the smart-contract code been externally audited?</w:t>
      </w:r>
    </w:p>
    <w:p>
      <w:pPr>
        <w:spacing w:after="120"/>
        <w:jc w:val="both"/>
      </w:pPr>
      <w:r>
        <w:rPr>
          <w:rFonts w:ascii="Calibri" w:cs="Calibri" w:eastAsia="Calibri" w:hAnsi="Calibri"/>
          <w:color w:val="1A1A1A"/>
          <w:sz w:val="22"/>
          <w:szCs w:val="22"/>
        </w:rPr>
        <w:t xml:space="preserve">A: Not yet. External security review ahead of mainnet deployment is a stated intention described in Security Philosophy and planned as part of the Roadmap's Phase 2.</w:t>
      </w:r>
    </w:p>
    <w:p>
      <w:pPr>
        <w:spacing w:after="80" w:before="200"/>
      </w:pPr>
      <w:r>
        <w:rPr>
          <w:rFonts w:ascii="Cambria" w:cs="Cambria" w:eastAsia="Cambria" w:hAnsi="Cambria"/>
          <w:b/>
          <w:bCs/>
          <w:color w:val="0B1120"/>
          <w:sz w:val="22"/>
          <w:szCs w:val="22"/>
        </w:rPr>
        <w:t xml:space="preserve">Q: What frontend stack powers the dApp?</w:t>
      </w:r>
    </w:p>
    <w:p>
      <w:pPr>
        <w:spacing w:after="120"/>
        <w:jc w:val="both"/>
      </w:pPr>
      <w:r>
        <w:rPr>
          <w:rFonts w:ascii="Calibri" w:cs="Calibri" w:eastAsia="Calibri" w:hAnsi="Calibri"/>
          <w:color w:val="1A1A1A"/>
          <w:sz w:val="22"/>
          <w:szCs w:val="22"/>
        </w:rPr>
        <w:t xml:space="preserve">A: Next.js 15 and React, styled with Tailwind CSS, currently deployed as a navigable prototype through an automated GitHub Pages pipeline.</w:t>
      </w:r>
    </w:p>
    <w:p>
      <w:pPr>
        <w:spacing w:after="80" w:before="200"/>
      </w:pPr>
      <w:r>
        <w:rPr>
          <w:rFonts w:ascii="Cambria" w:cs="Cambria" w:eastAsia="Cambria" w:hAnsi="Cambria"/>
          <w:b/>
          <w:bCs/>
          <w:color w:val="0B1120"/>
          <w:sz w:val="22"/>
          <w:szCs w:val="22"/>
        </w:rPr>
        <w:t xml:space="preserve">Q: Is the wallet integration live or simulated?</w:t>
      </w:r>
    </w:p>
    <w:p>
      <w:pPr>
        <w:spacing w:after="120"/>
        <w:jc w:val="both"/>
      </w:pPr>
      <w:r>
        <w:rPr>
          <w:rFonts w:ascii="Calibri" w:cs="Calibri" w:eastAsia="Calibri" w:hAnsi="Calibri"/>
          <w:color w:val="1A1A1A"/>
          <w:sz w:val="22"/>
          <w:szCs w:val="22"/>
        </w:rPr>
        <w:t xml:space="preserve">A: Currently simulated, as described in The dApp Architecture, allowing safe iteration on user experience before connecting to live USDm transactions through Valora.</w:t>
      </w:r>
    </w:p>
    <w:p>
      <w:pPr>
        <w:spacing w:after="80" w:before="200"/>
      </w:pPr>
      <w:r>
        <w:rPr>
          <w:rFonts w:ascii="Cambria" w:cs="Cambria" w:eastAsia="Cambria" w:hAnsi="Cambria"/>
          <w:b/>
          <w:bCs/>
          <w:color w:val="0B1120"/>
          <w:sz w:val="22"/>
          <w:szCs w:val="22"/>
        </w:rPr>
        <w:t xml:space="preserve">Q: How can a developer start contributing?</w:t>
      </w:r>
    </w:p>
    <w:p>
      <w:pPr>
        <w:spacing w:after="120"/>
        <w:jc w:val="both"/>
      </w:pPr>
      <w:r>
        <w:rPr>
          <w:rFonts w:ascii="Calibri" w:cs="Calibri" w:eastAsia="Calibri" w:hAnsi="Calibri"/>
          <w:color w:val="1A1A1A"/>
          <w:sz w:val="22"/>
          <w:szCs w:val="22"/>
        </w:rPr>
        <w:t xml:space="preserve">A: By reviewing the contribution guidelines in CeloHT's public GitHub organization and starting with a component matched to their interest and experience level, matching the modular architecture described in Developer Ecosystem.</w:t>
      </w:r>
    </w:p>
    <w:p>
      <w:pPr>
        <w:sectPr>
          <w:headerReference w:type="default" r:id="rId107"/>
          <w:footerReference w:type="default" r:id="rId108"/>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51</w:t>
      </w:r>
    </w:p>
    <w:p>
      <w:pPr>
        <w:pStyle w:val="Heading1"/>
        <w:pBdr>
          <w:bottom w:val="single" w:color="0B1120" w:sz="6" w:space="8"/>
        </w:pBdr>
        <w:spacing w:after="260"/>
      </w:pPr>
      <w:r>
        <w:rPr>
          <w:rFonts w:ascii="Cambria" w:cs="Cambria" w:eastAsia="Cambria" w:hAnsi="Cambria"/>
          <w:b/>
          <w:bCs/>
          <w:color w:val="0B1120"/>
          <w:sz w:val="40"/>
          <w:szCs w:val="40"/>
        </w:rPr>
        <w:t xml:space="preserve">Open Source FAQ</w:t>
      </w:r>
    </w:p>
    <w:p>
      <w:pPr>
        <w:spacing w:after="200" w:line="300"/>
        <w:jc w:val="both"/>
      </w:pPr>
      <w:r>
        <w:rPr>
          <w:rFonts w:ascii="Calibri" w:cs="Calibri" w:eastAsia="Calibri" w:hAnsi="Calibri"/>
          <w:b w:val="false"/>
          <w:bCs w:val="false"/>
          <w:i/>
          <w:iCs/>
          <w:color w:val="555555"/>
          <w:sz w:val="22"/>
          <w:szCs w:val="22"/>
        </w:rPr>
        <w:t xml:space="preserve">The discussion here answers questions specific to CeloHT's open-source licensing, governance, and community-contribution model.</w:t>
      </w:r>
    </w:p>
    <w:p>
      <w:pPr>
        <w:spacing w:after="80" w:before="200"/>
      </w:pPr>
      <w:r>
        <w:rPr>
          <w:rFonts w:ascii="Cambria" w:cs="Cambria" w:eastAsia="Cambria" w:hAnsi="Cambria"/>
          <w:b/>
          <w:bCs/>
          <w:color w:val="0B1120"/>
          <w:sz w:val="22"/>
          <w:szCs w:val="22"/>
        </w:rPr>
        <w:t xml:space="preserve">Q: Is CeloHT's code free to use and adapt?</w:t>
      </w:r>
    </w:p>
    <w:p>
      <w:pPr>
        <w:spacing w:after="120"/>
        <w:jc w:val="both"/>
      </w:pPr>
      <w:r>
        <w:rPr>
          <w:rFonts w:ascii="Calibri" w:cs="Calibri" w:eastAsia="Calibri" w:hAnsi="Calibri"/>
          <w:color w:val="1A1A1A"/>
          <w:sz w:val="22"/>
          <w:szCs w:val="22"/>
        </w:rPr>
        <w:t xml:space="preserve">A: CeloHT's repositories are public and intended to support reuse and adaptation, consistent with its open-source philosophy described earlier in this book. Specific license terms for each repository are documented within that repository and should be reviewed directly for precise usage rights.</w:t>
      </w:r>
    </w:p>
    <w:p>
      <w:pPr>
        <w:spacing w:after="80" w:before="200"/>
      </w:pPr>
      <w:r>
        <w:rPr>
          <w:rFonts w:ascii="Cambria" w:cs="Cambria" w:eastAsia="Cambria" w:hAnsi="Cambria"/>
          <w:b/>
          <w:bCs/>
          <w:color w:val="0B1120"/>
          <w:sz w:val="22"/>
          <w:szCs w:val="22"/>
        </w:rPr>
        <w:t xml:space="preserve">Q: Can another organization adapt CeloHT's model for a different country?</w:t>
      </w:r>
    </w:p>
    <w:p>
      <w:pPr>
        <w:spacing w:after="120"/>
        <w:jc w:val="both"/>
      </w:pPr>
      <w:r>
        <w:rPr>
          <w:rFonts w:ascii="Calibri" w:cs="Calibri" w:eastAsia="Calibri" w:hAnsi="Calibri"/>
          <w:color w:val="1A1A1A"/>
          <w:sz w:val="22"/>
          <w:szCs w:val="22"/>
        </w:rPr>
        <w:t xml:space="preserve">A: In principle, yes, and this is anticipated in International Expansion Strategy. Organizations interested in adaptation are encouraged to engage directly with CeloHT's governance channels rather than forking without contact, so that lessons learned can be shared in both directions.</w:t>
      </w:r>
    </w:p>
    <w:p>
      <w:pPr>
        <w:spacing w:after="80" w:before="200"/>
      </w:pPr>
      <w:r>
        <w:rPr>
          <w:rFonts w:ascii="Cambria" w:cs="Cambria" w:eastAsia="Cambria" w:hAnsi="Cambria"/>
          <w:b/>
          <w:bCs/>
          <w:color w:val="0B1120"/>
          <w:sz w:val="22"/>
          <w:szCs w:val="22"/>
        </w:rPr>
        <w:t xml:space="preserve">Q: How are open-source contributions credited?</w:t>
      </w:r>
    </w:p>
    <w:p>
      <w:pPr>
        <w:spacing w:after="120"/>
        <w:jc w:val="both"/>
      </w:pPr>
      <w:r>
        <w:rPr>
          <w:rFonts w:ascii="Calibri" w:cs="Calibri" w:eastAsia="Calibri" w:hAnsi="Calibri"/>
          <w:color w:val="1A1A1A"/>
          <w:sz w:val="22"/>
          <w:szCs w:val="22"/>
        </w:rPr>
        <w:t xml:space="preserve">A: Through standard public version-control history within each repository, supplemented by the core-contributor recognition pathway described in Developer Ecosystem.</w:t>
      </w:r>
    </w:p>
    <w:p>
      <w:pPr>
        <w:spacing w:after="80" w:before="200"/>
      </w:pPr>
      <w:r>
        <w:rPr>
          <w:rFonts w:ascii="Cambria" w:cs="Cambria" w:eastAsia="Cambria" w:hAnsi="Cambria"/>
          <w:b/>
          <w:bCs/>
          <w:color w:val="0B1120"/>
          <w:sz w:val="22"/>
          <w:szCs w:val="22"/>
        </w:rPr>
        <w:t xml:space="preserve">Q: Does CeloHT accept translations of its materials into languages other than Haitian Creole and English?</w:t>
      </w:r>
    </w:p>
    <w:p>
      <w:pPr>
        <w:spacing w:after="120"/>
        <w:jc w:val="both"/>
      </w:pPr>
      <w:r>
        <w:rPr>
          <w:rFonts w:ascii="Calibri" w:cs="Calibri" w:eastAsia="Calibri" w:hAnsi="Calibri"/>
          <w:color w:val="1A1A1A"/>
          <w:sz w:val="22"/>
          <w:szCs w:val="22"/>
        </w:rPr>
        <w:t xml:space="preserve">A: This is a natural extension of CeloHT's open-source, community-driven model, though a formal translation-contribution process is not yet as fully documented as CeloHT's code-contribution process. Interested contributors are encouraged to propose translation work through the governance repository.</w:t>
      </w:r>
    </w:p>
    <w:p>
      <w:pPr>
        <w:sectPr>
          <w:headerReference w:type="default" r:id="rId109"/>
          <w:footerReference w:type="default" r:id="rId110"/>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52</w:t>
      </w:r>
    </w:p>
    <w:p>
      <w:pPr>
        <w:pStyle w:val="Heading1"/>
        <w:pBdr>
          <w:bottom w:val="single" w:color="0B1120" w:sz="6" w:space="8"/>
        </w:pBdr>
        <w:spacing w:after="260"/>
      </w:pPr>
      <w:r>
        <w:rPr>
          <w:rFonts w:ascii="Cambria" w:cs="Cambria" w:eastAsia="Cambria" w:hAnsi="Cambria"/>
          <w:b/>
          <w:bCs/>
          <w:color w:val="0B1120"/>
          <w:sz w:val="40"/>
          <w:szCs w:val="40"/>
        </w:rPr>
        <w:t xml:space="preserve">Appendices</w:t>
      </w:r>
    </w:p>
    <w:p>
      <w:pPr>
        <w:spacing w:after="200" w:line="300"/>
        <w:jc w:val="both"/>
      </w:pPr>
      <w:r>
        <w:rPr>
          <w:rFonts w:ascii="Calibri" w:cs="Calibri" w:eastAsia="Calibri" w:hAnsi="Calibri"/>
          <w:b w:val="false"/>
          <w:bCs w:val="false"/>
          <w:i/>
          <w:iCs/>
          <w:color w:val="555555"/>
          <w:sz w:val="22"/>
          <w:szCs w:val="22"/>
        </w:rPr>
        <w:t xml:space="preserve">This chapter provides supplementary reference material supporting the claims and descriptions made throughout this book.</w:t>
      </w:r>
    </w:p>
    <w:p>
      <w:pPr>
        <w:pStyle w:val="Heading2"/>
        <w:spacing w:after="140" w:before="260"/>
      </w:pPr>
      <w:r>
        <w:rPr>
          <w:rFonts w:ascii="Cambria" w:cs="Cambria" w:eastAsia="Cambria" w:hAnsi="Cambria"/>
          <w:b/>
          <w:bCs/>
          <w:color w:val="0B1120"/>
          <w:sz w:val="26"/>
          <w:szCs w:val="26"/>
        </w:rPr>
        <w:t xml:space="preserve">Appendix A: CeloHT Repository Directory</w:t>
      </w:r>
    </w:p>
    <w:p>
      <w:pPr>
        <w:spacing w:after="200" w:line="300"/>
        <w:jc w:val="both"/>
      </w:pPr>
      <w:r>
        <w:rPr>
          <w:rFonts w:ascii="Calibri" w:cs="Calibri" w:eastAsia="Calibri" w:hAnsi="Calibri"/>
          <w:b w:val="false"/>
          <w:bCs w:val="false"/>
          <w:i w:val="false"/>
          <w:iCs w:val="false"/>
          <w:color w:val="1A1A1A"/>
          <w:sz w:val="22"/>
          <w:szCs w:val="22"/>
        </w:rPr>
        <w:t xml:space="preserve">CeloHT's eight public repositories (CeloHT, celoht-docs, celoht-research, celoht-siteweb, celoht-dapp, celoht-smart-contracts, celoht-brand, and .github) are listed in full at the Celo-HaiTi GitHub organization page and are not reproduced in full here to avoid duplication that could grow outdated between manuscript revisions. Readers should refer to the live organization page at github.com/Celo-HaiTi for the current, authoritative listing.</w:t>
      </w:r>
    </w:p>
    <w:p>
      <w:pPr>
        <w:pStyle w:val="Heading2"/>
        <w:spacing w:after="140" w:before="260"/>
      </w:pPr>
      <w:r>
        <w:rPr>
          <w:rFonts w:ascii="Cambria" w:cs="Cambria" w:eastAsia="Cambria" w:hAnsi="Cambria"/>
          <w:b/>
          <w:bCs/>
          <w:color w:val="0B1120"/>
          <w:sz w:val="26"/>
          <w:szCs w:val="26"/>
        </w:rPr>
        <w:t xml:space="preserve">Appendix B: CeloHT Academy Volume List</w:t>
      </w:r>
    </w:p>
    <w:p>
      <w:pPr>
        <w:spacing w:after="200" w:line="300"/>
        <w:jc w:val="both"/>
      </w:pPr>
      <w:r>
        <w:rPr>
          <w:rFonts w:ascii="Calibri" w:cs="Calibri" w:eastAsia="Calibri" w:hAnsi="Calibri"/>
          <w:b w:val="false"/>
          <w:bCs w:val="false"/>
          <w:i w:val="false"/>
          <w:iCs w:val="false"/>
          <w:color w:val="1A1A1A"/>
          <w:sz w:val="22"/>
          <w:szCs w:val="22"/>
        </w:rPr>
        <w:t xml:space="preserve">A current list of completed and planned CeloHT Academy volumes, including publication status for each of the thirty planned titles, is maintained within the Academy's own documentation and referenced summarily in the Educational Platform and Key Metrics chapters of this book.</w:t>
      </w:r>
    </w:p>
    <w:p>
      <w:pPr>
        <w:pStyle w:val="Heading2"/>
        <w:spacing w:after="140" w:before="260"/>
      </w:pPr>
      <w:r>
        <w:rPr>
          <w:rFonts w:ascii="Cambria" w:cs="Cambria" w:eastAsia="Cambria" w:hAnsi="Cambria"/>
          <w:b/>
          <w:bCs/>
          <w:color w:val="0B1120"/>
          <w:sz w:val="26"/>
          <w:szCs w:val="26"/>
        </w:rPr>
        <w:t xml:space="preserve">Appendix C: Governance Document Index</w:t>
      </w:r>
    </w:p>
    <w:p>
      <w:pPr>
        <w:spacing w:after="200" w:line="300"/>
        <w:jc w:val="both"/>
      </w:pPr>
      <w:r>
        <w:rPr>
          <w:rFonts w:ascii="Calibri" w:cs="Calibri" w:eastAsia="Calibri" w:hAnsi="Calibri"/>
          <w:b w:val="false"/>
          <w:bCs w:val="false"/>
          <w:i w:val="false"/>
          <w:iCs w:val="false"/>
          <w:color w:val="1A1A1A"/>
          <w:sz w:val="22"/>
          <w:szCs w:val="22"/>
        </w:rPr>
        <w:t xml:space="preserve">CeloHT's governance repository maintains the authoritative index of policy documents referenced throughout this book, including the PARTNERSHIPS.md conflict-of-interest framework discussed in Strategic Partnerships and the decision-process documentation discussed in How Decisions Are Made.</w:t>
      </w:r>
    </w:p>
    <w:p>
      <w:pPr>
        <w:spacing w:after="80" w:before="120"/>
        <w:jc w:val="center"/>
      </w:pPr>
      <w:r>
        <w:drawing>
          <wp:inline distT="0" distB="0" distL="0" distR="0">
            <wp:extent cx="53340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52.1: CeloHT ecosystem map: relationships among the three pillars (Education, Agent Network, Reforestation), the eight-repository open-source codebase, and FreClean as a governed sister venture.</w:t>
      </w:r>
    </w:p>
    <w:p>
      <w:pPr>
        <w:sectPr>
          <w:headerReference w:type="default" r:id="rId111"/>
          <w:footerReference w:type="default" r:id="rId112"/>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53</w:t>
      </w:r>
    </w:p>
    <w:p>
      <w:pPr>
        <w:pStyle w:val="Heading1"/>
        <w:pBdr>
          <w:bottom w:val="single" w:color="0B1120" w:sz="6" w:space="8"/>
        </w:pBdr>
        <w:spacing w:after="260"/>
      </w:pPr>
      <w:r>
        <w:rPr>
          <w:rFonts w:ascii="Cambria" w:cs="Cambria" w:eastAsia="Cambria" w:hAnsi="Cambria"/>
          <w:b/>
          <w:bCs/>
          <w:color w:val="0B1120"/>
          <w:sz w:val="40"/>
          <w:szCs w:val="40"/>
        </w:rPr>
        <w:t xml:space="preserve">Glossary</w:t>
      </w:r>
    </w:p>
    <w:p>
      <w:pPr>
        <w:spacing w:after="200" w:line="300"/>
        <w:jc w:val="both"/>
      </w:pPr>
      <w:r>
        <w:rPr>
          <w:rFonts w:ascii="Calibri" w:cs="Calibri" w:eastAsia="Calibri" w:hAnsi="Calibri"/>
          <w:b w:val="false"/>
          <w:bCs w:val="false"/>
          <w:i/>
          <w:iCs/>
          <w:color w:val="555555"/>
          <w:sz w:val="22"/>
          <w:szCs w:val="22"/>
        </w:rPr>
        <w:t xml:space="preserve">The chapter that follows defines technical and organizational terms used throughout this book for readers unfamiliar with blockchain or Web3 terminology.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Term</w:t>
            </w:r>
          </w:p>
        </w:tc>
        <w:tc>
          <w:tcPr>
            <w:tcW w:type="dxa" w:w="6750"/>
            <w:shd w:fill="0B1120" w:val="clear"/>
            <w:tcMar>
              <w:top w:type="dxa" w:w="100"/>
              <w:left w:type="dxa" w:w="140"/>
              <w:bottom w:type="dxa" w:w="100"/>
              <w:right w:type="dxa" w:w="140"/>
            </w:tcMar>
          </w:tcPr>
          <w:p>
            <w:r>
              <w:rPr>
                <w:rFonts w:ascii="Calibri" w:cs="Calibri" w:eastAsia="Calibri" w:hAnsi="Calibri"/>
                <w:b/>
                <w:bCs/>
                <w:color w:val="FFFFFF"/>
                <w:sz w:val="19"/>
                <w:szCs w:val="19"/>
              </w:rPr>
              <w:t xml:space="preserve">Definition</w:t>
            </w:r>
          </w:p>
        </w:tc>
      </w:tr>
      <w:tr>
        <w:tc>
          <w:tcPr>
            <w:tcW w:type="dxa" w:w="2600"/>
            <w:shd w:fill="FFFFFF" w:val="clear"/>
            <w:tcMar>
              <w:top w:type="dxa" w:w="90"/>
              <w:left w:type="dxa" w:w="140"/>
              <w:bottom w:type="dxa" w:w="90"/>
              <w:right w:type="dxa" w:w="140"/>
            </w:tcMar>
          </w:tcPr>
          <w:p>
            <w:r>
              <w:rPr>
                <w:rFonts w:ascii="Calibri" w:cs="Calibri" w:eastAsia="Calibri" w:hAnsi="Calibri"/>
                <w:color w:val="1A1A1A"/>
                <w:sz w:val="19"/>
                <w:szCs w:val="19"/>
              </w:rPr>
              <w:t xml:space="preserve">Agent Network</w:t>
            </w:r>
          </w:p>
        </w:tc>
        <w:tc>
          <w:tcPr>
            <w:tcW w:type="dxa" w:w="6750"/>
            <w:shd w:fill="FFFFFF" w:val="clear"/>
            <w:tcMar>
              <w:top w:type="dxa" w:w="90"/>
              <w:left w:type="dxa" w:w="140"/>
              <w:bottom w:type="dxa" w:w="90"/>
              <w:right w:type="dxa" w:w="140"/>
            </w:tcMar>
          </w:tcPr>
          <w:p>
            <w:r>
              <w:rPr>
                <w:rFonts w:ascii="Calibri" w:cs="Calibri" w:eastAsia="Calibri" w:hAnsi="Calibri"/>
                <w:color w:val="1A1A1A"/>
                <w:sz w:val="19"/>
                <w:szCs w:val="19"/>
              </w:rPr>
              <w:t xml:space="preserve">CeloHT's pillar of trained community members who support local onboarding and education.</w:t>
            </w:r>
          </w:p>
        </w:tc>
      </w:tr>
      <w:tr>
        <w:tc>
          <w:tcPr>
            <w:tcW w:type="dxa" w:w="2600"/>
            <w:shd w:fill="F5F6F8" w:val="clear"/>
            <w:tcMar>
              <w:top w:type="dxa" w:w="90"/>
              <w:left w:type="dxa" w:w="140"/>
              <w:bottom w:type="dxa" w:w="90"/>
              <w:right w:type="dxa" w:w="140"/>
            </w:tcMar>
          </w:tcPr>
          <w:p>
            <w:r>
              <w:rPr>
                <w:rFonts w:ascii="Calibri" w:cs="Calibri" w:eastAsia="Calibri" w:hAnsi="Calibri"/>
                <w:color w:val="1A1A1A"/>
                <w:sz w:val="19"/>
                <w:szCs w:val="19"/>
              </w:rPr>
              <w:t xml:space="preserve">dApp</w:t>
            </w:r>
          </w:p>
        </w:tc>
        <w:tc>
          <w:tcPr>
            <w:tcW w:type="dxa" w:w="6750"/>
            <w:shd w:fill="F5F6F8" w:val="clear"/>
            <w:tcMar>
              <w:top w:type="dxa" w:w="90"/>
              <w:left w:type="dxa" w:w="140"/>
              <w:bottom w:type="dxa" w:w="90"/>
              <w:right w:type="dxa" w:w="140"/>
            </w:tcMar>
          </w:tcPr>
          <w:p>
            <w:r>
              <w:rPr>
                <w:rFonts w:ascii="Calibri" w:cs="Calibri" w:eastAsia="Calibri" w:hAnsi="Calibri"/>
                <w:color w:val="1A1A1A"/>
                <w:sz w:val="19"/>
                <w:szCs w:val="19"/>
              </w:rPr>
              <w:t xml:space="preserve">Decentralized application; software that interacts with a blockchain network, in CeloHT's case built on Next.js and React.</w:t>
            </w:r>
          </w:p>
        </w:tc>
      </w:tr>
      <w:tr>
        <w:tc>
          <w:tcPr>
            <w:tcW w:type="dxa" w:w="2600"/>
            <w:shd w:fill="FFFFFF" w:val="clear"/>
            <w:tcMar>
              <w:top w:type="dxa" w:w="90"/>
              <w:left w:type="dxa" w:w="140"/>
              <w:bottom w:type="dxa" w:w="90"/>
              <w:right w:type="dxa" w:w="140"/>
            </w:tcMar>
          </w:tcPr>
          <w:p>
            <w:r>
              <w:rPr>
                <w:rFonts w:ascii="Calibri" w:cs="Calibri" w:eastAsia="Calibri" w:hAnsi="Calibri"/>
                <w:color w:val="1A1A1A"/>
                <w:sz w:val="19"/>
                <w:szCs w:val="19"/>
              </w:rPr>
              <w:t xml:space="preserve">Financial inclusion</w:t>
            </w:r>
          </w:p>
        </w:tc>
        <w:tc>
          <w:tcPr>
            <w:tcW w:type="dxa" w:w="6750"/>
            <w:shd w:fill="FFFFFF" w:val="clear"/>
            <w:tcMar>
              <w:top w:type="dxa" w:w="90"/>
              <w:left w:type="dxa" w:w="140"/>
              <w:bottom w:type="dxa" w:w="90"/>
              <w:right w:type="dxa" w:w="140"/>
            </w:tcMar>
          </w:tcPr>
          <w:p>
            <w:r>
              <w:rPr>
                <w:rFonts w:ascii="Calibri" w:cs="Calibri" w:eastAsia="Calibri" w:hAnsi="Calibri"/>
                <w:color w:val="1A1A1A"/>
                <w:sz w:val="19"/>
                <w:szCs w:val="19"/>
              </w:rPr>
              <w:t xml:space="preserve">Access to useful and affordable financial products and services, delivered responsibly and sustainably.</w:t>
            </w:r>
          </w:p>
        </w:tc>
      </w:tr>
      <w:tr>
        <w:tc>
          <w:tcPr>
            <w:tcW w:type="dxa" w:w="2600"/>
            <w:shd w:fill="F5F6F8" w:val="clear"/>
            <w:tcMar>
              <w:top w:type="dxa" w:w="90"/>
              <w:left w:type="dxa" w:w="140"/>
              <w:bottom w:type="dxa" w:w="90"/>
              <w:right w:type="dxa" w:w="140"/>
            </w:tcMar>
          </w:tcPr>
          <w:p>
            <w:r>
              <w:rPr>
                <w:rFonts w:ascii="Calibri" w:cs="Calibri" w:eastAsia="Calibri" w:hAnsi="Calibri"/>
                <w:color w:val="1A1A1A"/>
                <w:sz w:val="19"/>
                <w:szCs w:val="19"/>
              </w:rPr>
              <w:t xml:space="preserve">Governance repository</w:t>
            </w:r>
          </w:p>
        </w:tc>
        <w:tc>
          <w:tcPr>
            <w:tcW w:type="dxa" w:w="6750"/>
            <w:shd w:fill="F5F6F8" w:val="clear"/>
            <w:tcMar>
              <w:top w:type="dxa" w:w="90"/>
              <w:left w:type="dxa" w:w="140"/>
              <w:bottom w:type="dxa" w:w="90"/>
              <w:right w:type="dxa" w:w="140"/>
            </w:tcMar>
          </w:tcPr>
          <w:p>
            <w:r>
              <w:rPr>
                <w:rFonts w:ascii="Calibri" w:cs="Calibri" w:eastAsia="Calibri" w:hAnsi="Calibri"/>
                <w:color w:val="1A1A1A"/>
                <w:sz w:val="19"/>
                <w:szCs w:val="19"/>
              </w:rPr>
              <w:t xml:space="preserve">The public GitHub repository where CeloHT records proposals, decisions, and organizational policy.</w:t>
            </w:r>
          </w:p>
        </w:tc>
      </w:tr>
      <w:tr>
        <w:tc>
          <w:tcPr>
            <w:tcW w:type="dxa" w:w="2600"/>
            <w:shd w:fill="FFFFFF" w:val="clear"/>
            <w:tcMar>
              <w:top w:type="dxa" w:w="90"/>
              <w:left w:type="dxa" w:w="140"/>
              <w:bottom w:type="dxa" w:w="90"/>
              <w:right w:type="dxa" w:w="140"/>
            </w:tcMar>
          </w:tcPr>
          <w:p>
            <w:r>
              <w:rPr>
                <w:rFonts w:ascii="Calibri" w:cs="Calibri" w:eastAsia="Calibri" w:hAnsi="Calibri"/>
                <w:color w:val="1A1A1A"/>
                <w:sz w:val="19"/>
                <w:szCs w:val="19"/>
              </w:rPr>
              <w:t xml:space="preserve">Hardhat</w:t>
            </w:r>
          </w:p>
        </w:tc>
        <w:tc>
          <w:tcPr>
            <w:tcW w:type="dxa" w:w="6750"/>
            <w:shd w:fill="FFFFFF" w:val="clear"/>
            <w:tcMar>
              <w:top w:type="dxa" w:w="90"/>
              <w:left w:type="dxa" w:w="140"/>
              <w:bottom w:type="dxa" w:w="90"/>
              <w:right w:type="dxa" w:w="140"/>
            </w:tcMar>
          </w:tcPr>
          <w:p>
            <w:r>
              <w:rPr>
                <w:rFonts w:ascii="Calibri" w:cs="Calibri" w:eastAsia="Calibri" w:hAnsi="Calibri"/>
                <w:color w:val="1A1A1A"/>
                <w:sz w:val="19"/>
                <w:szCs w:val="19"/>
              </w:rPr>
              <w:t xml:space="preserve">A development framework used for writing, testing, and deploying Solidity smart contracts.</w:t>
            </w:r>
          </w:p>
        </w:tc>
      </w:tr>
      <w:tr>
        <w:tc>
          <w:tcPr>
            <w:tcW w:type="dxa" w:w="2600"/>
            <w:shd w:fill="F5F6F8" w:val="clear"/>
            <w:tcMar>
              <w:top w:type="dxa" w:w="90"/>
              <w:left w:type="dxa" w:w="140"/>
              <w:bottom w:type="dxa" w:w="90"/>
              <w:right w:type="dxa" w:w="140"/>
            </w:tcMar>
          </w:tcPr>
          <w:p>
            <w:r>
              <w:rPr>
                <w:rFonts w:ascii="Calibri" w:cs="Calibri" w:eastAsia="Calibri" w:hAnsi="Calibri"/>
                <w:color w:val="1A1A1A"/>
                <w:sz w:val="19"/>
                <w:szCs w:val="19"/>
              </w:rPr>
              <w:t xml:space="preserve">Non-custodial wallet</w:t>
            </w:r>
          </w:p>
        </w:tc>
        <w:tc>
          <w:tcPr>
            <w:tcW w:type="dxa" w:w="6750"/>
            <w:shd w:fill="F5F6F8" w:val="clear"/>
            <w:tcMar>
              <w:top w:type="dxa" w:w="90"/>
              <w:left w:type="dxa" w:w="140"/>
              <w:bottom w:type="dxa" w:w="90"/>
              <w:right w:type="dxa" w:w="140"/>
            </w:tcMar>
          </w:tcPr>
          <w:p>
            <w:r>
              <w:rPr>
                <w:rFonts w:ascii="Calibri" w:cs="Calibri" w:eastAsia="Calibri" w:hAnsi="Calibri"/>
                <w:color w:val="1A1A1A"/>
                <w:sz w:val="19"/>
                <w:szCs w:val="19"/>
              </w:rPr>
              <w:t xml:space="preserve">A digital wallet, such as Valora, in which the user alone controls their private keys and funds.</w:t>
            </w:r>
          </w:p>
        </w:tc>
      </w:tr>
      <w:tr>
        <w:tc>
          <w:tcPr>
            <w:tcW w:type="dxa" w:w="2600"/>
            <w:shd w:fill="FFFFFF" w:val="clear"/>
            <w:tcMar>
              <w:top w:type="dxa" w:w="90"/>
              <w:left w:type="dxa" w:w="140"/>
              <w:bottom w:type="dxa" w:w="90"/>
              <w:right w:type="dxa" w:w="140"/>
            </w:tcMar>
          </w:tcPr>
          <w:p>
            <w:r>
              <w:rPr>
                <w:rFonts w:ascii="Calibri" w:cs="Calibri" w:eastAsia="Calibri" w:hAnsi="Calibri"/>
                <w:color w:val="1A1A1A"/>
                <w:sz w:val="19"/>
                <w:szCs w:val="19"/>
              </w:rPr>
              <w:t xml:space="preserve">Open source</w:t>
            </w:r>
          </w:p>
        </w:tc>
        <w:tc>
          <w:tcPr>
            <w:tcW w:type="dxa" w:w="6750"/>
            <w:shd w:fill="FFFFFF" w:val="clear"/>
            <w:tcMar>
              <w:top w:type="dxa" w:w="90"/>
              <w:left w:type="dxa" w:w="140"/>
              <w:bottom w:type="dxa" w:w="90"/>
              <w:right w:type="dxa" w:w="140"/>
            </w:tcMar>
          </w:tcPr>
          <w:p>
            <w:r>
              <w:rPr>
                <w:rFonts w:ascii="Calibri" w:cs="Calibri" w:eastAsia="Calibri" w:hAnsi="Calibri"/>
                <w:color w:val="1A1A1A"/>
                <w:sz w:val="19"/>
                <w:szCs w:val="19"/>
              </w:rPr>
              <w:t xml:space="preserve">Software whose source code is made publicly available for inspection, use, and modification.</w:t>
            </w:r>
          </w:p>
        </w:tc>
      </w:tr>
      <w:tr>
        <w:tc>
          <w:tcPr>
            <w:tcW w:type="dxa" w:w="2600"/>
            <w:shd w:fill="F5F6F8" w:val="clear"/>
            <w:tcMar>
              <w:top w:type="dxa" w:w="90"/>
              <w:left w:type="dxa" w:w="140"/>
              <w:bottom w:type="dxa" w:w="90"/>
              <w:right w:type="dxa" w:w="140"/>
            </w:tcMar>
          </w:tcPr>
          <w:p>
            <w:r>
              <w:rPr>
                <w:rFonts w:ascii="Calibri" w:cs="Calibri" w:eastAsia="Calibri" w:hAnsi="Calibri"/>
                <w:color w:val="1A1A1A"/>
                <w:sz w:val="19"/>
                <w:szCs w:val="19"/>
              </w:rPr>
              <w:t xml:space="preserve">Solidity</w:t>
            </w:r>
          </w:p>
        </w:tc>
        <w:tc>
          <w:tcPr>
            <w:tcW w:type="dxa" w:w="6750"/>
            <w:shd w:fill="F5F6F8" w:val="clear"/>
            <w:tcMar>
              <w:top w:type="dxa" w:w="90"/>
              <w:left w:type="dxa" w:w="140"/>
              <w:bottom w:type="dxa" w:w="90"/>
              <w:right w:type="dxa" w:w="140"/>
            </w:tcMar>
          </w:tcPr>
          <w:p>
            <w:r>
              <w:rPr>
                <w:rFonts w:ascii="Calibri" w:cs="Calibri" w:eastAsia="Calibri" w:hAnsi="Calibri"/>
                <w:color w:val="1A1A1A"/>
                <w:sz w:val="19"/>
                <w:szCs w:val="19"/>
              </w:rPr>
              <w:t xml:space="preserve">The primary programming language used to write smart contracts on Celo and similar networks.</w:t>
            </w:r>
          </w:p>
        </w:tc>
      </w:tr>
      <w:tr>
        <w:tc>
          <w:tcPr>
            <w:tcW w:type="dxa" w:w="2600"/>
            <w:shd w:fill="FFFFFF" w:val="clear"/>
            <w:tcMar>
              <w:top w:type="dxa" w:w="90"/>
              <w:left w:type="dxa" w:w="140"/>
              <w:bottom w:type="dxa" w:w="90"/>
              <w:right w:type="dxa" w:w="140"/>
            </w:tcMar>
          </w:tcPr>
          <w:p>
            <w:r>
              <w:rPr>
                <w:rFonts w:ascii="Calibri" w:cs="Calibri" w:eastAsia="Calibri" w:hAnsi="Calibri"/>
                <w:color w:val="1A1A1A"/>
                <w:sz w:val="19"/>
                <w:szCs w:val="19"/>
              </w:rPr>
              <w:t xml:space="preserve">Stablecoin</w:t>
            </w:r>
          </w:p>
        </w:tc>
        <w:tc>
          <w:tcPr>
            <w:tcW w:type="dxa" w:w="6750"/>
            <w:shd w:fill="FFFFFF" w:val="clear"/>
            <w:tcMar>
              <w:top w:type="dxa" w:w="90"/>
              <w:left w:type="dxa" w:w="140"/>
              <w:bottom w:type="dxa" w:w="90"/>
              <w:right w:type="dxa" w:w="140"/>
            </w:tcMar>
          </w:tcPr>
          <w:p>
            <w:r>
              <w:rPr>
                <w:rFonts w:ascii="Calibri" w:cs="Calibri" w:eastAsia="Calibri" w:hAnsi="Calibri"/>
                <w:color w:val="1A1A1A"/>
                <w:sz w:val="19"/>
                <w:szCs w:val="19"/>
              </w:rPr>
              <w:t xml:space="preserve">A digital asset designed to maintain a stable value, typically pegged to a fiat currency such as the US dollar.</w:t>
            </w:r>
          </w:p>
        </w:tc>
      </w:tr>
      <w:tr>
        <w:tc>
          <w:tcPr>
            <w:tcW w:type="dxa" w:w="2600"/>
            <w:shd w:fill="F5F6F8" w:val="clear"/>
            <w:tcMar>
              <w:top w:type="dxa" w:w="90"/>
              <w:left w:type="dxa" w:w="140"/>
              <w:bottom w:type="dxa" w:w="90"/>
              <w:right w:type="dxa" w:w="140"/>
            </w:tcMar>
          </w:tcPr>
          <w:p>
            <w:r>
              <w:rPr>
                <w:rFonts w:ascii="Calibri" w:cs="Calibri" w:eastAsia="Calibri" w:hAnsi="Calibri"/>
                <w:color w:val="1A1A1A"/>
                <w:sz w:val="19"/>
                <w:szCs w:val="19"/>
              </w:rPr>
              <w:t xml:space="preserve">Token</w:t>
            </w:r>
          </w:p>
        </w:tc>
        <w:tc>
          <w:tcPr>
            <w:tcW w:type="dxa" w:w="6750"/>
            <w:shd w:fill="F5F6F8" w:val="clear"/>
            <w:tcMar>
              <w:top w:type="dxa" w:w="90"/>
              <w:left w:type="dxa" w:w="140"/>
              <w:bottom w:type="dxa" w:w="90"/>
              <w:right w:type="dxa" w:w="140"/>
            </w:tcMar>
          </w:tcPr>
          <w:p>
            <w:r>
              <w:rPr>
                <w:rFonts w:ascii="Calibri" w:cs="Calibri" w:eastAsia="Calibri" w:hAnsi="Calibri"/>
                <w:color w:val="1A1A1A"/>
                <w:sz w:val="19"/>
                <w:szCs w:val="19"/>
              </w:rPr>
              <w:t xml:space="preserve">A digital financial instrument issued on a blockchain; CeloHT has not issued one.</w:t>
            </w:r>
          </w:p>
        </w:tc>
      </w:tr>
      <w:tr>
        <w:tc>
          <w:tcPr>
            <w:tcW w:type="dxa" w:w="2600"/>
            <w:shd w:fill="FFFFFF" w:val="clear"/>
            <w:tcMar>
              <w:top w:type="dxa" w:w="90"/>
              <w:left w:type="dxa" w:w="140"/>
              <w:bottom w:type="dxa" w:w="90"/>
              <w:right w:type="dxa" w:w="140"/>
            </w:tcMar>
          </w:tcPr>
          <w:p>
            <w:r>
              <w:rPr>
                <w:rFonts w:ascii="Calibri" w:cs="Calibri" w:eastAsia="Calibri" w:hAnsi="Calibri"/>
                <w:color w:val="1A1A1A"/>
                <w:sz w:val="19"/>
                <w:szCs w:val="19"/>
              </w:rPr>
              <w:t xml:space="preserve">USDm</w:t>
            </w:r>
          </w:p>
        </w:tc>
        <w:tc>
          <w:tcPr>
            <w:tcW w:type="dxa" w:w="6750"/>
            <w:shd w:fill="FFFFFF" w:val="clear"/>
            <w:tcMar>
              <w:top w:type="dxa" w:w="90"/>
              <w:left w:type="dxa" w:w="140"/>
              <w:bottom w:type="dxa" w:w="90"/>
              <w:right w:type="dxa" w:w="140"/>
            </w:tcMar>
          </w:tcPr>
          <w:p>
            <w:r>
              <w:rPr>
                <w:rFonts w:ascii="Calibri" w:cs="Calibri" w:eastAsia="Calibri" w:hAnsi="Calibri"/>
                <w:color w:val="1A1A1A"/>
                <w:sz w:val="19"/>
                <w:szCs w:val="19"/>
              </w:rPr>
              <w:t xml:space="preserve">The Mento Protocol's dollar-pegged stablecoin native to the Celo blockchain, formerly known as Celo Dollar (cUSD) before a December 2025 rebrand.</w:t>
            </w:r>
          </w:p>
        </w:tc>
      </w:tr>
      <w:tr>
        <w:tc>
          <w:tcPr>
            <w:tcW w:type="dxa" w:w="2600"/>
            <w:shd w:fill="F5F6F8" w:val="clear"/>
            <w:tcMar>
              <w:top w:type="dxa" w:w="90"/>
              <w:left w:type="dxa" w:w="140"/>
              <w:bottom w:type="dxa" w:w="90"/>
              <w:right w:type="dxa" w:w="140"/>
            </w:tcMar>
          </w:tcPr>
          <w:p>
            <w:r>
              <w:rPr>
                <w:rFonts w:ascii="Calibri" w:cs="Calibri" w:eastAsia="Calibri" w:hAnsi="Calibri"/>
                <w:color w:val="1A1A1A"/>
                <w:sz w:val="19"/>
                <w:szCs w:val="19"/>
              </w:rPr>
              <w:t xml:space="preserve">Valora</w:t>
            </w:r>
          </w:p>
        </w:tc>
        <w:tc>
          <w:tcPr>
            <w:tcW w:type="dxa" w:w="6750"/>
            <w:shd w:fill="F5F6F8" w:val="clear"/>
            <w:tcMar>
              <w:top w:type="dxa" w:w="90"/>
              <w:left w:type="dxa" w:w="140"/>
              <w:bottom w:type="dxa" w:w="90"/>
              <w:right w:type="dxa" w:w="140"/>
            </w:tcMar>
          </w:tcPr>
          <w:p>
            <w:r>
              <w:rPr>
                <w:rFonts w:ascii="Calibri" w:cs="Calibri" w:eastAsia="Calibri" w:hAnsi="Calibri"/>
                <w:color w:val="1A1A1A"/>
                <w:sz w:val="19"/>
                <w:szCs w:val="19"/>
              </w:rPr>
              <w:t xml:space="preserve">A non-custodial mobile wallet within the Celo ecosystem, used for CeloHT's wallet integration.</w:t>
            </w:r>
          </w:p>
        </w:tc>
      </w:tr>
    </w:tbl>
    <w:p>
      <w:pPr>
        <w:spacing w:after="200"/>
      </w:pPr>
    </w:p>
    <w:p>
      <w:pPr>
        <w:sectPr>
          <w:headerReference w:type="default" r:id="rId113"/>
          <w:footerReference w:type="default" r:id="rId114"/>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54</w:t>
      </w:r>
    </w:p>
    <w:p>
      <w:pPr>
        <w:pStyle w:val="Heading1"/>
        <w:pBdr>
          <w:bottom w:val="single" w:color="0B1120" w:sz="6" w:space="8"/>
        </w:pBdr>
        <w:spacing w:after="260"/>
      </w:pPr>
      <w:r>
        <w:rPr>
          <w:rFonts w:ascii="Cambria" w:cs="Cambria" w:eastAsia="Cambria" w:hAnsi="Cambria"/>
          <w:b/>
          <w:bCs/>
          <w:color w:val="0B1120"/>
          <w:sz w:val="40"/>
          <w:szCs w:val="40"/>
        </w:rPr>
        <w:t xml:space="preserve">References</w:t>
      </w:r>
    </w:p>
    <w:p>
      <w:pPr>
        <w:spacing w:after="200" w:line="300"/>
        <w:jc w:val="both"/>
      </w:pPr>
      <w:r>
        <w:rPr>
          <w:rFonts w:ascii="Calibri" w:cs="Calibri" w:eastAsia="Calibri" w:hAnsi="Calibri"/>
          <w:b w:val="false"/>
          <w:bCs w:val="false"/>
          <w:i/>
          <w:iCs/>
          <w:color w:val="555555"/>
          <w:sz w:val="22"/>
          <w:szCs w:val="22"/>
        </w:rPr>
        <w:t xml:space="preserve">This section directs readers to CeloHT's primary public sources for independent verification of the claims made throughout this book.</w:t>
      </w:r>
    </w:p>
    <w:p>
      <w:pPr>
        <w:spacing w:after="200" w:line="300"/>
        <w:jc w:val="both"/>
      </w:pPr>
      <w:r>
        <w:rPr>
          <w:rFonts w:ascii="Calibri" w:cs="Calibri" w:eastAsia="Calibri" w:hAnsi="Calibri"/>
          <w:b w:val="false"/>
          <w:bCs w:val="false"/>
          <w:i w:val="false"/>
          <w:iCs w:val="false"/>
          <w:color w:val="1A1A1A"/>
          <w:sz w:val="22"/>
          <w:szCs w:val="22"/>
        </w:rPr>
        <w:t xml:space="preserve">Consistent with CeloHT's principle that accountability should not depend on trusting the organization's account of itself, readers are encouraged to verify this book's claims directly against the following primary sources.</w:t>
      </w:r>
    </w:p>
    <w:p>
      <w:pPr>
        <w:spacing w:after="140"/>
      </w:pPr>
      <w:r>
        <w:rPr>
          <w:rFonts w:ascii="Calibri" w:cs="Calibri" w:eastAsia="Calibri" w:hAnsi="Calibri"/>
          <w:i/>
          <w:iCs/>
          <w:color w:val="8B8B8B"/>
          <w:sz w:val="18"/>
          <w:szCs w:val="18"/>
        </w:rPr>
        <w:t xml:space="preserve">[CeloHT GitHub Organization (Celo-HaiTi): full repository listing, commit history, and technical documentation]</w:t>
      </w:r>
    </w:p>
    <w:p>
      <w:pPr>
        <w:spacing w:after="140"/>
      </w:pPr>
      <w:r>
        <w:rPr>
          <w:rFonts w:ascii="Calibri" w:cs="Calibri" w:eastAsia="Calibri" w:hAnsi="Calibri"/>
          <w:i/>
          <w:iCs/>
          <w:color w:val="8B8B8B"/>
          <w:sz w:val="18"/>
          <w:szCs w:val="18"/>
        </w:rPr>
        <w:t xml:space="preserve">[CeloHT governance repository: public policy documents, including PARTNERSHIPS.md]</w:t>
      </w:r>
    </w:p>
    <w:p>
      <w:pPr>
        <w:spacing w:after="140"/>
      </w:pPr>
      <w:r>
        <w:rPr>
          <w:rFonts w:ascii="Calibri" w:cs="Calibri" w:eastAsia="Calibri" w:hAnsi="Calibri"/>
          <w:i/>
          <w:iCs/>
          <w:color w:val="8B8B8B"/>
          <w:sz w:val="18"/>
          <w:szCs w:val="18"/>
        </w:rPr>
        <w:t xml:space="preserve">[CeloHT Academy volumes 1 through 13: published educational curriculum]</w:t>
      </w:r>
    </w:p>
    <w:p>
      <w:pPr>
        <w:spacing w:after="140"/>
      </w:pPr>
      <w:r>
        <w:rPr>
          <w:rFonts w:ascii="Calibri" w:cs="Calibri" w:eastAsia="Calibri" w:hAnsi="Calibri"/>
          <w:i/>
          <w:iCs/>
          <w:color w:val="8B8B8B"/>
          <w:sz w:val="18"/>
          <w:szCs w:val="18"/>
        </w:rPr>
        <w:t xml:space="preserve">[CeloHT public website and documentation hub]</w:t>
      </w:r>
    </w:p>
    <w:p>
      <w:pPr>
        <w:spacing w:after="140"/>
      </w:pPr>
      <w:r>
        <w:rPr>
          <w:rFonts w:ascii="Calibri" w:cs="Calibri" w:eastAsia="Calibri" w:hAnsi="Calibri"/>
          <w:i/>
          <w:iCs/>
          <w:color w:val="8B8B8B"/>
          <w:sz w:val="18"/>
          <w:szCs w:val="18"/>
        </w:rPr>
        <w:t xml:space="preserve">[CeloHT Medium publication (@celoht3): public updates and announcements]</w:t>
      </w:r>
    </w:p>
    <w:p>
      <w:pPr>
        <w:spacing w:after="140"/>
      </w:pPr>
      <w:r>
        <w:rPr>
          <w:rFonts w:ascii="Calibri" w:cs="Calibri" w:eastAsia="Calibri" w:hAnsi="Calibri"/>
          <w:i/>
          <w:iCs/>
          <w:color w:val="8B8B8B"/>
          <w:sz w:val="18"/>
          <w:szCs w:val="18"/>
        </w:rPr>
        <w:t xml:space="preserve">[Celo Foundation and Mento Labs public documentation: network architecture and USDm stablecoin specification]</w:t>
      </w:r>
    </w:p>
    <w:p>
      <w:pPr>
        <w:spacing w:after="140"/>
      </w:pPr>
      <w:r>
        <w:rPr>
          <w:rFonts w:ascii="Calibri" w:cs="Calibri" w:eastAsia="Calibri" w:hAnsi="Calibri"/>
          <w:i/>
          <w:iCs/>
          <w:color w:val="8B8B8B"/>
          <w:sz w:val="18"/>
          <w:szCs w:val="18"/>
        </w:rPr>
        <w:t xml:space="preserve">[Valora wallet public documentation: non-custodial wallet architecture]</w:t>
      </w:r>
    </w:p>
    <w:p>
      <w:pPr>
        <w:spacing w:after="200" w:line="300"/>
        <w:jc w:val="both"/>
      </w:pPr>
      <w:r>
        <w:rPr>
          <w:rFonts w:ascii="Calibri" w:cs="Calibri" w:eastAsia="Calibri" w:hAnsi="Calibri"/>
          <w:b w:val="false"/>
          <w:bCs w:val="false"/>
          <w:i w:val="false"/>
          <w:iCs w:val="false"/>
          <w:color w:val="1A1A1A"/>
          <w:sz w:val="22"/>
          <w:szCs w:val="22"/>
        </w:rPr>
        <w:t xml:space="preserve">Where a specific figure or claim in this book draws on internal, not-yet-public program data, that has been noted explicitly within the relevant chapter rather than presented as independently verifiable when it is not.</w:t>
      </w:r>
    </w:p>
    <w:p>
      <w:pPr>
        <w:sectPr>
          <w:headerReference w:type="default" r:id="rId115"/>
          <w:footerReference w:type="default" r:id="rId116"/>
          <w:pgSz w:w="12240" w:h="15840" w:orient="portrait"/>
          <w:pgMar w:top="1440" w:right="1440" w:bottom="1440" w:left="1440" w:header="620" w:footer="620" w:gutter="0"/>
          <w:pgNumType/>
          <w:docGrid w:linePitch="360"/>
        </w:sectPr>
      </w:pPr>
    </w:p>
    <w:p>
      <w:pPr>
        <w:spacing w:after="60" w:before="200"/>
      </w:pPr>
      <w:r>
        <w:rPr>
          <w:rFonts w:ascii="Cambria" w:cs="Cambria" w:eastAsia="Cambria" w:hAnsi="Cambria"/>
          <w:b/>
          <w:bCs/>
          <w:caps/>
          <w:color w:val="C79A1E"/>
          <w:sz w:val="20"/>
          <w:szCs w:val="20"/>
        </w:rPr>
        <w:t xml:space="preserve">CHAPTER 55</w:t>
      </w:r>
    </w:p>
    <w:p>
      <w:pPr>
        <w:pStyle w:val="Heading1"/>
        <w:pBdr>
          <w:bottom w:val="single" w:color="0B1120" w:sz="6" w:space="8"/>
        </w:pBdr>
        <w:spacing w:after="260"/>
      </w:pPr>
      <w:r>
        <w:rPr>
          <w:rFonts w:ascii="Cambria" w:cs="Cambria" w:eastAsia="Cambria" w:hAnsi="Cambria"/>
          <w:b/>
          <w:bCs/>
          <w:color w:val="0B1120"/>
          <w:sz w:val="40"/>
          <w:szCs w:val="40"/>
        </w:rPr>
        <w:t xml:space="preserve">Acknowledgements</w:t>
      </w:r>
    </w:p>
    <w:p>
      <w:pPr>
        <w:spacing w:after="200" w:line="300"/>
        <w:jc w:val="both"/>
      </w:pPr>
      <w:r>
        <w:rPr>
          <w:rFonts w:ascii="Calibri" w:cs="Calibri" w:eastAsia="Calibri" w:hAnsi="Calibri"/>
          <w:b w:val="false"/>
          <w:bCs w:val="false"/>
          <w:i w:val="false"/>
          <w:iCs w:val="false"/>
          <w:color w:val="1A1A1A"/>
          <w:sz w:val="22"/>
          <w:szCs w:val="22"/>
        </w:rPr>
        <w:t xml:space="preserve">This book exists because of the work of people who believed, well before external validation arrived, that a financial-education initiative written first in Haitian Creole was worth building carefully rather than quickly.</w:t>
      </w:r>
    </w:p>
    <w:p>
      <w:pPr>
        <w:spacing w:after="200" w:line="300"/>
        <w:jc w:val="both"/>
      </w:pPr>
      <w:r>
        <w:rPr>
          <w:rFonts w:ascii="Calibri" w:cs="Calibri" w:eastAsia="Calibri" w:hAnsi="Calibri"/>
          <w:b w:val="false"/>
          <w:bCs w:val="false"/>
          <w:i w:val="false"/>
          <w:iCs w:val="false"/>
          <w:color w:val="1A1A1A"/>
          <w:sz w:val="22"/>
          <w:szCs w:val="22"/>
        </w:rPr>
        <w:t xml:space="preserve">Thanks are due to the early open-source contributors who engaged with CeloHT's repositories when the organization had little to offer beyond the opportunity to build something meaningful from the ground up. Thanks are due to the learners who worked through early volumes of the CeloHT Academy and offered the kind of direct, unfiltered feedback that shaped later volumes for the better. Thanks are due to the community members in Léogâne and beyond who gave their time to discussions, pilots, and honest skepticism, all of which sharpened this work.</w:t>
      </w:r>
    </w:p>
    <w:p>
      <w:pPr>
        <w:spacing w:after="200" w:line="300"/>
        <w:jc w:val="both"/>
      </w:pPr>
      <w:r>
        <w:rPr>
          <w:rFonts w:ascii="Calibri" w:cs="Calibri" w:eastAsia="Calibri" w:hAnsi="Calibri"/>
          <w:b w:val="false"/>
          <w:bCs w:val="false"/>
          <w:i w:val="false"/>
          <w:iCs w:val="false"/>
          <w:color w:val="1A1A1A"/>
          <w:sz w:val="22"/>
          <w:szCs w:val="22"/>
        </w:rPr>
        <w:t xml:space="preserve">Thanks are also due to the broader Celo ecosystem and the open-source foundations whose documentation and governance practices, referenced throughout this book, provided a standard worth aspiring to.</w:t>
      </w:r>
    </w:p>
    <w:p>
      <w:pPr>
        <w:spacing w:after="200" w:line="300"/>
        <w:jc w:val="both"/>
      </w:pPr>
      <w:r>
        <w:rPr>
          <w:rFonts w:ascii="Calibri" w:cs="Calibri" w:eastAsia="Calibri" w:hAnsi="Calibri"/>
          <w:b w:val="false"/>
          <w:bCs w:val="false"/>
          <w:i w:val="false"/>
          <w:iCs w:val="false"/>
          <w:color w:val="1A1A1A"/>
          <w:sz w:val="22"/>
          <w:szCs w:val="22"/>
        </w:rPr>
        <w:t xml:space="preserve">Finally, this book is offered in the same spirit in which CeloHT itself was founded: as an honest account of work still in progress, written for readers willing to evaluate that work on its evidence rather than its promises.</w:t>
      </w:r>
    </w:p>
    <w:p>
      <w:pPr>
        <w:spacing w:before="400"/>
        <w:jc w:val="center"/>
      </w:pPr>
      <w:r>
        <w:rPr>
          <w:rFonts w:ascii="Cambria" w:cs="Cambria" w:eastAsia="Cambria" w:hAnsi="Cambria"/>
          <w:i/>
          <w:iCs/>
          <w:color w:val="C79A1E"/>
          <w:sz w:val="22"/>
          <w:szCs w:val="22"/>
        </w:rPr>
        <w:t xml:space="preserve">End of Manuscript</w:t>
      </w:r>
    </w:p>
    <w:sectPr>
      <w:headerReference w:type="default" r:id="rId117"/>
      <w:footerReference w:type="default" r:id="rId118"/>
      <w:pgSz w:w="12240" w:h="15840" w:orient="portrait"/>
      <w:pgMar w:top="1440" w:right="1440" w:bottom="1440" w:left="1440" w:header="62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Cambria" w:cs="Cambria" w:eastAsia="Cambria" w:hAnsi="Cambria"/>
        <w:b/>
        <w:bCs/>
        <w:color w:val="C79A1E"/>
        <w:sz w:val="16"/>
        <w:szCs w:val="16"/>
      </w:rPr>
      <w:t xml:space="preserve">CELOHT</w:t>
    </w:r>
    <w:r>
      <w:rPr>
        <w:rFonts w:ascii="Calibri" w:cs="Calibri" w:eastAsia="Calibri" w:hAnsi="Calibri"/>
        <w:color w:val="888888"/>
        <w:sz w:val="16"/>
        <w:szCs w:val="16"/>
      </w:rPr>
      <w:t xml:space="preserve">	Investor &amp; Open Source Project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footer" Target="footer29.xml"/><Relationship Id="rId65" Type="http://schemas.openxmlformats.org/officeDocument/2006/relationships/header" Target="header30.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footer" Target="footer31.xml"/><Relationship Id="rId69" Type="http://schemas.openxmlformats.org/officeDocument/2006/relationships/header" Target="header32.xml"/><Relationship Id="rId70" Type="http://schemas.openxmlformats.org/officeDocument/2006/relationships/footer" Target="footer32.xml"/><Relationship Id="rId71" Type="http://schemas.openxmlformats.org/officeDocument/2006/relationships/header" Target="header33.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footer" Target="footer34.xml"/><Relationship Id="rId75" Type="http://schemas.openxmlformats.org/officeDocument/2006/relationships/header" Target="header35.xml"/><Relationship Id="rId76" Type="http://schemas.openxmlformats.org/officeDocument/2006/relationships/footer" Target="footer35.xml"/><Relationship Id="rId77" Type="http://schemas.openxmlformats.org/officeDocument/2006/relationships/header" Target="header36.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footer" Target="footer37.xml"/><Relationship Id="rId81" Type="http://schemas.openxmlformats.org/officeDocument/2006/relationships/header" Target="header38.xml"/><Relationship Id="rId82" Type="http://schemas.openxmlformats.org/officeDocument/2006/relationships/footer" Target="footer38.xml"/><Relationship Id="rId83" Type="http://schemas.openxmlformats.org/officeDocument/2006/relationships/header" Target="header39.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footer" Target="footer40.xml"/><Relationship Id="rId87" Type="http://schemas.openxmlformats.org/officeDocument/2006/relationships/header" Target="header41.xml"/><Relationship Id="rId88" Type="http://schemas.openxmlformats.org/officeDocument/2006/relationships/footer" Target="footer41.xml"/><Relationship Id="rId89" Type="http://schemas.openxmlformats.org/officeDocument/2006/relationships/header" Target="header42.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footer" Target="footer43.xml"/><Relationship Id="rId93" Type="http://schemas.openxmlformats.org/officeDocument/2006/relationships/header" Target="header44.xml"/><Relationship Id="rId94" Type="http://schemas.openxmlformats.org/officeDocument/2006/relationships/footer" Target="footer44.xml"/><Relationship Id="rId95" Type="http://schemas.openxmlformats.org/officeDocument/2006/relationships/header" Target="header45.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footer" Target="footer46.xml"/><Relationship Id="rId99" Type="http://schemas.openxmlformats.org/officeDocument/2006/relationships/header" Target="header47.xml"/><Relationship Id="rId100" Type="http://schemas.openxmlformats.org/officeDocument/2006/relationships/footer" Target="footer47.xml"/><Relationship Id="rId101" Type="http://schemas.openxmlformats.org/officeDocument/2006/relationships/header" Target="header48.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footer" Target="footer49.xml"/><Relationship Id="rId105" Type="http://schemas.openxmlformats.org/officeDocument/2006/relationships/header" Target="header50.xml"/><Relationship Id="rId106" Type="http://schemas.openxmlformats.org/officeDocument/2006/relationships/footer" Target="footer50.xml"/><Relationship Id="rId107" Type="http://schemas.openxmlformats.org/officeDocument/2006/relationships/header" Target="header51.xml"/><Relationship Id="rId108" Type="http://schemas.openxmlformats.org/officeDocument/2006/relationships/footer" Target="footer51.xml"/><Relationship Id="rId109" Type="http://schemas.openxmlformats.org/officeDocument/2006/relationships/header" Target="header52.xml"/><Relationship Id="rId110" Type="http://schemas.openxmlformats.org/officeDocument/2006/relationships/footer" Target="footer52.xml"/><Relationship Id="rId111" Type="http://schemas.openxmlformats.org/officeDocument/2006/relationships/header" Target="header53.xml"/><Relationship Id="rId112" Type="http://schemas.openxmlformats.org/officeDocument/2006/relationships/footer" Target="footer53.xml"/><Relationship Id="rId113" Type="http://schemas.openxmlformats.org/officeDocument/2006/relationships/header" Target="header54.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footer" Target="footer55.xml"/><Relationship Id="rId117" Type="http://schemas.openxmlformats.org/officeDocument/2006/relationships/header" Target="header56.xml"/><Relationship Id="rId118" Type="http://schemas.openxmlformats.org/officeDocument/2006/relationships/footer" Target="footer56.xml"/><Relationship Id="rId119" Type="http://schemas.openxmlformats.org/officeDocument/2006/relationships/image" Target="media/a5fa1fd2b9e2f38e610083f1dd0bd7b6521f3e60.png"/><Relationship Id="rId120" Type="http://schemas.openxmlformats.org/officeDocument/2006/relationships/image" Target="media/e476b206bdbc1bdca22f36412405bcb5ac4cb190.png"/><Relationship Id="rId121" Type="http://schemas.openxmlformats.org/officeDocument/2006/relationships/image" Target="media/02d1f84e7b1a236eaa1bdc4d60586c372244d2b8.png"/><Relationship Id="rId122" Type="http://schemas.openxmlformats.org/officeDocument/2006/relationships/image" Target="media/13bb86fe5e57e89e4b9194405c8934adcbe01784.png"/><Relationship Id="rId123" Type="http://schemas.openxmlformats.org/officeDocument/2006/relationships/image" Target="media/437f3e6a8fe96eb5b19fe3a533f426dd32c8c170.png"/><Relationship Id="rId1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CeloHT — Building Financial Inclusion Through Open Source, Community Education, and Regenerative Impact</dc:title>
  <dc:creator>CeloHT</dc:creator>
  <dc:description>The Official Investor &amp; Open Source Project Book</dc:description>
  <cp:lastModifiedBy>Un-named</cp:lastModifiedBy>
  <cp:revision>1</cp:revision>
  <dcterms:created xsi:type="dcterms:W3CDTF">2026-08-18T01:59:35.126Z</dcterms:created>
  <dcterms:modified xsi:type="dcterms:W3CDTF">2026-08-18T01:59:35.138Z</dcterms:modified>
</cp:coreProperties>
</file>

<file path=docProps/custom.xml><?xml version="1.0" encoding="utf-8"?>
<Properties xmlns="http://schemas.openxmlformats.org/officeDocument/2006/custom-properties" xmlns:vt="http://schemas.openxmlformats.org/officeDocument/2006/docPropsVTypes"/>
</file>