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54E48" w14:textId="77777777" w:rsidR="00993C6B" w:rsidRDefault="00993C6B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254E49" w14:textId="77777777" w:rsidR="00993C6B" w:rsidRDefault="0073571C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6254EC6" wp14:editId="06254EC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254ECC" w14:textId="77777777" w:rsidR="00993C6B" w:rsidRDefault="0073571C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(SUBJECT) (LEVEL) 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  <w:p w14:paraId="06254ECD" w14:textId="77777777" w:rsidR="00993C6B" w:rsidRDefault="0073571C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Hayley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Allison</w:t>
                            </w:r>
                          </w:p>
                          <w:p w14:paraId="06254ECE" w14:textId="77777777" w:rsidR="00993C6B" w:rsidRDefault="0073571C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54EC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06254ECC" w14:textId="77777777" w:rsidR="00993C6B" w:rsidRDefault="0073571C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(SUBJECT) (LEVEL) 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5</w:t>
                      </w:r>
                    </w:p>
                    <w:p w14:paraId="06254ECD" w14:textId="77777777" w:rsidR="00993C6B" w:rsidRDefault="0073571C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Hayley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Allison</w:t>
                      </w:r>
                    </w:p>
                    <w:p w14:paraId="06254ECE" w14:textId="77777777" w:rsidR="00993C6B" w:rsidRDefault="0073571C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06254EC8" wp14:editId="06254EC9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Indexademics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Unless otherwise stated, this document may not be accredited to individuals or groups other than the club IDX, nor should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this document be distributed, sold, or modified for personal use in any way.</w:t>
      </w:r>
    </w:p>
    <w:p w14:paraId="06254E6E" w14:textId="77777777" w:rsidR="00993C6B" w:rsidRDefault="00993C6B">
      <w:pPr>
        <w:pStyle w:val="Body"/>
        <w:rPr>
          <w:rFonts w:ascii="Times New Roman" w:hAnsi="Times New Roman" w:cs="Times New Roman"/>
        </w:rPr>
      </w:pPr>
    </w:p>
    <w:p w14:paraId="06254E6F" w14:textId="77777777" w:rsidR="00993C6B" w:rsidRDefault="00993C6B">
      <w:pPr>
        <w:pStyle w:val="Body"/>
        <w:rPr>
          <w:rFonts w:ascii="Times New Roman" w:hAnsi="Times New Roman" w:cs="Times New Roman"/>
        </w:rPr>
      </w:pPr>
    </w:p>
    <w:p w14:paraId="06254E70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7.3 Sizes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Atoms and Ions</w:t>
      </w:r>
    </w:p>
    <w:p w14:paraId="06254E71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72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Sizes of Atoms:</w:t>
      </w:r>
    </w:p>
    <w:p w14:paraId="06254E73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 xml:space="preserve">- The bonding atomic radius is defined as one-half of the distance between covalently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bond nuclei. </w:t>
      </w:r>
    </w:p>
    <w:p w14:paraId="06254E74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Across a period, from left to right, smaller radius</w:t>
      </w:r>
    </w:p>
    <w:p w14:paraId="06254E75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- Atoms’ nuclei gain more proton, increase the effective nuclear charge, which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exerts a stronger pull on electrons in the same principle energy level.</w:t>
      </w:r>
    </w:p>
    <w:p w14:paraId="06254E76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Down a group, larger radius</w:t>
      </w:r>
    </w:p>
    <w:p w14:paraId="06254E77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- Atoms have more principle energy level, which larger orbitals means that the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valence electrons are further from the nucleus.</w:t>
      </w:r>
    </w:p>
    <w:p w14:paraId="06254E78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79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Sizes of Ions:</w:t>
      </w:r>
    </w:p>
    <w:p w14:paraId="06254E7A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Ionic </w:t>
      </w:r>
      <w:r>
        <w:rPr>
          <w:rFonts w:ascii="Times New Roman" w:eastAsia="宋体" w:hAnsi="Times New Roman" w:cs="Times New Roman"/>
          <w:sz w:val="24"/>
          <w:szCs w:val="24"/>
        </w:rPr>
        <w:t>size depends on:</w:t>
      </w:r>
    </w:p>
    <w:p w14:paraId="06254E7B" w14:textId="77777777" w:rsidR="00993C6B" w:rsidRDefault="0073571C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nuclear charge</w:t>
      </w:r>
    </w:p>
    <w:p w14:paraId="06254E7C" w14:textId="77777777" w:rsidR="00993C6B" w:rsidRDefault="0073571C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number of electron</w:t>
      </w:r>
    </w:p>
    <w:p w14:paraId="06254E7D" w14:textId="77777777" w:rsidR="00993C6B" w:rsidRDefault="0073571C">
      <w:pPr>
        <w:pStyle w:val="Body"/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orbitals in which electrons reside</w:t>
      </w:r>
    </w:p>
    <w:p w14:paraId="06254E7E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Cations (positive charge ions) are smaller than their parent atoms</w:t>
      </w:r>
    </w:p>
    <w:p w14:paraId="06254E7F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 Outermost electron removed &amp; repulsion reduced</w:t>
      </w:r>
    </w:p>
    <w:p w14:paraId="06254E80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Antions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(negative charge ions) are larger than their parent atoms</w:t>
      </w:r>
    </w:p>
    <w:p w14:paraId="06254E81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- Electron added &amp; repulsion increase</w:t>
      </w:r>
    </w:p>
    <w:p w14:paraId="06254E82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Ionic size increase down group</w:t>
      </w:r>
    </w:p>
    <w:p w14:paraId="06254E83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In isoelectronic series, ions with same number of electrons, ionic size decreases with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an increasing nuclear charge.</w:t>
      </w:r>
    </w:p>
    <w:p w14:paraId="06254E84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85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7.4 Ionization</w:t>
      </w:r>
    </w:p>
    <w:p w14:paraId="06254E86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/>
        <w:t>Ionization Energy:</w:t>
      </w:r>
    </w:p>
    <w:p w14:paraId="06254E87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- Amount of energy required to remove an electron (valence electron first) from the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ground state of a gaseous state of a gaseous atom or ion 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akways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positive). (Minimum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energy required to remove an electron)</w:t>
      </w:r>
    </w:p>
    <w:p w14:paraId="06254E88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First ionization energy, second ionization energy, etc.</w:t>
      </w:r>
    </w:p>
    <w:p w14:paraId="06254E89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Requires more energy to remove each successive electron</w:t>
      </w:r>
    </w:p>
    <w:p w14:paraId="06254E8A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8B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First ionization energy: energy required to move 1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宋体" w:hAnsi="Times New Roman" w:cs="Times New Roman"/>
          <w:sz w:val="24"/>
          <w:szCs w:val="24"/>
        </w:rPr>
        <w:t xml:space="preserve"> electron</w:t>
      </w:r>
    </w:p>
    <w:p w14:paraId="06254E8C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- Down a group, less ionization energy</w:t>
      </w:r>
    </w:p>
    <w:p w14:paraId="06254E8D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Zeff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issame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valence electrons further away from nucleus</w:t>
      </w:r>
    </w:p>
    <w:p w14:paraId="06254E8E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- Across period, ionization energy increase (harder to remove electron)</w:t>
      </w:r>
    </w:p>
    <w:p w14:paraId="06254E8F" w14:textId="77777777" w:rsidR="00993C6B" w:rsidRDefault="0073571C">
      <w:pPr>
        <w:pStyle w:val="Body"/>
        <w:spacing w:line="480" w:lineRule="auto"/>
        <w:ind w:left="72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- Zeff increase</w:t>
      </w:r>
    </w:p>
    <w:p w14:paraId="06254E90" w14:textId="77777777" w:rsidR="00993C6B" w:rsidRDefault="0073571C">
      <w:pPr>
        <w:pStyle w:val="Body"/>
        <w:spacing w:line="48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- Exceptions: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discontinueties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254E91" w14:textId="77777777" w:rsidR="00993C6B" w:rsidRDefault="0073571C">
      <w:pPr>
        <w:pStyle w:val="Body"/>
        <w:spacing w:line="480" w:lineRule="auto"/>
        <w:ind w:left="72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- Group 5A to 6A (double occupied orbitals)</w:t>
      </w:r>
    </w:p>
    <w:p w14:paraId="06254E92" w14:textId="77777777" w:rsidR="00993C6B" w:rsidRDefault="0073571C">
      <w:pPr>
        <w:pStyle w:val="Body"/>
        <w:spacing w:line="480" w:lineRule="auto"/>
        <w:ind w:left="72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- Group 2A to 3A (electron taken from s orbital which is more attracted to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nucleus)</w:t>
      </w:r>
    </w:p>
    <w:p w14:paraId="06254E93" w14:textId="77777777" w:rsidR="00993C6B" w:rsidRDefault="00993C6B">
      <w:pPr>
        <w:pStyle w:val="Body"/>
        <w:spacing w:line="480" w:lineRule="auto"/>
        <w:ind w:left="720" w:firstLine="720"/>
        <w:rPr>
          <w:rFonts w:ascii="Times New Roman" w:eastAsia="宋体" w:hAnsi="Times New Roman" w:cs="Times New Roman"/>
          <w:sz w:val="24"/>
          <w:szCs w:val="24"/>
        </w:rPr>
      </w:pPr>
    </w:p>
    <w:p w14:paraId="06254E94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When all valence electrons have been removed (it takes from noble gas core), the ionization energy takes a quantum leap. </w:t>
      </w:r>
    </w:p>
    <w:p w14:paraId="06254E95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96" w14:textId="77777777" w:rsidR="00993C6B" w:rsidRDefault="00993C6B">
      <w:pPr>
        <w:pStyle w:val="Body"/>
        <w:spacing w:line="480" w:lineRule="auto"/>
        <w:ind w:left="2940"/>
        <w:rPr>
          <w:rFonts w:ascii="Times New Roman" w:eastAsia="宋体" w:hAnsi="Times New Roman" w:cs="Times New Roman"/>
          <w:sz w:val="24"/>
          <w:szCs w:val="24"/>
        </w:rPr>
      </w:pPr>
    </w:p>
    <w:p w14:paraId="06254E97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98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99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7.5 Electron Affinity</w:t>
      </w:r>
    </w:p>
    <w:p w14:paraId="06254E9A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9B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Electron affinity:</w:t>
      </w:r>
    </w:p>
    <w:p w14:paraId="06254E9C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Energy change when adding an electron to gaseous atom.</w:t>
      </w:r>
    </w:p>
    <w:p w14:paraId="06254E9D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The more negative of the electron affinity, the greater attraction to the added electron </w:t>
      </w:r>
    </w:p>
    <w:p w14:paraId="06254E9E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Electron affinity are more exothermic across period and down a group (easier to gain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 electron, more negative)</w:t>
      </w:r>
    </w:p>
    <w:p w14:paraId="06254E9F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Exception:</w:t>
      </w:r>
    </w:p>
    <w:p w14:paraId="06254EA0" w14:textId="77777777" w:rsidR="00993C6B" w:rsidRDefault="0073571C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Group 2A: Added electron goes to p orbital, takes more energy going to higher energy level</w:t>
      </w:r>
    </w:p>
    <w:p w14:paraId="06254EA1" w14:textId="77777777" w:rsidR="00993C6B" w:rsidRDefault="0073571C">
      <w:pPr>
        <w:pStyle w:val="Body"/>
        <w:numPr>
          <w:ilvl w:val="0"/>
          <w:numId w:val="2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Group 5A: Has no empty orbital, extra electron goes to occupied electron orbitals, which creates repulsion</w:t>
      </w:r>
    </w:p>
    <w:p w14:paraId="06254EA2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A3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Electronegativity:</w:t>
      </w:r>
    </w:p>
    <w:p w14:paraId="06254EA4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The ability of an atom to attract electrons when the atom is in a compound </w:t>
      </w:r>
    </w:p>
    <w:p w14:paraId="06254EA5" w14:textId="77777777" w:rsidR="00993C6B" w:rsidRDefault="0073571C">
      <w:pPr>
        <w:pStyle w:val="Body"/>
        <w:numPr>
          <w:ilvl w:val="0"/>
          <w:numId w:val="3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Pauling scale: 0.7 - 4.0</w:t>
      </w:r>
    </w:p>
    <w:p w14:paraId="06254EA6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Down a group, decreases </w:t>
      </w:r>
    </w:p>
    <w:p w14:paraId="06254EA7" w14:textId="77777777" w:rsidR="00993C6B" w:rsidRDefault="0073571C">
      <w:pPr>
        <w:pStyle w:val="Body"/>
        <w:numPr>
          <w:ilvl w:val="0"/>
          <w:numId w:val="4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Valence shell are getting less strongly held by the nucleus. Harder for the atom to attract one electron.</w:t>
      </w:r>
    </w:p>
    <w:p w14:paraId="06254EA8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Across period, increases</w:t>
      </w:r>
    </w:p>
    <w:p w14:paraId="06254EA9" w14:textId="77777777" w:rsidR="00993C6B" w:rsidRDefault="0073571C">
      <w:pPr>
        <w:pStyle w:val="Body"/>
        <w:numPr>
          <w:ilvl w:val="0"/>
          <w:numId w:val="5"/>
        </w:num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Attractions from the nucleus is getting greater. Getting easier for atom to attract one electron.</w:t>
      </w:r>
    </w:p>
    <w:p w14:paraId="06254EAA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AB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AC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AD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7.6 Metal, Nonmetals, and Metalloids</w:t>
      </w:r>
    </w:p>
    <w:p w14:paraId="06254EAE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AF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- Across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preiod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, metallic characters decrease</w:t>
      </w:r>
    </w:p>
    <w:p w14:paraId="06254EB0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- Down a group, metallic </w:t>
      </w:r>
      <w:r>
        <w:rPr>
          <w:rFonts w:ascii="Times New Roman" w:eastAsia="宋体" w:hAnsi="Times New Roman" w:cs="Times New Roman"/>
          <w:sz w:val="24"/>
          <w:szCs w:val="24"/>
        </w:rPr>
        <w:t>characters increase</w:t>
      </w:r>
    </w:p>
    <w:p w14:paraId="06254EB1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B2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Metals:</w:t>
      </w:r>
    </w:p>
    <w:p w14:paraId="06254EB3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Elements that are generally shiny, malleable, and ductile </w:t>
      </w:r>
    </w:p>
    <w:p w14:paraId="06254EB4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Good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conducters</w:t>
      </w:r>
      <w:proofErr w:type="spellEnd"/>
    </w:p>
    <w:p w14:paraId="06254EB5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Metals tend to form anions</w:t>
      </w:r>
    </w:p>
    <w:p w14:paraId="06254EB6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Compounds for between metals and nonmetals tend to be ionic </w:t>
      </w:r>
    </w:p>
    <w:p w14:paraId="06254EB7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Metal oxides tend to be basic </w:t>
      </w:r>
    </w:p>
    <w:p w14:paraId="06254EB8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B9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Nonmetals:</w:t>
      </w:r>
    </w:p>
    <w:p w14:paraId="06254EBA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Occupies the upper right side of periodic table</w:t>
      </w:r>
    </w:p>
    <w:p w14:paraId="06254EBB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Generally gases or brittle, dull-looking solids</w:t>
      </w:r>
    </w:p>
    <w:p w14:paraId="06254EBC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Poor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conducter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254EBD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Subtances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containing only nonmetals are molecular compounds </w:t>
      </w:r>
    </w:p>
    <w:p w14:paraId="06254EBE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- Most nonmetal oxides are acidic</w:t>
      </w:r>
    </w:p>
    <w:p w14:paraId="06254EBF" w14:textId="77777777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254EC0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Metalloids:</w:t>
      </w:r>
    </w:p>
    <w:p w14:paraId="06254EC1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Elememts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with physical &amp; chemical properties of both metal and nonmetal</w:t>
      </w:r>
    </w:p>
    <w:p w14:paraId="06254EC2" w14:textId="77777777" w:rsidR="00993C6B" w:rsidRDefault="0073571C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- fairly poor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conducter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6254EC5" w14:textId="18BB71A9" w:rsidR="00993C6B" w:rsidRDefault="00993C6B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3D296D" w14:textId="77777777" w:rsidR="000A7B1F" w:rsidRDefault="000A7B1F" w:rsidP="000A7B1F">
      <w:pPr>
        <w:pStyle w:val="Body"/>
      </w:pPr>
      <w:r>
        <w:t>Chapter 8: Basic Concepts of Chemical Bonding</w:t>
      </w:r>
    </w:p>
    <w:p w14:paraId="086AEB01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 xml:space="preserve">Coulomb’s law: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E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el</m:t>
            </m:r>
          </m:sub>
        </m:sSub>
        <m:r>
          <w:rPr>
            <w:rFonts w:ascii="Cambria Math" w:hAnsi="Cambria Math"/>
            <w:sz w:val="25"/>
            <w:szCs w:val="25"/>
          </w:rPr>
          <m:t>=k</m:t>
        </m:r>
        <m:f>
          <m:fPr>
            <m:ctrlPr>
              <w:rPr>
                <w:rFonts w:ascii="Cambria Math" w:hAnsi="Cambria Math"/>
                <w:i/>
                <w:sz w:val="25"/>
                <w:szCs w:val="2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5"/>
                    <w:szCs w:val="25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5"/>
                    <w:szCs w:val="25"/>
                  </w:rPr>
                  <m:t>2</m:t>
                </m:r>
              </m:sup>
            </m:sSup>
          </m:den>
        </m:f>
      </m:oMath>
    </w:p>
    <w:p w14:paraId="66DE2D92" w14:textId="2794BC5C" w:rsidR="0073571C" w:rsidRPr="0073571C" w:rsidRDefault="000A7B1F" w:rsidP="0073571C">
      <w:pPr>
        <w:pStyle w:val="Body"/>
        <w:rPr>
          <w:rFonts w:cs="Arial Unicode MS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t>formation of chemical bond —</w:t>
      </w:r>
      <w:r w:rsidR="0073571C" w:rsidRPr="0073571C">
        <w:rPr>
          <w:rFonts w:cs="Arial Unicode MS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3571C" w:rsidRPr="0073571C">
        <w:rPr>
          <w:rFonts w:cs="Arial Unicode MS"/>
          <w:bdr w:val="nil"/>
          <w14:textOutline w14:w="0" w14:cap="flat" w14:cmpd="sng" w14:algn="ctr">
            <w14:noFill/>
            <w14:prstDash w14:val="solid"/>
            <w14:bevel/>
          </w14:textOutline>
        </w:rPr>
        <w:t>Chapter 8: Basic Concepts of Chemical Bonding</w:t>
      </w:r>
    </w:p>
    <w:p w14:paraId="7487318C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Coulomb’s law: </w:t>
      </w:r>
      <m:oMath>
        <m:sSub>
          <m:sSubPr>
            <m:ctrlPr>
              <w:rPr>
                <w:rFonts w:ascii="Cambria Math" w:hAnsi="Cambria Math" w:cs="Arial Unicode MS"/>
                <w:color w:val="000000"/>
                <w:bdr w:val="nil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Arial Unicode MS"/>
                <w:color w:val="000000"/>
                <w:sz w:val="25"/>
                <w:szCs w:val="25"/>
                <w:bdr w:val="nil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E</m:t>
            </m:r>
          </m:e>
          <m:sub>
            <m:r>
              <w:rPr>
                <w:rFonts w:ascii="Cambria Math" w:hAnsi="Cambria Math" w:cs="Arial Unicode MS"/>
                <w:color w:val="000000"/>
                <w:sz w:val="25"/>
                <w:szCs w:val="25"/>
                <w:bdr w:val="nil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m:t>el</m:t>
            </m:r>
          </m:sub>
        </m:sSub>
        <m:r>
          <w:rPr>
            <w:rFonts w:ascii="Cambria Math" w:hAnsi="Cambria Math" w:cs="Arial Unicode MS"/>
            <w:color w:val="000000"/>
            <w:sz w:val="25"/>
            <w:szCs w:val="25"/>
            <w:bdr w:val="nil"/>
            <w:lang w:eastAsia="zh-CN"/>
            <w14:textOutline w14:w="0" w14:cap="flat" w14:cmpd="sng" w14:algn="ctr">
              <w14:noFill/>
              <w14:prstDash w14:val="solid"/>
              <w14:bevel/>
            </w14:textOutline>
          </w:rPr>
          <m:t>=k</m:t>
        </m:r>
        <m:f>
          <m:fPr>
            <m:ctrlPr>
              <w:rPr>
                <w:rFonts w:ascii="Cambria Math" w:hAnsi="Cambria Math" w:cs="Arial Unicode MS"/>
                <w:i/>
                <w:color w:val="000000"/>
                <w:sz w:val="25"/>
                <w:szCs w:val="25"/>
                <w:bdr w:val="nil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m:ctrlPr>
          </m:fPr>
          <m:num>
            <m:sSub>
              <m:sSubPr>
                <m:ctrlPr>
                  <w:rPr>
                    <w:rFonts w:ascii="Cambria Math" w:hAnsi="Cambria Math" w:cs="Arial Unicode MS"/>
                    <w:color w:val="000000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</m:ctrlPr>
              </m:sSubPr>
              <m:e>
                <m:r>
                  <w:rPr>
                    <w:rFonts w:ascii="Cambria Math" w:hAnsi="Cambria Math" w:cs="Arial Unicode MS"/>
                    <w:color w:val="000000"/>
                    <w:sz w:val="25"/>
                    <w:szCs w:val="25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Q</m:t>
                </m:r>
              </m:e>
              <m:sub>
                <m:r>
                  <w:rPr>
                    <w:rFonts w:ascii="Cambria Math" w:hAnsi="Cambria Math" w:cs="Arial Unicode MS"/>
                    <w:color w:val="000000"/>
                    <w:sz w:val="25"/>
                    <w:szCs w:val="25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 Unicode MS"/>
                    <w:color w:val="000000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</m:ctrlPr>
              </m:sSubPr>
              <m:e>
                <m:r>
                  <w:rPr>
                    <w:rFonts w:ascii="Cambria Math" w:hAnsi="Cambria Math" w:cs="Arial Unicode MS"/>
                    <w:color w:val="000000"/>
                    <w:sz w:val="25"/>
                    <w:szCs w:val="25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Q</m:t>
                </m:r>
              </m:e>
              <m:sub>
                <m:r>
                  <w:rPr>
                    <w:rFonts w:ascii="Cambria Math" w:hAnsi="Cambria Math" w:cs="Arial Unicode MS"/>
                    <w:color w:val="000000"/>
                    <w:sz w:val="25"/>
                    <w:szCs w:val="25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Arial Unicode MS"/>
                    <w:color w:val="000000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</m:ctrlPr>
              </m:sSupPr>
              <m:e>
                <m:r>
                  <w:rPr>
                    <w:rFonts w:ascii="Cambria Math" w:hAnsi="Cambria Math" w:cs="Arial Unicode MS"/>
                    <w:color w:val="000000"/>
                    <w:sz w:val="25"/>
                    <w:szCs w:val="25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d</m:t>
                </m:r>
              </m:e>
              <m:sup>
                <m:r>
                  <w:rPr>
                    <w:rFonts w:ascii="Cambria Math" w:hAnsi="Cambria Math" w:cs="Arial Unicode MS"/>
                    <w:color w:val="000000"/>
                    <w:sz w:val="25"/>
                    <w:szCs w:val="25"/>
                    <w:bdr w:val="nil"/>
                    <w:lang w:eastAsia="zh-CN"/>
                    <w14:textOutline w14:w="0" w14:cap="flat" w14:cmpd="sng" w14:algn="ctr">
                      <w14:noFill/>
                      <w14:prstDash w14:val="solid"/>
                      <w14:bevel/>
                    </w14:textOutline>
                  </w:rPr>
                  <m:t>2</m:t>
                </m:r>
              </m:sup>
            </m:sSup>
          </m:den>
        </m:f>
      </m:oMath>
    </w:p>
    <w:p w14:paraId="0184BD34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formation of chemical bond —&gt; more stable —&gt; less potential energy</w:t>
      </w:r>
    </w:p>
    <w:p w14:paraId="5C5B1263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chemical bond: the electrostatic attraction force that holds two atoms together</w:t>
      </w:r>
      <w:r w:rsidRPr="0073571C">
        <w:rPr>
          <w:rFonts w:cs="Arial Unicode MS"/>
          <w:noProof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6432" behindDoc="0" locked="0" layoutInCell="1" allowOverlap="1" wp14:anchorId="5F42A7B1" wp14:editId="1B281974">
            <wp:simplePos x="0" y="0"/>
            <wp:positionH relativeFrom="margin">
              <wp:posOffset>3710456</wp:posOffset>
            </wp:positionH>
            <wp:positionV relativeFrom="line">
              <wp:posOffset>522372</wp:posOffset>
            </wp:positionV>
            <wp:extent cx="2226794" cy="2226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942849401" name="officeArt object" descr="Lewis-Struc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ewis-Structure.jpg" descr="Lewis-Structure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794" cy="2226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DD3709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</w:p>
    <w:p w14:paraId="3D9515C2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8.1 Lewis Symbols and the Octet Rule</w:t>
      </w:r>
    </w:p>
    <w:p w14:paraId="1B7083E1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octet rule: all electrons tend to have 8 electrons in the outermost shell (stable octet)</w:t>
      </w:r>
    </w:p>
    <w:p w14:paraId="467FFE65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attained through losing, gaining, or sharing electrons</w:t>
      </w:r>
    </w:p>
    <w:p w14:paraId="374F3040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lewis</w:t>
      </w:r>
      <w:proofErr w:type="spellEnd"/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 xml:space="preserve"> symbol: an element’s chemical symbol with a dot for each valence electron</w:t>
      </w:r>
    </w:p>
    <w:p w14:paraId="73FACCA1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8.2 Ionic Bonds</w:t>
      </w:r>
    </w:p>
    <w:p w14:paraId="77894455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ionic bond: attraction between cations and anions</w:t>
      </w:r>
    </w:p>
    <w:p w14:paraId="680F56DB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usually metals and nonmetals, i.e. NaCl (</w:t>
      </w:r>
      <w:proofErr w:type="spellStart"/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Na+Cl</w:t>
      </w:r>
      <w:proofErr w:type="spellEnd"/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-)</w:t>
      </w:r>
    </w:p>
    <w:p w14:paraId="2F83F1A4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elements with low electronegativity (metals, H) tend to form cations</w:t>
      </w:r>
    </w:p>
    <w:p w14:paraId="73D9F17F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lose electrons because number valence electrons is a lot less than 8</w:t>
      </w:r>
    </w:p>
    <w:p w14:paraId="0B129BF0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usually exothermic</w:t>
      </w:r>
    </w:p>
    <w:p w14:paraId="63F4F0F8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elements with high electronegativity (nonmetals) tend to form anions</w:t>
      </w:r>
    </w:p>
    <w:p w14:paraId="46CD4F6E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charge of monoatomic anion = |8 - number of electrons|</w:t>
      </w:r>
    </w:p>
    <w:p w14:paraId="4D6D1A08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exothermic process</w:t>
      </w:r>
    </w:p>
    <w:p w14:paraId="6D8C9466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representative elements (Mg, Al, etc.): charge of ion = number of valence electrons (group number)</w:t>
      </w:r>
    </w:p>
    <w:p w14:paraId="4525F1AF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transition elements (Cr, Fe): various elements with different charges, reference the packet</w:t>
      </w:r>
    </w:p>
    <w:p w14:paraId="5BB59E50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1B to 4A periods 4-6: pseudo-noble gas notation, relatively stable</w:t>
      </w:r>
    </w:p>
    <w:p w14:paraId="618757CD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structure of ionic compounds</w:t>
      </w:r>
    </w:p>
    <w:p w14:paraId="20402D2A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do not exist as discrete units but as collections of charged ions in patterns</w:t>
      </w:r>
    </w:p>
    <w:p w14:paraId="591167FE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formula unit: lowest whole number ration of ions in an ionic compound (chemical formula)</w:t>
      </w:r>
    </w:p>
    <w:p w14:paraId="0BCF5CE9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properties of ionic compounds</w:t>
      </w:r>
    </w:p>
    <w:p w14:paraId="2D2BFDC2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high melting point and hardness, brittle</w:t>
      </w:r>
    </w:p>
    <w:p w14:paraId="0BB2CE47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do not conduct electricity as solids, but conduct well when molten or aqueous</w:t>
      </w:r>
    </w:p>
    <w:p w14:paraId="65A02241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lattice energy: energy required to completely separate one mole of a solid ionic compound into its gaseous ions</w:t>
      </w:r>
    </w:p>
    <w:p w14:paraId="4B4EF4C0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used to measure strength of ionic bond</w:t>
      </w:r>
    </w:p>
    <w:p w14:paraId="2F103B20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governed by ionic charges and radius</w:t>
      </w:r>
      <w:r w:rsidRPr="0073571C">
        <w:rPr>
          <w:rFonts w:cs="Arial Unicode MS"/>
          <w:noProof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7456" behindDoc="0" locked="0" layoutInCell="1" allowOverlap="1" wp14:anchorId="6C653D0C" wp14:editId="02E3E143">
            <wp:simplePos x="0" y="0"/>
            <wp:positionH relativeFrom="margin">
              <wp:posOffset>50799</wp:posOffset>
            </wp:positionH>
            <wp:positionV relativeFrom="line">
              <wp:posOffset>401662</wp:posOffset>
            </wp:positionV>
            <wp:extent cx="5829300" cy="2806700"/>
            <wp:effectExtent l="0" t="0" r="0" b="0"/>
            <wp:wrapTopAndBottom distT="152400" distB="152400"/>
            <wp:docPr id="703932369" name="officeArt object" descr="unname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named.jpeg" descr="unnamed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CB8F825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8.3 Covalent Bonding</w:t>
      </w:r>
    </w:p>
    <w:p w14:paraId="7F145BC9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covalent bond: the electrostatic attraction force between sharing electrons and nucleus</w:t>
      </w:r>
    </w:p>
    <w:p w14:paraId="4B121EA3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formed by sharing of valence electrons</w:t>
      </w:r>
    </w:p>
    <w:p w14:paraId="112E2D5B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occurs between atoms that have high electronegativity</w:t>
      </w:r>
    </w:p>
    <w:p w14:paraId="338EC33E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if electronegativity difference &lt; 2.0, covalent bonding occurs</w:t>
      </w:r>
    </w:p>
    <w:p w14:paraId="06E4EA6F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single covalent bonds: H2, N2, O2, etc. diatomic elements</w:t>
      </w:r>
    </w:p>
    <w:p w14:paraId="17024DB0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triple &gt; double &gt; single bonds for strength</w:t>
      </w:r>
    </w:p>
    <w:p w14:paraId="4E6B169A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single &gt; double &gt; triple bonds for length</w:t>
      </w:r>
    </w:p>
    <w:p w14:paraId="7D4EFE97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bond disassociation energy: energy needed to break 1 mole of bonds</w:t>
      </w:r>
    </w:p>
    <w:p w14:paraId="5A89CF3B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correlated with strength</w:t>
      </w:r>
    </w:p>
    <w:p w14:paraId="73DFE552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H2(g) —&gt; 2H(g)</w:t>
      </w:r>
    </w:p>
    <w:p w14:paraId="6F6D614A" w14:textId="77777777" w:rsidR="0073571C" w:rsidRPr="0073571C" w:rsidRDefault="0073571C" w:rsidP="0073571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breaking of bond is an endothermic process</w:t>
      </w:r>
    </w:p>
    <w:p w14:paraId="523A404E" w14:textId="77777777" w:rsidR="0073571C" w:rsidRPr="0073571C" w:rsidRDefault="0073571C" w:rsidP="00735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atoms form longer bonds going down a group</w:t>
      </w:r>
    </w:p>
    <w:p w14:paraId="1FC1C3E2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73571C" w:rsidRPr="0073571C" w14:paraId="6D3BCD70" w14:textId="77777777" w:rsidTr="008D2B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47CE1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7C463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Sigma Bonds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60573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Pi Bonds</w:t>
            </w:r>
          </w:p>
        </w:tc>
      </w:tr>
      <w:tr w:rsidR="0073571C" w:rsidRPr="0073571C" w14:paraId="04374F7E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3887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orientation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49D1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linear and head-on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A84C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parallel and sideways</w:t>
            </w:r>
          </w:p>
        </w:tc>
      </w:tr>
      <w:tr w:rsidR="0073571C" w:rsidRPr="0073571C" w14:paraId="79C2523B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4D31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components (orbitals)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B4863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s-s, s-p, p-p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D3E8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p-p</w:t>
            </w:r>
          </w:p>
        </w:tc>
      </w:tr>
      <w:tr w:rsidR="0073571C" w:rsidRPr="0073571C" w14:paraId="4357D979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9914E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dense electron area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1827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along internuclear axis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38090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above and below internuclear axis</w:t>
            </w:r>
          </w:p>
        </w:tc>
      </w:tr>
      <w:tr w:rsidR="0073571C" w:rsidRPr="0073571C" w14:paraId="56E73BB2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EC389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rotation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2AAC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1E265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</w:t>
            </w:r>
          </w:p>
        </w:tc>
      </w:tr>
      <w:tr w:rsidR="0073571C" w:rsidRPr="0073571C" w14:paraId="39B2929F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9F0EE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strength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CCF6C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stronger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E50E7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weaker</w:t>
            </w:r>
          </w:p>
        </w:tc>
      </w:tr>
      <w:tr w:rsidR="0073571C" w:rsidRPr="0073571C" w14:paraId="5A0E2EA9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BC66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bonds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B5856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in single, double, and triple bonds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8DFCA" w14:textId="77777777" w:rsidR="0073571C" w:rsidRPr="0073571C" w:rsidRDefault="0073571C" w:rsidP="00735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357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eastAsia="zh-C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 in single bonds, 1 in double, 2 in triple</w:t>
            </w:r>
          </w:p>
        </w:tc>
      </w:tr>
    </w:tbl>
    <w:p w14:paraId="6D20E0E9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</w:p>
    <w:p w14:paraId="21612A7B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</w:p>
    <w:p w14:paraId="27A77073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examples:</w:t>
      </w:r>
      <w:r w:rsidRPr="0073571C">
        <w:rPr>
          <w:rFonts w:cs="Arial Unicode MS"/>
          <w:noProof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68480" behindDoc="0" locked="0" layoutInCell="1" allowOverlap="1" wp14:anchorId="7B456A07" wp14:editId="31019292">
            <wp:simplePos x="0" y="0"/>
            <wp:positionH relativeFrom="margin">
              <wp:posOffset>-6350</wp:posOffset>
            </wp:positionH>
            <wp:positionV relativeFrom="line">
              <wp:posOffset>484169</wp:posOffset>
            </wp:positionV>
            <wp:extent cx="5943600" cy="3666146"/>
            <wp:effectExtent l="0" t="0" r="0" b="0"/>
            <wp:wrapTopAndBottom distT="152400" distB="152400"/>
            <wp:docPr id="1858582174" name="officeArt object" descr="IMG_645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6458.jpeg" descr="IMG_6458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91B55B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</w:p>
    <w:p w14:paraId="39E74C22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electron dot structure: only dots</w:t>
      </w:r>
    </w:p>
    <w:p w14:paraId="796099A7" w14:textId="77777777" w:rsidR="0073571C" w:rsidRPr="0073571C" w:rsidRDefault="0073571C" w:rsidP="0073571C">
      <w:p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73571C">
        <w:rPr>
          <w:rFonts w:cs="Arial Unicode MS"/>
          <w:color w:val="000000"/>
          <w:bdr w:val="nil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structural formula: bonds as lines and dots</w:t>
      </w:r>
    </w:p>
    <w:p w14:paraId="08C645E1" w14:textId="09F38BB0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&gt; more stable —&gt; less potential energy</w:t>
      </w:r>
    </w:p>
    <w:p w14:paraId="39738B46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chemical bond: the electrostatic attraction force that holds two atoms together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2045BE49" wp14:editId="2EA1BC94">
            <wp:simplePos x="0" y="0"/>
            <wp:positionH relativeFrom="margin">
              <wp:posOffset>3710456</wp:posOffset>
            </wp:positionH>
            <wp:positionV relativeFrom="line">
              <wp:posOffset>522372</wp:posOffset>
            </wp:positionV>
            <wp:extent cx="2226794" cy="2226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Lewis-Struc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ewis-Structure.jpg" descr="Lewis-Structure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6794" cy="2226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0B2E1A9" w14:textId="77777777" w:rsidR="000A7B1F" w:rsidRDefault="000A7B1F" w:rsidP="000A7B1F">
      <w:pPr>
        <w:pStyle w:val="Body"/>
      </w:pPr>
    </w:p>
    <w:p w14:paraId="0987D316" w14:textId="77777777" w:rsidR="000A7B1F" w:rsidRDefault="000A7B1F" w:rsidP="000A7B1F">
      <w:pPr>
        <w:pStyle w:val="Body"/>
      </w:pPr>
      <w:r>
        <w:t>8.1 Lewis Symbols and the Octet Rule</w:t>
      </w:r>
    </w:p>
    <w:p w14:paraId="3AB9996E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octet rule: all electrons tend to have 8 electrons in the outermost shell (stable octet)</w:t>
      </w:r>
    </w:p>
    <w:p w14:paraId="7D3FF1C4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attained through losing, gaining, or sharing electrons</w:t>
      </w:r>
    </w:p>
    <w:p w14:paraId="192AE01F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proofErr w:type="spellStart"/>
      <w:r>
        <w:t>lewis</w:t>
      </w:r>
      <w:proofErr w:type="spellEnd"/>
      <w:r>
        <w:t xml:space="preserve"> symbol: an element’s chemical symbol with a dot for each valence electron</w:t>
      </w:r>
    </w:p>
    <w:p w14:paraId="1CE4B8BD" w14:textId="77777777" w:rsidR="000A7B1F" w:rsidRDefault="000A7B1F" w:rsidP="000A7B1F">
      <w:pPr>
        <w:pStyle w:val="Body"/>
      </w:pPr>
      <w:r>
        <w:t>8.2 Ionic Bonds</w:t>
      </w:r>
    </w:p>
    <w:p w14:paraId="0D8FFC56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ionic bond: attraction between cations and anions</w:t>
      </w:r>
    </w:p>
    <w:p w14:paraId="67D02244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usually metals and nonmetals, i.e. NaCl (</w:t>
      </w:r>
      <w:proofErr w:type="spellStart"/>
      <w:r>
        <w:t>Na+Cl</w:t>
      </w:r>
      <w:proofErr w:type="spellEnd"/>
      <w:r>
        <w:t>-)</w:t>
      </w:r>
    </w:p>
    <w:p w14:paraId="36BF7F4B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elements with low electronegativity (metals, H) tend to form cations</w:t>
      </w:r>
    </w:p>
    <w:p w14:paraId="6B832BFF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lose electrons because number valence electrons is a lot less than 8</w:t>
      </w:r>
    </w:p>
    <w:p w14:paraId="223BC7FB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usually exothermic</w:t>
      </w:r>
    </w:p>
    <w:p w14:paraId="6A73A2DA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elements with high electronegativity (nonmetals) tend to form anions</w:t>
      </w:r>
    </w:p>
    <w:p w14:paraId="713B67A6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charge of monoatomic anion = |8 - number of electrons|</w:t>
      </w:r>
    </w:p>
    <w:p w14:paraId="0F043F12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exothermic process</w:t>
      </w:r>
    </w:p>
    <w:p w14:paraId="30F46171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representative elements (Mg, Al, etc.): charge of ion = number of valence electrons (group number)</w:t>
      </w:r>
    </w:p>
    <w:p w14:paraId="2A4B05F7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transition elements (Cr, Fe): various elements with different charges, reference the packet</w:t>
      </w:r>
    </w:p>
    <w:p w14:paraId="1B30AD60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1B to 4A periods 4-6: pseudo-noble gas notation, relatively stable</w:t>
      </w:r>
    </w:p>
    <w:p w14:paraId="3577EAC8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structure of ionic compounds</w:t>
      </w:r>
    </w:p>
    <w:p w14:paraId="5476C941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do not exist as discrete units but as collections of charged ions in patterns</w:t>
      </w:r>
    </w:p>
    <w:p w14:paraId="6C13B134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formula unit: lowest whole number ration of ions in an ionic compound (chemical formula)</w:t>
      </w:r>
    </w:p>
    <w:p w14:paraId="4A821BFD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properties of ionic compounds</w:t>
      </w:r>
    </w:p>
    <w:p w14:paraId="7C789BBD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high melting point and hardness, brittle</w:t>
      </w:r>
    </w:p>
    <w:p w14:paraId="39FB91E7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do not conduct electricity as solids, but conduct well when molten or aqueous</w:t>
      </w:r>
    </w:p>
    <w:p w14:paraId="031928A8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lattice energy: energy required to completely separate one mole of a solid ionic compound into its gaseous ions</w:t>
      </w:r>
    </w:p>
    <w:p w14:paraId="7739716C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used to measure strength of ionic bond</w:t>
      </w:r>
    </w:p>
    <w:p w14:paraId="71C12582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governed by ionic charges and radius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0DCC4D3D" wp14:editId="71BBDDF8">
            <wp:simplePos x="0" y="0"/>
            <wp:positionH relativeFrom="margin">
              <wp:posOffset>50799</wp:posOffset>
            </wp:positionH>
            <wp:positionV relativeFrom="line">
              <wp:posOffset>401662</wp:posOffset>
            </wp:positionV>
            <wp:extent cx="5829300" cy="2806700"/>
            <wp:effectExtent l="0" t="0" r="0" b="0"/>
            <wp:wrapTopAndBottom distT="152400" distB="152400"/>
            <wp:docPr id="1073741826" name="officeArt object" descr="unnamed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named.jpeg" descr="unnamed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9C8E4F0" w14:textId="77777777" w:rsidR="000A7B1F" w:rsidRDefault="000A7B1F" w:rsidP="000A7B1F">
      <w:pPr>
        <w:pStyle w:val="Body"/>
      </w:pPr>
      <w:r>
        <w:t>8.3 Covalent Bonding</w:t>
      </w:r>
    </w:p>
    <w:p w14:paraId="4B0396A4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covalent bond: the electrostatic attraction force between sharing electrons and nucleus</w:t>
      </w:r>
    </w:p>
    <w:p w14:paraId="63B6E80B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formed by sharing of valence electrons</w:t>
      </w:r>
    </w:p>
    <w:p w14:paraId="7AF0DF5C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occurs between atoms that have high electronegativity</w:t>
      </w:r>
    </w:p>
    <w:p w14:paraId="05B5C5CF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if electronegativity difference &lt; 2.0, covalent bonding occurs</w:t>
      </w:r>
    </w:p>
    <w:p w14:paraId="29725391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single covalent bonds: H2, N2, O2, etc. diatomic elements</w:t>
      </w:r>
    </w:p>
    <w:p w14:paraId="21FCB273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triple &gt; double &gt; single bonds for strength</w:t>
      </w:r>
    </w:p>
    <w:p w14:paraId="7656B845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single &gt; double &gt; triple bonds for length</w:t>
      </w:r>
    </w:p>
    <w:p w14:paraId="77E82EBE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bond disassociation energy: energy needed to break 1 mole of bonds</w:t>
      </w:r>
    </w:p>
    <w:p w14:paraId="21561CA5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correlated with strength</w:t>
      </w:r>
    </w:p>
    <w:p w14:paraId="7F95B5E3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H2(g) —&gt; 2H(g)</w:t>
      </w:r>
    </w:p>
    <w:p w14:paraId="2D6FBE67" w14:textId="77777777" w:rsidR="000A7B1F" w:rsidRDefault="000A7B1F" w:rsidP="000A7B1F">
      <w:pPr>
        <w:pStyle w:val="Body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breaking of bond is an endothermic process</w:t>
      </w:r>
    </w:p>
    <w:p w14:paraId="32E82F7D" w14:textId="77777777" w:rsidR="000A7B1F" w:rsidRDefault="000A7B1F" w:rsidP="000A7B1F">
      <w:pPr>
        <w:pStyle w:val="Body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80" w:lineRule="auto"/>
      </w:pPr>
      <w:r>
        <w:t>atoms form longer bonds going down a group</w:t>
      </w:r>
    </w:p>
    <w:p w14:paraId="10729F7C" w14:textId="77777777" w:rsidR="000A7B1F" w:rsidRDefault="000A7B1F" w:rsidP="000A7B1F">
      <w:pPr>
        <w:pStyle w:val="Body"/>
      </w:pPr>
    </w:p>
    <w:tbl>
      <w:tblPr>
        <w:tblStyle w:val="TableNormal"/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0A7B1F" w14:paraId="501EFCC6" w14:textId="77777777" w:rsidTr="008D2B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200E" w14:textId="77777777" w:rsidR="000A7B1F" w:rsidRDefault="000A7B1F" w:rsidP="008D2B55"/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381EB" w14:textId="77777777" w:rsidR="000A7B1F" w:rsidRDefault="000A7B1F" w:rsidP="008D2B55">
            <w:pPr>
              <w:pStyle w:val="TableStyle1"/>
              <w:jc w:val="center"/>
            </w:pPr>
            <w:r>
              <w:t>Sigma Bonds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BDD20" w14:textId="77777777" w:rsidR="000A7B1F" w:rsidRDefault="000A7B1F" w:rsidP="008D2B55">
            <w:pPr>
              <w:pStyle w:val="TableStyle1"/>
              <w:jc w:val="center"/>
            </w:pPr>
            <w:r>
              <w:t>Pi Bonds</w:t>
            </w:r>
          </w:p>
        </w:tc>
      </w:tr>
      <w:tr w:rsidR="000A7B1F" w14:paraId="1FE78E55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42433" w14:textId="77777777" w:rsidR="000A7B1F" w:rsidRDefault="000A7B1F" w:rsidP="008D2B55">
            <w:pPr>
              <w:pStyle w:val="TableStyle1"/>
            </w:pPr>
            <w:r>
              <w:t>orientation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A46D" w14:textId="77777777" w:rsidR="000A7B1F" w:rsidRDefault="000A7B1F" w:rsidP="008D2B55">
            <w:pPr>
              <w:pStyle w:val="TableStyle2"/>
              <w:jc w:val="center"/>
            </w:pPr>
            <w:r>
              <w:t>linear and head-on</w:t>
            </w:r>
          </w:p>
        </w:tc>
        <w:tc>
          <w:tcPr>
            <w:tcW w:w="31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2A8" w14:textId="77777777" w:rsidR="000A7B1F" w:rsidRDefault="000A7B1F" w:rsidP="008D2B55">
            <w:pPr>
              <w:pStyle w:val="TableStyle2"/>
              <w:jc w:val="center"/>
            </w:pPr>
            <w:r>
              <w:t>parallel and sideways</w:t>
            </w:r>
          </w:p>
        </w:tc>
      </w:tr>
      <w:tr w:rsidR="000A7B1F" w14:paraId="686198A6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C084E" w14:textId="77777777" w:rsidR="000A7B1F" w:rsidRDefault="000A7B1F" w:rsidP="008D2B55">
            <w:pPr>
              <w:pStyle w:val="TableStyle1"/>
            </w:pPr>
            <w:r>
              <w:t>components (orbitals)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5F5F" w14:textId="77777777" w:rsidR="000A7B1F" w:rsidRDefault="000A7B1F" w:rsidP="008D2B55">
            <w:pPr>
              <w:pStyle w:val="TableStyle2"/>
              <w:jc w:val="center"/>
            </w:pPr>
            <w:r>
              <w:t>s-s, s-p, p-p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27A7B" w14:textId="77777777" w:rsidR="000A7B1F" w:rsidRDefault="000A7B1F" w:rsidP="008D2B55">
            <w:pPr>
              <w:pStyle w:val="TableStyle2"/>
              <w:jc w:val="center"/>
            </w:pPr>
            <w:r>
              <w:t>p-p</w:t>
            </w:r>
          </w:p>
        </w:tc>
      </w:tr>
      <w:tr w:rsidR="000A7B1F" w14:paraId="1B3A6EE0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9FB97" w14:textId="77777777" w:rsidR="000A7B1F" w:rsidRDefault="000A7B1F" w:rsidP="008D2B55">
            <w:pPr>
              <w:pStyle w:val="TableStyle1"/>
            </w:pPr>
            <w:r>
              <w:t>dense electron area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576D1" w14:textId="77777777" w:rsidR="000A7B1F" w:rsidRDefault="000A7B1F" w:rsidP="008D2B55">
            <w:pPr>
              <w:pStyle w:val="TableStyle2"/>
              <w:jc w:val="center"/>
            </w:pPr>
            <w:r>
              <w:t>along internuclear axis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C1B26" w14:textId="77777777" w:rsidR="000A7B1F" w:rsidRDefault="000A7B1F" w:rsidP="008D2B55">
            <w:pPr>
              <w:pStyle w:val="TableStyle2"/>
              <w:jc w:val="center"/>
            </w:pPr>
            <w:r>
              <w:t>above and below internuclear axis</w:t>
            </w:r>
          </w:p>
        </w:tc>
      </w:tr>
      <w:tr w:rsidR="000A7B1F" w14:paraId="7580284F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5AC6" w14:textId="77777777" w:rsidR="000A7B1F" w:rsidRDefault="000A7B1F" w:rsidP="008D2B55">
            <w:pPr>
              <w:pStyle w:val="TableStyle1"/>
            </w:pPr>
            <w:r>
              <w:t>rotation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7C6" w14:textId="77777777" w:rsidR="000A7B1F" w:rsidRDefault="000A7B1F" w:rsidP="008D2B55">
            <w:pPr>
              <w:pStyle w:val="TableStyle2"/>
              <w:jc w:val="center"/>
            </w:pPr>
            <w:r>
              <w:t>yes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E976" w14:textId="77777777" w:rsidR="000A7B1F" w:rsidRDefault="000A7B1F" w:rsidP="008D2B55">
            <w:pPr>
              <w:pStyle w:val="TableStyle2"/>
              <w:jc w:val="center"/>
            </w:pPr>
            <w:r>
              <w:t>no</w:t>
            </w:r>
          </w:p>
        </w:tc>
      </w:tr>
      <w:tr w:rsidR="000A7B1F" w14:paraId="28CDB3AF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753BD" w14:textId="77777777" w:rsidR="000A7B1F" w:rsidRDefault="000A7B1F" w:rsidP="008D2B55">
            <w:pPr>
              <w:pStyle w:val="TableStyle1"/>
            </w:pPr>
            <w:r>
              <w:t>strength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44902" w14:textId="77777777" w:rsidR="000A7B1F" w:rsidRDefault="000A7B1F" w:rsidP="008D2B55">
            <w:pPr>
              <w:pStyle w:val="TableStyle2"/>
              <w:jc w:val="center"/>
            </w:pPr>
            <w:r>
              <w:t>stronger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B948" w14:textId="77777777" w:rsidR="000A7B1F" w:rsidRDefault="000A7B1F" w:rsidP="008D2B55">
            <w:pPr>
              <w:pStyle w:val="TableStyle2"/>
              <w:jc w:val="center"/>
            </w:pPr>
            <w:r>
              <w:t>weaker</w:t>
            </w:r>
          </w:p>
        </w:tc>
      </w:tr>
      <w:tr w:rsidR="000A7B1F" w14:paraId="1A006501" w14:textId="77777777" w:rsidTr="008D2B5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00B6" w14:textId="77777777" w:rsidR="000A7B1F" w:rsidRDefault="000A7B1F" w:rsidP="008D2B55">
            <w:pPr>
              <w:pStyle w:val="TableStyle1"/>
            </w:pPr>
            <w:r>
              <w:t>bonds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F40ED" w14:textId="77777777" w:rsidR="000A7B1F" w:rsidRDefault="000A7B1F" w:rsidP="008D2B55">
            <w:pPr>
              <w:pStyle w:val="TableStyle2"/>
              <w:jc w:val="center"/>
            </w:pPr>
            <w:r>
              <w:t>1 in single, double, and triple bonds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A92D9" w14:textId="77777777" w:rsidR="000A7B1F" w:rsidRDefault="000A7B1F" w:rsidP="008D2B55">
            <w:pPr>
              <w:pStyle w:val="TableStyle2"/>
              <w:jc w:val="center"/>
            </w:pPr>
            <w:r>
              <w:t>0 in single bonds, 1 in double, 2 in triple</w:t>
            </w:r>
          </w:p>
        </w:tc>
      </w:tr>
    </w:tbl>
    <w:p w14:paraId="1C2F867F" w14:textId="77777777" w:rsidR="000A7B1F" w:rsidRDefault="000A7B1F" w:rsidP="000A7B1F">
      <w:pPr>
        <w:pStyle w:val="Body"/>
      </w:pPr>
    </w:p>
    <w:p w14:paraId="66477347" w14:textId="77777777" w:rsidR="000A7B1F" w:rsidRDefault="000A7B1F" w:rsidP="000A7B1F">
      <w:pPr>
        <w:pStyle w:val="Body"/>
      </w:pPr>
    </w:p>
    <w:p w14:paraId="5E1E4D06" w14:textId="77777777" w:rsidR="000A7B1F" w:rsidRDefault="000A7B1F" w:rsidP="000A7B1F">
      <w:pPr>
        <w:pStyle w:val="Body"/>
      </w:pPr>
      <w:r>
        <w:t>examples:</w:t>
      </w: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4F3F77DE" wp14:editId="50E65464">
            <wp:simplePos x="0" y="0"/>
            <wp:positionH relativeFrom="margin">
              <wp:posOffset>-6350</wp:posOffset>
            </wp:positionH>
            <wp:positionV relativeFrom="line">
              <wp:posOffset>484169</wp:posOffset>
            </wp:positionV>
            <wp:extent cx="5943600" cy="3666146"/>
            <wp:effectExtent l="0" t="0" r="0" b="0"/>
            <wp:wrapTopAndBottom distT="152400" distB="152400"/>
            <wp:docPr id="1073741827" name="officeArt object" descr="IMG_645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6458.jpeg" descr="IMG_6458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7DBE0A" w14:textId="77777777" w:rsidR="000A7B1F" w:rsidRDefault="000A7B1F" w:rsidP="000A7B1F">
      <w:pPr>
        <w:pStyle w:val="Body"/>
      </w:pPr>
    </w:p>
    <w:p w14:paraId="31F05DD3" w14:textId="77777777" w:rsidR="000A7B1F" w:rsidRDefault="000A7B1F" w:rsidP="000A7B1F">
      <w:pPr>
        <w:pStyle w:val="Body"/>
      </w:pPr>
      <w:r>
        <w:t>electron dot structure: only dots</w:t>
      </w:r>
    </w:p>
    <w:p w14:paraId="6D4C3979" w14:textId="77777777" w:rsidR="000A7B1F" w:rsidRDefault="000A7B1F" w:rsidP="000A7B1F">
      <w:pPr>
        <w:pStyle w:val="Body"/>
      </w:pPr>
      <w:r>
        <w:t>structural formula: bonds as lines and dots</w:t>
      </w:r>
    </w:p>
    <w:p w14:paraId="4F08CA13" w14:textId="77777777" w:rsidR="000A7B1F" w:rsidRDefault="000A7B1F">
      <w:pPr>
        <w:pStyle w:val="Body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A7B1F"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54ED0" w14:textId="77777777" w:rsidR="0073571C" w:rsidRDefault="0073571C">
      <w:r>
        <w:separator/>
      </w:r>
    </w:p>
  </w:endnote>
  <w:endnote w:type="continuationSeparator" w:id="0">
    <w:p w14:paraId="06254ED2" w14:textId="77777777" w:rsidR="0073571C" w:rsidRDefault="0073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PSL Ornanong Pro"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54ECA" w14:textId="77777777" w:rsidR="00993C6B" w:rsidRDefault="00993C6B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06254ECB" w14:textId="77777777" w:rsidR="00993C6B" w:rsidRDefault="00993C6B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54ECC" w14:textId="77777777" w:rsidR="0073571C" w:rsidRDefault="0073571C">
      <w:r>
        <w:separator/>
      </w:r>
    </w:p>
  </w:footnote>
  <w:footnote w:type="continuationSeparator" w:id="0">
    <w:p w14:paraId="06254ECE" w14:textId="77777777" w:rsidR="0073571C" w:rsidRDefault="0073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DCF36F"/>
    <w:multiLevelType w:val="singleLevel"/>
    <w:tmpl w:val="DBDCF36F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DDEBED14"/>
    <w:multiLevelType w:val="singleLevel"/>
    <w:tmpl w:val="DDEBED14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" w15:restartNumberingAfterBreak="0">
    <w:nsid w:val="35042B66"/>
    <w:multiLevelType w:val="hybridMultilevel"/>
    <w:tmpl w:val="78E8DBF6"/>
    <w:numStyleLink w:val="NoteTaking"/>
  </w:abstractNum>
  <w:abstractNum w:abstractNumId="3" w15:restartNumberingAfterBreak="0">
    <w:nsid w:val="5B2F86F1"/>
    <w:multiLevelType w:val="singleLevel"/>
    <w:tmpl w:val="5B2F86F1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4" w15:restartNumberingAfterBreak="0">
    <w:nsid w:val="6FBFF89C"/>
    <w:multiLevelType w:val="singleLevel"/>
    <w:tmpl w:val="6FBFF89C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7BFFDA5D"/>
    <w:multiLevelType w:val="singleLevel"/>
    <w:tmpl w:val="7BFFDA5D"/>
    <w:lvl w:ilvl="0">
      <w:start w:val="1"/>
      <w:numFmt w:val="decimal"/>
      <w:suff w:val="space"/>
      <w:lvlText w:val="%1."/>
      <w:lvlJc w:val="left"/>
      <w:pPr>
        <w:ind w:left="1440" w:firstLine="0"/>
      </w:pPr>
    </w:lvl>
  </w:abstractNum>
  <w:abstractNum w:abstractNumId="6" w15:restartNumberingAfterBreak="0">
    <w:nsid w:val="7C2F7B23"/>
    <w:multiLevelType w:val="hybridMultilevel"/>
    <w:tmpl w:val="78E8DBF6"/>
    <w:styleLink w:val="NoteTaking"/>
    <w:lvl w:ilvl="0" w:tplc="091CB73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2DA0D8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37C430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84C9CD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F30499C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CBC571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A90A620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DD06AB0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2E7CAC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 w16cid:durableId="2022271626">
    <w:abstractNumId w:val="5"/>
  </w:num>
  <w:num w:numId="2" w16cid:durableId="336931885">
    <w:abstractNumId w:val="4"/>
  </w:num>
  <w:num w:numId="3" w16cid:durableId="924996089">
    <w:abstractNumId w:val="3"/>
  </w:num>
  <w:num w:numId="4" w16cid:durableId="591816229">
    <w:abstractNumId w:val="1"/>
  </w:num>
  <w:num w:numId="5" w16cid:durableId="2053118219">
    <w:abstractNumId w:val="0"/>
  </w:num>
  <w:num w:numId="6" w16cid:durableId="2103718803">
    <w:abstractNumId w:val="6"/>
  </w:num>
  <w:num w:numId="7" w16cid:durableId="1598827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FD7B1403"/>
    <w:rsid w:val="000A7B1F"/>
    <w:rsid w:val="00563A82"/>
    <w:rsid w:val="00640570"/>
    <w:rsid w:val="006D4193"/>
    <w:rsid w:val="0070737F"/>
    <w:rsid w:val="00722875"/>
    <w:rsid w:val="0073571C"/>
    <w:rsid w:val="00974671"/>
    <w:rsid w:val="00993C6B"/>
    <w:rsid w:val="009A0C12"/>
    <w:rsid w:val="00AC2913"/>
    <w:rsid w:val="00B76192"/>
    <w:rsid w:val="00C00178"/>
    <w:rsid w:val="00D00DFB"/>
    <w:rsid w:val="00FB40A5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254E48"/>
  <w15:docId w15:val="{CE08EEF9-491F-43AB-A7EE-20886843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  <w:style w:type="table" w:customStyle="1" w:styleId="TableNormal">
    <w:name w:val="Table Normal"/>
    <w:rsid w:val="000A7B1F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teTaking">
    <w:name w:val="Note Taking"/>
    <w:rsid w:val="000A7B1F"/>
    <w:pPr>
      <w:numPr>
        <w:numId w:val="6"/>
      </w:numPr>
    </w:pPr>
  </w:style>
  <w:style w:type="paragraph" w:customStyle="1" w:styleId="TableStyle1">
    <w:name w:val="Table Style 1"/>
    <w:rsid w:val="000A7B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b/>
      <w:bCs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0A7B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oteTaking1">
    <w:name w:val="Note Taking1"/>
    <w:rsid w:val="0073571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6</cp:revision>
  <dcterms:created xsi:type="dcterms:W3CDTF">2024-11-09T21:33:00Z</dcterms:created>
  <dcterms:modified xsi:type="dcterms:W3CDTF">2025-03-15T13:15:00Z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