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[TCS-ADS] Projeto Final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Regras para o Protocolo de Troca de Mensagens (PF-2024/2)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Central de Envio de Mensagens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[TCS-ADS] Requisitos não funcionais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servidores deverão ter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Cross-origin resource sharing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(CORS)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ativado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usado na comunicação: HTTP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serão trocados no formato JSON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 já deve estar cadastrado no sistema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admin@email.com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; Senha: 123456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será aceito caracteres especiais nas trocas de mensagens por JSON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o cadastro, deve ser feito o login. O cadastro não loga automaticamente.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chaves {} em uma rota representam uma variável que será enviada por parâmetro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não exista nenhum conteúdo em um get geral é retornado um array vazio sem nenhum código. Ex: Em um GET /avisos onde o banco não tem nenhum dado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Essa regra não é válida para GET em rotas com um parâmetro. Ex: GET /usuario/1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atributos id’s deverão ser um INT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[TCS-ADS] Requisitos funcionais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será identificado unicamente pelo seu email, sem a necessidade de 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Precisar de um CRUD para as categorias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Apenas o admin terá o acesso ao CRUD das categorias;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escolhe a categoria e vê as mensagens sem a necessidade de relacionar previamente à categoria (tem acesso a todas categorias)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[TCS-ADS] Autenticação e regras sobre JWT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todas rotas (menos login) deverá ser enviado o token e validado a autenticação do usuário (se o token é válido, se ele existe, etc…)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Caso, em qualquer rota, o usuário tenha um problema de autenticação, retornar 401 (sem body ou mensagens de erro)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do algoritmo e o secret utilizado para assinar o JWT é de escolha do aluno (HMAC, RSA)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expiração do token será de 15 minutos através da claim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</w:t>
      </w:r>
      <w:r w:rsidDel="00000000" w:rsidR="00000000" w:rsidRPr="00000000">
        <w:rPr>
          <w:sz w:val="24"/>
          <w:szCs w:val="24"/>
          <w:rtl w:val="0"/>
        </w:rPr>
        <w:t xml:space="preserve"> (expiration time)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obrigatório a existência do atributo email e admin (true ou false) no body do JWT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JWT token deverá ser enviado pelo header “Authorization” da seguinte forma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Authorization: bearer eyJhbGciOiJIUzI1NiIsInR5cCI6IkpXVCJ9.eyJzdWIiOiIxMjM0NTY3ODkwIiwibmFtZSI6IkpvaG4gRG9lIiwiaWF0IjoxNTE2MjM5MDIyfQ.SflKxwRJSMeKKF2QT4fwpMeJf36POk6yJV_adQssw5c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