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D814" w14:textId="77777777" w:rsidR="00B0048F" w:rsidRDefault="00C619FF" w:rsidP="00C619FF">
      <w:pPr>
        <w:jc w:val="center"/>
      </w:pPr>
      <w:r>
        <w:rPr>
          <w:noProof/>
          <w:color w:val="00B050"/>
        </w:rPr>
        <w:drawing>
          <wp:inline distT="0" distB="0" distL="0" distR="0" wp14:anchorId="529F7520" wp14:editId="4A5D28F0">
            <wp:extent cx="1514975" cy="13016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zsinfondo-696x59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41" cy="13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560D" w14:textId="77777777" w:rsidR="00C619FF" w:rsidRDefault="00C619FF" w:rsidP="00C619FF">
      <w:pPr>
        <w:jc w:val="center"/>
      </w:pPr>
    </w:p>
    <w:p w14:paraId="5A3B01F2" w14:textId="77777777" w:rsidR="00C619FF" w:rsidRDefault="00C619FF" w:rsidP="00C619FF">
      <w:pPr>
        <w:jc w:val="center"/>
        <w:rPr>
          <w:rFonts w:ascii="Gill Sans MT" w:hAnsi="Gill Sans MT"/>
          <w:color w:val="3B3838" w:themeColor="background2" w:themeShade="40"/>
        </w:rPr>
      </w:pPr>
      <w:r w:rsidRPr="00D8091F">
        <w:rPr>
          <w:rFonts w:ascii="Gill Sans MT" w:hAnsi="Gill Sans MT"/>
          <w:color w:val="3B3838" w:themeColor="background2" w:themeShade="40"/>
        </w:rPr>
        <w:t>Dirección General de Desarrollo Académico e Innovación Educativa</w:t>
      </w:r>
    </w:p>
    <w:p w14:paraId="24C676DC" w14:textId="77777777" w:rsidR="00C619FF" w:rsidRPr="00D8091F" w:rsidRDefault="00C619FF" w:rsidP="00C619FF">
      <w:pPr>
        <w:jc w:val="center"/>
        <w:rPr>
          <w:rFonts w:ascii="Gill Sans MT" w:hAnsi="Gill Sans MT"/>
          <w:color w:val="3B3838" w:themeColor="background2" w:themeShade="40"/>
        </w:rPr>
      </w:pPr>
      <w:r w:rsidRPr="00D8091F">
        <w:rPr>
          <w:rFonts w:ascii="Gill Sans MT" w:hAnsi="Gill Sans MT"/>
          <w:color w:val="3B3838" w:themeColor="background2" w:themeShade="40"/>
        </w:rPr>
        <w:t>Dirección de Innovación Educativa</w:t>
      </w:r>
    </w:p>
    <w:p w14:paraId="6CCA9682" w14:textId="77777777" w:rsidR="00C619FF" w:rsidRDefault="00C619FF" w:rsidP="00C619FF">
      <w:pPr>
        <w:jc w:val="center"/>
        <w:rPr>
          <w:rFonts w:ascii="Gill Sans MT" w:hAnsi="Gill Sans MT"/>
          <w:color w:val="3B3838" w:themeColor="background2" w:themeShade="40"/>
        </w:rPr>
      </w:pPr>
      <w:r w:rsidRPr="00D8091F">
        <w:rPr>
          <w:rFonts w:ascii="Gill Sans MT" w:hAnsi="Gill Sans MT"/>
          <w:color w:val="3B3838" w:themeColor="background2" w:themeShade="40"/>
        </w:rPr>
        <w:t>Departamento de Desarrollo Curricular</w:t>
      </w:r>
    </w:p>
    <w:p w14:paraId="32FCE918" w14:textId="77777777" w:rsidR="00C619FF" w:rsidRDefault="00C619FF"/>
    <w:p w14:paraId="2B871EE7" w14:textId="77777777" w:rsidR="00C619FF" w:rsidRPr="002B074A" w:rsidRDefault="00C619FF" w:rsidP="00C619FF">
      <w:pPr>
        <w:pStyle w:val="a"/>
        <w:rPr>
          <w:rFonts w:ascii="Gill Sans MT" w:hAnsi="Gill Sans MT"/>
          <w:szCs w:val="28"/>
        </w:rPr>
      </w:pPr>
      <w:bookmarkStart w:id="0" w:name="_GoBack"/>
      <w:r w:rsidRPr="002B074A">
        <w:rPr>
          <w:rFonts w:ascii="Gill Sans MT" w:hAnsi="Gill Sans MT"/>
          <w:szCs w:val="28"/>
        </w:rPr>
        <w:t>Instrumento para evaluar</w:t>
      </w:r>
      <w:r>
        <w:rPr>
          <w:rFonts w:ascii="Gill Sans MT" w:hAnsi="Gill Sans MT"/>
          <w:szCs w:val="28"/>
        </w:rPr>
        <w:t xml:space="preserve"> la </w:t>
      </w:r>
      <w:r w:rsidRPr="00C619FF">
        <w:rPr>
          <w:rFonts w:ascii="Gill Sans MT" w:hAnsi="Gill Sans MT"/>
          <w:i/>
          <w:szCs w:val="28"/>
        </w:rPr>
        <w:t>estructura curricular</w:t>
      </w:r>
      <w:r w:rsidR="00556770">
        <w:rPr>
          <w:rFonts w:ascii="Gill Sans MT" w:hAnsi="Gill Sans MT"/>
          <w:szCs w:val="28"/>
        </w:rPr>
        <w:t xml:space="preserve"> de </w:t>
      </w:r>
      <w:r>
        <w:rPr>
          <w:rFonts w:ascii="Gill Sans MT" w:hAnsi="Gill Sans MT"/>
          <w:szCs w:val="28"/>
        </w:rPr>
        <w:t xml:space="preserve">los </w:t>
      </w:r>
      <w:r w:rsidRPr="002B074A">
        <w:rPr>
          <w:rFonts w:ascii="Gill Sans MT" w:hAnsi="Gill Sans MT"/>
          <w:szCs w:val="28"/>
        </w:rPr>
        <w:t xml:space="preserve">planes y programas de estudio </w:t>
      </w:r>
      <w:r>
        <w:rPr>
          <w:rFonts w:ascii="Gill Sans MT" w:hAnsi="Gill Sans MT"/>
          <w:szCs w:val="28"/>
        </w:rPr>
        <w:t xml:space="preserve">(PE) </w:t>
      </w:r>
      <w:bookmarkEnd w:id="0"/>
      <w:r w:rsidRPr="002B074A">
        <w:rPr>
          <w:rFonts w:ascii="Gill Sans MT" w:hAnsi="Gill Sans MT"/>
          <w:szCs w:val="28"/>
        </w:rPr>
        <w:t>elaborados con el enfoque de competencias dentro del MEIF</w:t>
      </w:r>
    </w:p>
    <w:p w14:paraId="79B94DF2" w14:textId="77777777" w:rsidR="00C619FF" w:rsidRPr="002B074A" w:rsidRDefault="00C619FF" w:rsidP="00C619FF">
      <w:pPr>
        <w:rPr>
          <w:rFonts w:ascii="Gill Sans MT" w:hAnsi="Gill Sans MT"/>
          <w:sz w:val="22"/>
          <w:szCs w:val="22"/>
        </w:rPr>
      </w:pPr>
    </w:p>
    <w:p w14:paraId="54F0286F" w14:textId="77777777" w:rsidR="00C619FF" w:rsidRDefault="00C619FF" w:rsidP="00556770">
      <w:pPr>
        <w:jc w:val="both"/>
        <w:rPr>
          <w:rFonts w:ascii="Gill Sans MT" w:hAnsi="Gill Sans MT"/>
          <w:sz w:val="22"/>
          <w:szCs w:val="22"/>
          <w:lang w:val="es-ES"/>
        </w:rPr>
      </w:pPr>
      <w:r w:rsidRPr="002B074A">
        <w:rPr>
          <w:rFonts w:ascii="Gill Sans MT" w:hAnsi="Gill Sans MT"/>
          <w:sz w:val="22"/>
          <w:szCs w:val="22"/>
          <w:lang w:val="es-ES"/>
        </w:rPr>
        <w:t>Este instrumento tiene la finalidad de</w:t>
      </w:r>
      <w:r>
        <w:rPr>
          <w:rFonts w:ascii="Gill Sans MT" w:hAnsi="Gill Sans MT"/>
          <w:sz w:val="22"/>
          <w:szCs w:val="22"/>
          <w:lang w:val="es-ES"/>
        </w:rPr>
        <w:t xml:space="preserve"> orientar el proceso de análisis</w:t>
      </w:r>
      <w:r w:rsidRPr="002B074A">
        <w:rPr>
          <w:rFonts w:ascii="Gill Sans MT" w:hAnsi="Gill Sans MT"/>
          <w:sz w:val="22"/>
          <w:szCs w:val="22"/>
          <w:lang w:val="es-ES"/>
        </w:rPr>
        <w:t xml:space="preserve"> y evaluación de </w:t>
      </w:r>
      <w:r>
        <w:rPr>
          <w:rFonts w:ascii="Gill Sans MT" w:hAnsi="Gill Sans MT"/>
          <w:sz w:val="22"/>
          <w:szCs w:val="22"/>
          <w:lang w:val="es-ES"/>
        </w:rPr>
        <w:t xml:space="preserve">la estructura curricular  de </w:t>
      </w:r>
      <w:r w:rsidRPr="002B074A">
        <w:rPr>
          <w:rFonts w:ascii="Gill Sans MT" w:hAnsi="Gill Sans MT"/>
          <w:sz w:val="22"/>
          <w:szCs w:val="22"/>
          <w:lang w:val="es-ES"/>
        </w:rPr>
        <w:t>los planes de estudio</w:t>
      </w:r>
      <w:r>
        <w:rPr>
          <w:rFonts w:ascii="Gill Sans MT" w:hAnsi="Gill Sans MT"/>
          <w:sz w:val="22"/>
          <w:szCs w:val="22"/>
          <w:lang w:val="es-ES"/>
        </w:rPr>
        <w:t>.  S</w:t>
      </w:r>
      <w:r w:rsidRPr="002B074A">
        <w:rPr>
          <w:rFonts w:ascii="Gill Sans MT" w:hAnsi="Gill Sans MT"/>
          <w:sz w:val="22"/>
          <w:szCs w:val="22"/>
          <w:lang w:val="es-ES"/>
        </w:rPr>
        <w:t>u objetivo es proporcionar los elementos que sirvan de referencia para la emisión de</w:t>
      </w:r>
      <w:r>
        <w:rPr>
          <w:rFonts w:ascii="Gill Sans MT" w:hAnsi="Gill Sans MT"/>
          <w:sz w:val="22"/>
          <w:szCs w:val="22"/>
          <w:lang w:val="es-ES"/>
        </w:rPr>
        <w:t xml:space="preserve"> mejoras en esta sección</w:t>
      </w:r>
      <w:r w:rsidR="00556770">
        <w:rPr>
          <w:rFonts w:ascii="Gill Sans MT" w:hAnsi="Gill Sans MT"/>
          <w:sz w:val="22"/>
          <w:szCs w:val="22"/>
          <w:lang w:val="es-ES"/>
        </w:rPr>
        <w:t>,</w:t>
      </w:r>
      <w:r>
        <w:rPr>
          <w:rFonts w:ascii="Gill Sans MT" w:hAnsi="Gill Sans MT"/>
          <w:sz w:val="22"/>
          <w:szCs w:val="22"/>
          <w:lang w:val="es-ES"/>
        </w:rPr>
        <w:t xml:space="preserve"> en concreto de los PE</w:t>
      </w:r>
      <w:r w:rsidRPr="002B074A">
        <w:rPr>
          <w:rFonts w:ascii="Gill Sans MT" w:hAnsi="Gill Sans MT"/>
          <w:sz w:val="22"/>
          <w:szCs w:val="22"/>
          <w:lang w:val="es-ES"/>
        </w:rPr>
        <w:t>.</w:t>
      </w:r>
    </w:p>
    <w:p w14:paraId="1C4C1D57" w14:textId="77777777" w:rsidR="00C619FF" w:rsidRPr="002B074A" w:rsidRDefault="00C619FF" w:rsidP="00C619FF">
      <w:pPr>
        <w:ind w:firstLine="708"/>
        <w:jc w:val="both"/>
        <w:rPr>
          <w:rFonts w:ascii="Gill Sans MT" w:hAnsi="Gill Sans MT"/>
          <w:sz w:val="22"/>
          <w:szCs w:val="22"/>
          <w:lang w:val="es-ES"/>
        </w:rPr>
      </w:pPr>
    </w:p>
    <w:p w14:paraId="2F0E657A" w14:textId="77777777" w:rsidR="00C619FF" w:rsidRDefault="00C619FF" w:rsidP="00556770">
      <w:pPr>
        <w:jc w:val="both"/>
        <w:rPr>
          <w:rFonts w:ascii="Gill Sans MT" w:hAnsi="Gill Sans MT"/>
          <w:sz w:val="22"/>
          <w:szCs w:val="22"/>
          <w:lang w:val="es-ES"/>
        </w:rPr>
      </w:pPr>
      <w:r w:rsidRPr="002B074A">
        <w:rPr>
          <w:rFonts w:ascii="Gill Sans MT" w:hAnsi="Gill Sans MT"/>
          <w:sz w:val="22"/>
          <w:szCs w:val="22"/>
          <w:lang w:val="es-ES"/>
        </w:rPr>
        <w:t>Para responder el instrumento se requiere marcar la presenci</w:t>
      </w:r>
      <w:r>
        <w:rPr>
          <w:rFonts w:ascii="Gill Sans MT" w:hAnsi="Gill Sans MT"/>
          <w:sz w:val="22"/>
          <w:szCs w:val="22"/>
          <w:lang w:val="es-ES"/>
        </w:rPr>
        <w:t>a o ausencia de los elementos</w:t>
      </w:r>
      <w:r w:rsidR="00556770">
        <w:rPr>
          <w:rFonts w:ascii="Gill Sans MT" w:hAnsi="Gill Sans MT"/>
          <w:sz w:val="22"/>
          <w:szCs w:val="22"/>
          <w:lang w:val="es-ES"/>
        </w:rPr>
        <w:t>,</w:t>
      </w:r>
      <w:r>
        <w:rPr>
          <w:rFonts w:ascii="Gill Sans MT" w:hAnsi="Gill Sans MT"/>
          <w:sz w:val="22"/>
          <w:szCs w:val="22"/>
          <w:lang w:val="es-ES"/>
        </w:rPr>
        <w:t xml:space="preserve"> indicando el grado</w:t>
      </w:r>
      <w:r w:rsidRPr="002B074A">
        <w:rPr>
          <w:rFonts w:ascii="Gill Sans MT" w:hAnsi="Gill Sans MT"/>
          <w:sz w:val="22"/>
          <w:szCs w:val="22"/>
          <w:lang w:val="es-ES"/>
        </w:rPr>
        <w:t xml:space="preserve"> que </w:t>
      </w:r>
      <w:r>
        <w:rPr>
          <w:rFonts w:ascii="Gill Sans MT" w:hAnsi="Gill Sans MT"/>
          <w:sz w:val="22"/>
          <w:szCs w:val="22"/>
          <w:lang w:val="es-ES"/>
        </w:rPr>
        <w:t xml:space="preserve">cumple </w:t>
      </w:r>
      <w:r w:rsidRPr="002B074A">
        <w:rPr>
          <w:rFonts w:ascii="Gill Sans MT" w:hAnsi="Gill Sans MT"/>
          <w:sz w:val="22"/>
          <w:szCs w:val="22"/>
          <w:lang w:val="es-ES"/>
        </w:rPr>
        <w:t>cada uno de los aspectos abordados por las preguntas guía; asimismo, será necesario anotar en la columna de observaciones todas las descripciones, aclaraciones o sugerencias que se juzguen útiles y necesarias para la posterior toma de decisiones</w:t>
      </w:r>
      <w:r>
        <w:rPr>
          <w:rFonts w:ascii="Gill Sans MT" w:hAnsi="Gill Sans MT"/>
          <w:sz w:val="22"/>
          <w:szCs w:val="22"/>
          <w:lang w:val="es-ES"/>
        </w:rPr>
        <w:t>.</w:t>
      </w:r>
    </w:p>
    <w:p w14:paraId="5657CF1D" w14:textId="77777777" w:rsidR="00C619FF" w:rsidRDefault="00C619FF" w:rsidP="00C619FF">
      <w:pPr>
        <w:ind w:firstLine="708"/>
        <w:jc w:val="both"/>
        <w:rPr>
          <w:rFonts w:ascii="Gill Sans MT" w:hAnsi="Gill Sans MT"/>
          <w:sz w:val="22"/>
          <w:szCs w:val="22"/>
          <w:lang w:val="es-ES"/>
        </w:rPr>
      </w:pPr>
    </w:p>
    <w:p w14:paraId="01B1648E" w14:textId="77777777" w:rsidR="00C619FF" w:rsidRDefault="00C619FF" w:rsidP="00556770">
      <w:pPr>
        <w:jc w:val="both"/>
        <w:rPr>
          <w:rFonts w:ascii="Gill Sans MT" w:hAnsi="Gill Sans MT"/>
          <w:sz w:val="22"/>
          <w:szCs w:val="22"/>
          <w:lang w:val="es-ES"/>
        </w:rPr>
      </w:pPr>
      <w:r w:rsidRPr="002B074A">
        <w:rPr>
          <w:rFonts w:ascii="Gill Sans MT" w:hAnsi="Gill Sans MT"/>
          <w:sz w:val="22"/>
          <w:szCs w:val="22"/>
          <w:lang w:val="es-ES"/>
        </w:rPr>
        <w:t>El cumplimiento de los aspectos valorados se pondera con base en la siguiente escala:</w:t>
      </w:r>
    </w:p>
    <w:p w14:paraId="0D6B46F9" w14:textId="77777777" w:rsidR="00C619FF" w:rsidRPr="002B074A" w:rsidRDefault="00C619FF" w:rsidP="00C619FF">
      <w:pPr>
        <w:ind w:firstLine="708"/>
        <w:jc w:val="both"/>
        <w:rPr>
          <w:rFonts w:ascii="Gill Sans MT" w:hAnsi="Gill Sans MT"/>
          <w:sz w:val="22"/>
          <w:szCs w:val="22"/>
          <w:lang w:val="es-ES"/>
        </w:rPr>
      </w:pPr>
    </w:p>
    <w:p w14:paraId="678E7874" w14:textId="77777777" w:rsidR="00C619FF" w:rsidRPr="002B074A" w:rsidRDefault="00C619FF" w:rsidP="00C619FF">
      <w:pPr>
        <w:rPr>
          <w:rFonts w:ascii="Gill Sans MT" w:hAnsi="Gill Sans MT"/>
          <w:sz w:val="22"/>
          <w:szCs w:val="22"/>
          <w:lang w:val="es-ES"/>
        </w:rPr>
      </w:pPr>
    </w:p>
    <w:tbl>
      <w:tblPr>
        <w:tblW w:w="0" w:type="auto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382"/>
        <w:gridCol w:w="1382"/>
        <w:gridCol w:w="1382"/>
        <w:gridCol w:w="1382"/>
        <w:gridCol w:w="1502"/>
      </w:tblGrid>
      <w:tr w:rsidR="00C619FF" w:rsidRPr="002B074A" w14:paraId="2F171B26" w14:textId="77777777" w:rsidTr="003743EA">
        <w:tc>
          <w:tcPr>
            <w:tcW w:w="1668" w:type="dxa"/>
          </w:tcPr>
          <w:p w14:paraId="5FAFDB3F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  <w:lang w:val="es-ES"/>
              </w:rPr>
            </w:pPr>
            <w:r w:rsidRPr="002B074A">
              <w:rPr>
                <w:rFonts w:ascii="Gill Sans MT" w:hAnsi="Gill Sans MT"/>
                <w:sz w:val="22"/>
                <w:szCs w:val="22"/>
                <w:lang w:val="es-ES"/>
              </w:rPr>
              <w:t>Incumplimiento</w:t>
            </w:r>
          </w:p>
        </w:tc>
        <w:tc>
          <w:tcPr>
            <w:tcW w:w="1382" w:type="dxa"/>
            <w:shd w:val="clear" w:color="auto" w:fill="DAEEF3"/>
          </w:tcPr>
          <w:p w14:paraId="787AE94F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b/>
                <w:sz w:val="22"/>
                <w:szCs w:val="22"/>
                <w:lang w:val="es-ES"/>
              </w:rPr>
            </w:pPr>
            <w:r w:rsidRPr="002B074A">
              <w:rPr>
                <w:rFonts w:ascii="Gill Sans MT" w:hAnsi="Gill Sans MT"/>
                <w:b/>
                <w:sz w:val="22"/>
                <w:szCs w:val="22"/>
                <w:lang w:val="es-ES"/>
              </w:rPr>
              <w:t>0</w:t>
            </w:r>
          </w:p>
        </w:tc>
        <w:tc>
          <w:tcPr>
            <w:tcW w:w="1382" w:type="dxa"/>
            <w:shd w:val="clear" w:color="auto" w:fill="B6DDE8"/>
          </w:tcPr>
          <w:p w14:paraId="1E556B58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b/>
                <w:sz w:val="22"/>
                <w:szCs w:val="22"/>
                <w:lang w:val="es-ES"/>
              </w:rPr>
            </w:pPr>
            <w:r w:rsidRPr="002B074A">
              <w:rPr>
                <w:rFonts w:ascii="Gill Sans MT" w:hAnsi="Gill Sans MT"/>
                <w:b/>
                <w:sz w:val="22"/>
                <w:szCs w:val="22"/>
                <w:lang w:val="es-ES"/>
              </w:rPr>
              <w:t>1</w:t>
            </w:r>
          </w:p>
        </w:tc>
        <w:tc>
          <w:tcPr>
            <w:tcW w:w="1382" w:type="dxa"/>
            <w:shd w:val="clear" w:color="auto" w:fill="92CDDC"/>
          </w:tcPr>
          <w:p w14:paraId="4E03DB52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b/>
                <w:sz w:val="22"/>
                <w:szCs w:val="22"/>
                <w:lang w:val="es-ES"/>
              </w:rPr>
            </w:pPr>
            <w:r w:rsidRPr="002B074A">
              <w:rPr>
                <w:rFonts w:ascii="Gill Sans MT" w:hAnsi="Gill Sans MT"/>
                <w:b/>
                <w:sz w:val="22"/>
                <w:szCs w:val="22"/>
                <w:lang w:val="es-ES"/>
              </w:rPr>
              <w:t>2</w:t>
            </w:r>
          </w:p>
        </w:tc>
        <w:tc>
          <w:tcPr>
            <w:tcW w:w="1382" w:type="dxa"/>
            <w:shd w:val="clear" w:color="auto" w:fill="31849B"/>
          </w:tcPr>
          <w:p w14:paraId="0501B627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b/>
                <w:color w:val="FFFFFF"/>
                <w:sz w:val="22"/>
                <w:szCs w:val="22"/>
                <w:lang w:val="es-ES"/>
              </w:rPr>
            </w:pPr>
            <w:r w:rsidRPr="002B074A">
              <w:rPr>
                <w:rFonts w:ascii="Gill Sans MT" w:hAnsi="Gill Sans MT"/>
                <w:b/>
                <w:color w:val="FFFFFF"/>
                <w:sz w:val="22"/>
                <w:szCs w:val="22"/>
                <w:lang w:val="es-ES"/>
              </w:rPr>
              <w:t>3</w:t>
            </w:r>
          </w:p>
        </w:tc>
        <w:tc>
          <w:tcPr>
            <w:tcW w:w="1502" w:type="dxa"/>
          </w:tcPr>
          <w:p w14:paraId="2DB5B615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  <w:lang w:val="es-ES"/>
              </w:rPr>
            </w:pPr>
            <w:r w:rsidRPr="002B074A">
              <w:rPr>
                <w:rFonts w:ascii="Gill Sans MT" w:hAnsi="Gill Sans MT"/>
                <w:sz w:val="22"/>
                <w:szCs w:val="22"/>
                <w:lang w:val="es-ES"/>
              </w:rPr>
              <w:t>Cumplimiento</w:t>
            </w:r>
          </w:p>
        </w:tc>
      </w:tr>
      <w:tr w:rsidR="00C619FF" w:rsidRPr="002B074A" w14:paraId="3607AFA2" w14:textId="77777777" w:rsidTr="003743EA">
        <w:tc>
          <w:tcPr>
            <w:tcW w:w="1668" w:type="dxa"/>
            <w:shd w:val="clear" w:color="auto" w:fill="auto"/>
          </w:tcPr>
          <w:p w14:paraId="24793A47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sz w:val="18"/>
                <w:szCs w:val="22"/>
                <w:lang w:val="es-ES"/>
              </w:rPr>
            </w:pPr>
          </w:p>
        </w:tc>
        <w:tc>
          <w:tcPr>
            <w:tcW w:w="1382" w:type="dxa"/>
            <w:shd w:val="clear" w:color="auto" w:fill="auto"/>
          </w:tcPr>
          <w:p w14:paraId="59BD757B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sz w:val="18"/>
                <w:szCs w:val="22"/>
                <w:lang w:val="es-ES"/>
              </w:rPr>
            </w:pPr>
            <w:r w:rsidRPr="002B074A">
              <w:rPr>
                <w:rFonts w:ascii="Gill Sans MT" w:hAnsi="Gill Sans MT"/>
                <w:sz w:val="18"/>
                <w:szCs w:val="22"/>
                <w:lang w:val="es-ES"/>
              </w:rPr>
              <w:t>Ausencia completa de información relevante</w:t>
            </w:r>
            <w:r w:rsidR="00556770">
              <w:rPr>
                <w:rFonts w:ascii="Gill Sans MT" w:hAnsi="Gill Sans MT"/>
                <w:sz w:val="18"/>
                <w:szCs w:val="22"/>
                <w:lang w:val="es-ES"/>
              </w:rPr>
              <w:t>.</w:t>
            </w:r>
          </w:p>
        </w:tc>
        <w:tc>
          <w:tcPr>
            <w:tcW w:w="1382" w:type="dxa"/>
            <w:shd w:val="clear" w:color="auto" w:fill="auto"/>
          </w:tcPr>
          <w:p w14:paraId="5450D8A8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sz w:val="18"/>
                <w:szCs w:val="22"/>
                <w:lang w:val="es-ES"/>
              </w:rPr>
            </w:pPr>
            <w:r w:rsidRPr="002B074A">
              <w:rPr>
                <w:rFonts w:ascii="Gill Sans MT" w:hAnsi="Gill Sans MT"/>
                <w:sz w:val="18"/>
                <w:szCs w:val="22"/>
                <w:lang w:val="es-ES"/>
              </w:rPr>
              <w:t>Información irrelevante relacionada de forma explícita</w:t>
            </w:r>
            <w:r w:rsidR="00556770">
              <w:rPr>
                <w:rFonts w:ascii="Gill Sans MT" w:hAnsi="Gill Sans MT"/>
                <w:sz w:val="18"/>
                <w:szCs w:val="22"/>
                <w:lang w:val="es-ES"/>
              </w:rPr>
              <w:t>.</w:t>
            </w:r>
          </w:p>
        </w:tc>
        <w:tc>
          <w:tcPr>
            <w:tcW w:w="1382" w:type="dxa"/>
            <w:shd w:val="clear" w:color="auto" w:fill="auto"/>
          </w:tcPr>
          <w:p w14:paraId="3C94913A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sz w:val="18"/>
                <w:szCs w:val="22"/>
                <w:lang w:val="es-ES"/>
              </w:rPr>
            </w:pPr>
            <w:r w:rsidRPr="002B074A">
              <w:rPr>
                <w:rFonts w:ascii="Gill Sans MT" w:hAnsi="Gill Sans MT"/>
                <w:sz w:val="18"/>
                <w:szCs w:val="22"/>
                <w:lang w:val="es-ES"/>
              </w:rPr>
              <w:t>Información relevante relacionada de forma implícita</w:t>
            </w:r>
            <w:r w:rsidR="00556770">
              <w:rPr>
                <w:rFonts w:ascii="Gill Sans MT" w:hAnsi="Gill Sans MT"/>
                <w:sz w:val="18"/>
                <w:szCs w:val="22"/>
                <w:lang w:val="es-ES"/>
              </w:rPr>
              <w:t>.</w:t>
            </w:r>
          </w:p>
        </w:tc>
        <w:tc>
          <w:tcPr>
            <w:tcW w:w="1382" w:type="dxa"/>
            <w:shd w:val="clear" w:color="auto" w:fill="auto"/>
          </w:tcPr>
          <w:p w14:paraId="2A944300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sz w:val="18"/>
                <w:szCs w:val="22"/>
                <w:lang w:val="es-ES"/>
              </w:rPr>
            </w:pPr>
            <w:r w:rsidRPr="002B074A">
              <w:rPr>
                <w:rFonts w:ascii="Gill Sans MT" w:hAnsi="Gill Sans MT"/>
                <w:sz w:val="18"/>
                <w:szCs w:val="22"/>
                <w:lang w:val="es-ES"/>
              </w:rPr>
              <w:t>Información relevante relacionada de forma explícita</w:t>
            </w:r>
            <w:r w:rsidR="00556770">
              <w:rPr>
                <w:rFonts w:ascii="Gill Sans MT" w:hAnsi="Gill Sans MT"/>
                <w:sz w:val="18"/>
                <w:szCs w:val="22"/>
                <w:lang w:val="es-ES"/>
              </w:rPr>
              <w:t>.</w:t>
            </w:r>
          </w:p>
        </w:tc>
        <w:tc>
          <w:tcPr>
            <w:tcW w:w="1502" w:type="dxa"/>
            <w:shd w:val="clear" w:color="auto" w:fill="auto"/>
          </w:tcPr>
          <w:p w14:paraId="14DB242E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sz w:val="18"/>
                <w:szCs w:val="22"/>
                <w:lang w:val="es-ES"/>
              </w:rPr>
            </w:pPr>
          </w:p>
        </w:tc>
      </w:tr>
    </w:tbl>
    <w:p w14:paraId="5FE9B929" w14:textId="77777777" w:rsidR="00C619FF" w:rsidRPr="002B074A" w:rsidRDefault="00C619FF" w:rsidP="00C619FF">
      <w:pPr>
        <w:rPr>
          <w:rFonts w:ascii="Gill Sans MT" w:hAnsi="Gill Sans MT"/>
          <w:sz w:val="22"/>
          <w:szCs w:val="22"/>
          <w:lang w:val="es-ES"/>
        </w:rPr>
      </w:pPr>
    </w:p>
    <w:p w14:paraId="24713589" w14:textId="77777777" w:rsidR="00C619FF" w:rsidRPr="002B074A" w:rsidRDefault="00C619FF" w:rsidP="00C619FF">
      <w:pPr>
        <w:ind w:firstLine="708"/>
        <w:jc w:val="both"/>
        <w:rPr>
          <w:rFonts w:ascii="Gill Sans MT" w:hAnsi="Gill Sans MT"/>
          <w:sz w:val="22"/>
          <w:szCs w:val="22"/>
          <w:lang w:val="es-ES"/>
        </w:rPr>
      </w:pPr>
      <w:r>
        <w:rPr>
          <w:rFonts w:ascii="Gill Sans MT" w:hAnsi="Gill Sans MT"/>
          <w:sz w:val="22"/>
          <w:szCs w:val="22"/>
          <w:lang w:val="es-ES"/>
        </w:rPr>
        <w:t xml:space="preserve">Se recomienda hacer la evaluación </w:t>
      </w:r>
      <w:r w:rsidRPr="002B074A">
        <w:rPr>
          <w:rFonts w:ascii="Gill Sans MT" w:hAnsi="Gill Sans MT"/>
          <w:sz w:val="22"/>
          <w:szCs w:val="22"/>
          <w:lang w:val="es-ES"/>
        </w:rPr>
        <w:t>en sesiones de trabajo colegiado como una estrategia para el enriquecimiento del juicio crít</w:t>
      </w:r>
      <w:r>
        <w:rPr>
          <w:rFonts w:ascii="Gill Sans MT" w:hAnsi="Gill Sans MT"/>
          <w:sz w:val="22"/>
          <w:szCs w:val="22"/>
          <w:lang w:val="es-ES"/>
        </w:rPr>
        <w:t>ico y la emisión de propuestas; t</w:t>
      </w:r>
      <w:r w:rsidRPr="002B074A">
        <w:rPr>
          <w:rFonts w:ascii="Gill Sans MT" w:hAnsi="Gill Sans MT"/>
          <w:sz w:val="22"/>
          <w:szCs w:val="22"/>
          <w:lang w:val="es-ES"/>
        </w:rPr>
        <w:t>ambién debe contarse con la metodología de diseño curricular aplicada para la elaboración del plan y los programas de est</w:t>
      </w:r>
      <w:r>
        <w:rPr>
          <w:rFonts w:ascii="Gill Sans MT" w:hAnsi="Gill Sans MT"/>
          <w:sz w:val="22"/>
          <w:szCs w:val="22"/>
          <w:lang w:val="es-ES"/>
        </w:rPr>
        <w:t xml:space="preserve">udio, ya que </w:t>
      </w:r>
      <w:r w:rsidR="00556770">
        <w:rPr>
          <w:rFonts w:ascii="Gill Sans MT" w:hAnsi="Gill Sans MT"/>
          <w:sz w:val="22"/>
          <w:szCs w:val="22"/>
          <w:lang w:val="es-ES"/>
        </w:rPr>
        <w:t xml:space="preserve">en </w:t>
      </w:r>
      <w:r>
        <w:rPr>
          <w:rFonts w:ascii="Gill Sans MT" w:hAnsi="Gill Sans MT"/>
          <w:sz w:val="22"/>
          <w:szCs w:val="22"/>
          <w:lang w:val="es-ES"/>
        </w:rPr>
        <w:t>ella se describen</w:t>
      </w:r>
      <w:r w:rsidRPr="002B074A">
        <w:rPr>
          <w:rFonts w:ascii="Gill Sans MT" w:hAnsi="Gill Sans MT"/>
          <w:sz w:val="22"/>
          <w:szCs w:val="22"/>
          <w:lang w:val="es-ES"/>
        </w:rPr>
        <w:t xml:space="preserve"> las características del </w:t>
      </w:r>
      <w:r w:rsidRPr="002B074A">
        <w:rPr>
          <w:rFonts w:ascii="Gill Sans MT" w:hAnsi="Gill Sans MT"/>
          <w:i/>
          <w:sz w:val="22"/>
          <w:szCs w:val="22"/>
          <w:lang w:val="es-ES"/>
        </w:rPr>
        <w:t>deber ser</w:t>
      </w:r>
      <w:r w:rsidRPr="002B074A">
        <w:rPr>
          <w:rFonts w:ascii="Gill Sans MT" w:hAnsi="Gill Sans MT"/>
          <w:sz w:val="22"/>
          <w:szCs w:val="22"/>
          <w:lang w:val="es-ES"/>
        </w:rPr>
        <w:t xml:space="preserve"> del plan y los programas.</w:t>
      </w:r>
    </w:p>
    <w:p w14:paraId="261F81DE" w14:textId="77777777" w:rsidR="00C619FF" w:rsidRDefault="00C619FF" w:rsidP="00C619FF">
      <w:pPr>
        <w:rPr>
          <w:rFonts w:ascii="Gill Sans MT" w:hAnsi="Gill Sans MT"/>
          <w:sz w:val="22"/>
          <w:szCs w:val="22"/>
        </w:rPr>
      </w:pPr>
    </w:p>
    <w:p w14:paraId="21C5E4DC" w14:textId="77777777" w:rsidR="00C619FF" w:rsidRPr="00C619FF" w:rsidRDefault="00C619FF" w:rsidP="00C619FF">
      <w:pPr>
        <w:jc w:val="center"/>
        <w:rPr>
          <w:rFonts w:ascii="Gill Sans MT" w:hAnsi="Gill Sans MT"/>
          <w:b/>
          <w:sz w:val="22"/>
          <w:szCs w:val="22"/>
          <w:lang w:val="es-ES"/>
        </w:rPr>
      </w:pPr>
    </w:p>
    <w:p w14:paraId="3FE9A324" w14:textId="77777777" w:rsidR="00C619FF" w:rsidRDefault="00C619FF" w:rsidP="00C619FF">
      <w:pPr>
        <w:jc w:val="center"/>
        <w:rPr>
          <w:rFonts w:ascii="Gill Sans MT" w:hAnsi="Gill Sans MT"/>
          <w:b/>
          <w:sz w:val="22"/>
          <w:szCs w:val="22"/>
          <w:lang w:val="es-ES"/>
        </w:rPr>
      </w:pPr>
      <w:r w:rsidRPr="00C619FF">
        <w:rPr>
          <w:rFonts w:ascii="Gill Sans MT" w:hAnsi="Gill Sans MT"/>
          <w:b/>
          <w:sz w:val="22"/>
          <w:szCs w:val="22"/>
          <w:lang w:val="es-ES"/>
        </w:rPr>
        <w:t>Estructura curricular</w:t>
      </w:r>
    </w:p>
    <w:p w14:paraId="0124600B" w14:textId="77777777" w:rsidR="00C619FF" w:rsidRPr="002B074A" w:rsidRDefault="00C619FF" w:rsidP="00C619FF">
      <w:pPr>
        <w:rPr>
          <w:rFonts w:ascii="Gill Sans MT" w:hAnsi="Gill Sans MT"/>
          <w:sz w:val="22"/>
          <w:szCs w:val="22"/>
          <w:lang w:val="es-ES"/>
        </w:rPr>
      </w:pPr>
      <w:r w:rsidRPr="002B074A">
        <w:rPr>
          <w:rFonts w:ascii="Gill Sans MT" w:hAnsi="Gill Sans MT"/>
          <w:sz w:val="22"/>
          <w:szCs w:val="22"/>
          <w:lang w:val="es-ES"/>
        </w:rPr>
        <w:t>Criterios: suficiencia, flexibilidad y congruencia interna</w:t>
      </w:r>
      <w:r w:rsidR="00556770">
        <w:rPr>
          <w:rFonts w:ascii="Gill Sans MT" w:hAnsi="Gill Sans MT"/>
          <w:sz w:val="22"/>
          <w:szCs w:val="22"/>
          <w:lang w:val="es-ES"/>
        </w:rPr>
        <w:t>.</w:t>
      </w:r>
    </w:p>
    <w:p w14:paraId="6B852FCE" w14:textId="77777777" w:rsidR="00C619FF" w:rsidRPr="00C619FF" w:rsidRDefault="00C619FF" w:rsidP="00C619FF">
      <w:pPr>
        <w:jc w:val="center"/>
        <w:rPr>
          <w:rFonts w:ascii="Gill Sans MT" w:hAnsi="Gill Sans MT"/>
          <w:b/>
          <w:sz w:val="22"/>
          <w:szCs w:val="22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5"/>
        <w:gridCol w:w="897"/>
        <w:gridCol w:w="3946"/>
      </w:tblGrid>
      <w:tr w:rsidR="00C619FF" w:rsidRPr="002B074A" w14:paraId="33705FCF" w14:textId="77777777" w:rsidTr="003743EA">
        <w:tc>
          <w:tcPr>
            <w:tcW w:w="2267" w:type="pct"/>
            <w:tcBorders>
              <w:bottom w:val="single" w:sz="4" w:space="0" w:color="auto"/>
            </w:tcBorders>
            <w:shd w:val="clear" w:color="auto" w:fill="C0C0C0"/>
          </w:tcPr>
          <w:p w14:paraId="6F87D94F" w14:textId="77777777" w:rsidR="00C619FF" w:rsidRPr="002B074A" w:rsidRDefault="00C619FF" w:rsidP="003743EA">
            <w:pPr>
              <w:pStyle w:val="Ttulo1"/>
              <w:jc w:val="center"/>
              <w:rPr>
                <w:rFonts w:ascii="Gill Sans MT" w:hAnsi="Gill Sans MT"/>
                <w:b/>
                <w:sz w:val="22"/>
                <w:szCs w:val="22"/>
              </w:rPr>
            </w:pPr>
            <w:r w:rsidRPr="002B074A">
              <w:rPr>
                <w:rFonts w:ascii="Gill Sans MT" w:hAnsi="Gill Sans MT"/>
                <w:b/>
                <w:sz w:val="22"/>
                <w:szCs w:val="22"/>
              </w:rPr>
              <w:t>Preguntas guía</w:t>
            </w:r>
          </w:p>
        </w:tc>
        <w:tc>
          <w:tcPr>
            <w:tcW w:w="488" w:type="pct"/>
            <w:shd w:val="clear" w:color="auto" w:fill="C0C0C0"/>
          </w:tcPr>
          <w:p w14:paraId="49A8B199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b/>
                <w:sz w:val="22"/>
                <w:szCs w:val="22"/>
              </w:rPr>
            </w:pPr>
            <w:r w:rsidRPr="002B074A">
              <w:rPr>
                <w:rFonts w:ascii="Gill Sans MT" w:hAnsi="Gill Sans MT"/>
                <w:b/>
                <w:sz w:val="22"/>
                <w:szCs w:val="22"/>
              </w:rPr>
              <w:t>Cumpl.</w:t>
            </w:r>
          </w:p>
        </w:tc>
        <w:tc>
          <w:tcPr>
            <w:tcW w:w="2245" w:type="pct"/>
            <w:shd w:val="clear" w:color="auto" w:fill="C0C0C0"/>
          </w:tcPr>
          <w:p w14:paraId="67B204D5" w14:textId="77777777" w:rsidR="00C619FF" w:rsidRPr="002B074A" w:rsidRDefault="00C619FF" w:rsidP="003743EA">
            <w:pPr>
              <w:jc w:val="center"/>
              <w:rPr>
                <w:rFonts w:ascii="Gill Sans MT" w:hAnsi="Gill Sans MT"/>
                <w:b/>
                <w:sz w:val="22"/>
                <w:szCs w:val="22"/>
              </w:rPr>
            </w:pPr>
            <w:r w:rsidRPr="002B074A">
              <w:rPr>
                <w:rFonts w:ascii="Gill Sans MT" w:hAnsi="Gill Sans MT"/>
                <w:b/>
                <w:sz w:val="22"/>
                <w:szCs w:val="22"/>
              </w:rPr>
              <w:t xml:space="preserve">Observaciones </w:t>
            </w:r>
          </w:p>
        </w:tc>
      </w:tr>
      <w:tr w:rsidR="00C619FF" w:rsidRPr="002B074A" w14:paraId="1E89D074" w14:textId="77777777" w:rsidTr="003743EA">
        <w:tc>
          <w:tcPr>
            <w:tcW w:w="2267" w:type="pct"/>
            <w:shd w:val="clear" w:color="auto" w:fill="auto"/>
          </w:tcPr>
          <w:p w14:paraId="79184869" w14:textId="77777777" w:rsidR="00C619FF" w:rsidRPr="002B074A" w:rsidRDefault="00C619FF" w:rsidP="003743EA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 w:rsidRPr="002B074A">
              <w:rPr>
                <w:rFonts w:ascii="Gill Sans MT" w:hAnsi="Gill Sans MT"/>
                <w:sz w:val="22"/>
                <w:szCs w:val="22"/>
              </w:rPr>
              <w:t xml:space="preserve">1. ¿Las EE ubicadas en el </w:t>
            </w:r>
            <w:r w:rsidR="00556770" w:rsidRPr="00236B02">
              <w:rPr>
                <w:rFonts w:ascii="Gill Sans MT" w:hAnsi="Gill Sans MT"/>
                <w:sz w:val="22"/>
                <w:szCs w:val="22"/>
              </w:rPr>
              <w:t>Á</w:t>
            </w:r>
            <w:r w:rsidR="00556770">
              <w:rPr>
                <w:rFonts w:ascii="Gill Sans MT" w:hAnsi="Gill Sans MT"/>
                <w:sz w:val="22"/>
                <w:szCs w:val="22"/>
              </w:rPr>
              <w:t>rea de I</w:t>
            </w:r>
            <w:r w:rsidRPr="002B074A">
              <w:rPr>
                <w:rFonts w:ascii="Gill Sans MT" w:hAnsi="Gill Sans MT"/>
                <w:sz w:val="22"/>
                <w:szCs w:val="22"/>
              </w:rPr>
              <w:t>niciación a la disciplina son</w:t>
            </w:r>
            <w:r w:rsidR="004677DB">
              <w:rPr>
                <w:rFonts w:ascii="Gill Sans MT" w:hAnsi="Gill Sans MT"/>
                <w:sz w:val="22"/>
                <w:szCs w:val="22"/>
              </w:rPr>
              <w:t xml:space="preserve"> auténticamente</w:t>
            </w:r>
            <w:r w:rsidRPr="002B074A">
              <w:rPr>
                <w:rFonts w:ascii="Gill Sans MT" w:hAnsi="Gill Sans MT"/>
                <w:sz w:val="22"/>
                <w:szCs w:val="22"/>
              </w:rPr>
              <w:t xml:space="preserve"> introductorias</w:t>
            </w:r>
            <w:r w:rsidR="004677DB">
              <w:rPr>
                <w:rFonts w:ascii="Gill Sans MT" w:hAnsi="Gill Sans MT"/>
                <w:sz w:val="22"/>
                <w:szCs w:val="22"/>
              </w:rPr>
              <w:t xml:space="preserve"> en sus saberes </w:t>
            </w:r>
            <w:r w:rsidR="00556770">
              <w:rPr>
                <w:rFonts w:ascii="Gill Sans MT" w:hAnsi="Gill Sans MT"/>
                <w:sz w:val="22"/>
                <w:szCs w:val="22"/>
              </w:rPr>
              <w:t xml:space="preserve">para </w:t>
            </w:r>
            <w:r w:rsidR="004677DB">
              <w:rPr>
                <w:rFonts w:ascii="Gill Sans MT" w:hAnsi="Gill Sans MT"/>
                <w:sz w:val="22"/>
                <w:szCs w:val="22"/>
              </w:rPr>
              <w:t xml:space="preserve">que </w:t>
            </w:r>
            <w:r w:rsidR="004677DB">
              <w:rPr>
                <w:rFonts w:ascii="Gill Sans MT" w:hAnsi="Gill Sans MT"/>
                <w:sz w:val="22"/>
                <w:szCs w:val="22"/>
              </w:rPr>
              <w:lastRenderedPageBreak/>
              <w:t>constituyan un andamiaje</w:t>
            </w:r>
            <w:r w:rsidRPr="002B074A">
              <w:rPr>
                <w:rFonts w:ascii="Gill Sans MT" w:hAnsi="Gill Sans MT"/>
                <w:sz w:val="22"/>
                <w:szCs w:val="22"/>
              </w:rPr>
              <w:t xml:space="preserve"> para EE posteriores?</w:t>
            </w:r>
          </w:p>
        </w:tc>
        <w:tc>
          <w:tcPr>
            <w:tcW w:w="488" w:type="pct"/>
          </w:tcPr>
          <w:p w14:paraId="339ED789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6FBF721E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2DD8EAEF" w14:textId="77777777" w:rsidTr="003743EA">
        <w:tc>
          <w:tcPr>
            <w:tcW w:w="2267" w:type="pct"/>
            <w:shd w:val="clear" w:color="auto" w:fill="auto"/>
          </w:tcPr>
          <w:p w14:paraId="280EA6D1" w14:textId="77777777" w:rsidR="00C619FF" w:rsidRPr="002B074A" w:rsidRDefault="00C619FF" w:rsidP="00556770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 w:rsidRPr="002B074A">
              <w:rPr>
                <w:rFonts w:ascii="Gill Sans MT" w:hAnsi="Gill Sans MT"/>
                <w:sz w:val="22"/>
                <w:szCs w:val="22"/>
              </w:rPr>
              <w:t xml:space="preserve">2. ¿Las EE ubicadas en el </w:t>
            </w:r>
            <w:r w:rsidR="00556770" w:rsidRPr="00236B02">
              <w:rPr>
                <w:rFonts w:ascii="Gill Sans MT" w:hAnsi="Gill Sans MT"/>
                <w:sz w:val="22"/>
                <w:szCs w:val="22"/>
              </w:rPr>
              <w:t>Á</w:t>
            </w:r>
            <w:r w:rsidRPr="002B074A">
              <w:rPr>
                <w:rFonts w:ascii="Gill Sans MT" w:hAnsi="Gill Sans MT"/>
                <w:sz w:val="22"/>
                <w:szCs w:val="22"/>
              </w:rPr>
              <w:t xml:space="preserve">rea de </w:t>
            </w:r>
            <w:r w:rsidR="004677DB">
              <w:rPr>
                <w:rFonts w:ascii="Gill Sans MT" w:hAnsi="Gill Sans MT"/>
                <w:sz w:val="22"/>
                <w:szCs w:val="22"/>
              </w:rPr>
              <w:t xml:space="preserve">Formación </w:t>
            </w:r>
            <w:r w:rsidR="00556770">
              <w:rPr>
                <w:rFonts w:ascii="Gill Sans MT" w:hAnsi="Gill Sans MT"/>
                <w:sz w:val="22"/>
                <w:szCs w:val="22"/>
              </w:rPr>
              <w:t>D</w:t>
            </w:r>
            <w:r w:rsidRPr="002B074A">
              <w:rPr>
                <w:rFonts w:ascii="Gill Sans MT" w:hAnsi="Gill Sans MT"/>
                <w:sz w:val="22"/>
                <w:szCs w:val="22"/>
              </w:rPr>
              <w:t>isciplina</w:t>
            </w:r>
            <w:r w:rsidR="004677DB">
              <w:rPr>
                <w:rFonts w:ascii="Gill Sans MT" w:hAnsi="Gill Sans MT"/>
                <w:sz w:val="22"/>
                <w:szCs w:val="22"/>
              </w:rPr>
              <w:t>r forman sólidamente en el campo dominante de la disciplina</w:t>
            </w:r>
            <w:r w:rsidRPr="002B074A">
              <w:rPr>
                <w:rFonts w:ascii="Gill Sans MT" w:hAnsi="Gill Sans MT"/>
                <w:sz w:val="22"/>
                <w:szCs w:val="22"/>
              </w:rPr>
              <w:t>?</w:t>
            </w:r>
          </w:p>
        </w:tc>
        <w:tc>
          <w:tcPr>
            <w:tcW w:w="488" w:type="pct"/>
          </w:tcPr>
          <w:p w14:paraId="55226E00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24E2DA2E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4677DB" w:rsidRPr="002B074A" w14:paraId="764013E0" w14:textId="77777777" w:rsidTr="003743EA">
        <w:tc>
          <w:tcPr>
            <w:tcW w:w="2267" w:type="pct"/>
            <w:shd w:val="clear" w:color="auto" w:fill="auto"/>
          </w:tcPr>
          <w:p w14:paraId="75B98C97" w14:textId="77777777" w:rsidR="004677DB" w:rsidRPr="002B074A" w:rsidRDefault="004677DB" w:rsidP="00556770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3. </w:t>
            </w:r>
            <w:r w:rsidRPr="002B074A">
              <w:rPr>
                <w:rFonts w:ascii="Gill Sans MT" w:hAnsi="Gill Sans MT"/>
                <w:sz w:val="22"/>
                <w:szCs w:val="22"/>
              </w:rPr>
              <w:t xml:space="preserve">Las EE ubicadas en el </w:t>
            </w:r>
            <w:r w:rsidR="00556770" w:rsidRPr="00236B02">
              <w:rPr>
                <w:rFonts w:ascii="Gill Sans MT" w:hAnsi="Gill Sans MT"/>
                <w:sz w:val="22"/>
                <w:szCs w:val="22"/>
              </w:rPr>
              <w:t>Á</w:t>
            </w:r>
            <w:r w:rsidRPr="002B074A">
              <w:rPr>
                <w:rFonts w:ascii="Gill Sans MT" w:hAnsi="Gill Sans MT"/>
                <w:sz w:val="22"/>
                <w:szCs w:val="22"/>
              </w:rPr>
              <w:t xml:space="preserve">rea de </w:t>
            </w:r>
            <w:r>
              <w:rPr>
                <w:rFonts w:ascii="Gill Sans MT" w:hAnsi="Gill Sans MT"/>
                <w:sz w:val="22"/>
                <w:szCs w:val="22"/>
              </w:rPr>
              <w:t xml:space="preserve">Formación </w:t>
            </w:r>
            <w:r w:rsidR="00556770">
              <w:rPr>
                <w:rFonts w:ascii="Gill Sans MT" w:hAnsi="Gill Sans MT"/>
                <w:sz w:val="22"/>
                <w:szCs w:val="22"/>
              </w:rPr>
              <w:t>D</w:t>
            </w:r>
            <w:r w:rsidRPr="002B074A">
              <w:rPr>
                <w:rFonts w:ascii="Gill Sans MT" w:hAnsi="Gill Sans MT"/>
                <w:sz w:val="22"/>
                <w:szCs w:val="22"/>
              </w:rPr>
              <w:t>isciplina</w:t>
            </w:r>
            <w:r>
              <w:rPr>
                <w:rFonts w:ascii="Gill Sans MT" w:hAnsi="Gill Sans MT"/>
                <w:sz w:val="22"/>
                <w:szCs w:val="22"/>
              </w:rPr>
              <w:t>r ofrecen saberes relevantes para transitar al campo emergente de la disciplina</w:t>
            </w:r>
            <w:r w:rsidRPr="002B074A">
              <w:rPr>
                <w:rFonts w:ascii="Gill Sans MT" w:hAnsi="Gill Sans MT"/>
                <w:sz w:val="22"/>
                <w:szCs w:val="22"/>
              </w:rPr>
              <w:t>?</w:t>
            </w:r>
          </w:p>
        </w:tc>
        <w:tc>
          <w:tcPr>
            <w:tcW w:w="488" w:type="pct"/>
          </w:tcPr>
          <w:p w14:paraId="6A537EC7" w14:textId="77777777" w:rsidR="004677DB" w:rsidRPr="002B074A" w:rsidRDefault="004677DB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2033974C" w14:textId="77777777" w:rsidR="004677DB" w:rsidRPr="002B074A" w:rsidRDefault="004677DB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5E51A1F7" w14:textId="77777777" w:rsidTr="003743EA">
        <w:tc>
          <w:tcPr>
            <w:tcW w:w="2267" w:type="pct"/>
            <w:shd w:val="clear" w:color="auto" w:fill="auto"/>
          </w:tcPr>
          <w:p w14:paraId="13476D57" w14:textId="77777777" w:rsidR="00C619FF" w:rsidRPr="002B074A" w:rsidRDefault="004677DB" w:rsidP="003743EA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4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 xml:space="preserve">. ¿Las EE ubicadas en el </w:t>
            </w:r>
            <w:r w:rsidR="00556770" w:rsidRPr="00236B02">
              <w:rPr>
                <w:rFonts w:ascii="Gill Sans MT" w:hAnsi="Gill Sans MT"/>
                <w:sz w:val="22"/>
                <w:szCs w:val="22"/>
              </w:rPr>
              <w:t>Á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rea Terminal muestran la variedad del perfil profesionista</w:t>
            </w:r>
            <w:r>
              <w:rPr>
                <w:rFonts w:ascii="Gill Sans MT" w:hAnsi="Gill Sans MT"/>
                <w:sz w:val="22"/>
                <w:szCs w:val="22"/>
              </w:rPr>
              <w:t xml:space="preserve"> y sus desempeños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?</w:t>
            </w:r>
          </w:p>
        </w:tc>
        <w:tc>
          <w:tcPr>
            <w:tcW w:w="488" w:type="pct"/>
          </w:tcPr>
          <w:p w14:paraId="363A6AEA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7A245158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7E3A3B2D" w14:textId="77777777" w:rsidTr="003743EA">
        <w:tc>
          <w:tcPr>
            <w:tcW w:w="2267" w:type="pct"/>
            <w:shd w:val="clear" w:color="auto" w:fill="auto"/>
          </w:tcPr>
          <w:p w14:paraId="7CBF6A73" w14:textId="77777777" w:rsidR="00C619FF" w:rsidRPr="00236B02" w:rsidRDefault="004677DB" w:rsidP="00556770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 w:rsidRPr="00236B02">
              <w:rPr>
                <w:rFonts w:ascii="Gill Sans MT" w:hAnsi="Gill Sans MT"/>
                <w:sz w:val="22"/>
                <w:szCs w:val="22"/>
              </w:rPr>
              <w:t>5.</w:t>
            </w:r>
            <w:r w:rsidR="00236B02" w:rsidRPr="00236B02">
              <w:rPr>
                <w:rFonts w:ascii="Gill Sans MT" w:hAnsi="Gill Sans MT"/>
                <w:sz w:val="22"/>
                <w:szCs w:val="22"/>
              </w:rPr>
              <w:t xml:space="preserve"> ¿Los mapas corto, estándar y largo</w:t>
            </w:r>
            <w:r w:rsidR="00236B02">
              <w:rPr>
                <w:rFonts w:ascii="Gill Sans MT" w:hAnsi="Gill Sans MT"/>
                <w:sz w:val="22"/>
                <w:szCs w:val="22"/>
              </w:rPr>
              <w:t xml:space="preserve"> responden eficazmente a las trayectorias idóneas de los estudiantes </w:t>
            </w:r>
            <w:r w:rsidR="00556770">
              <w:rPr>
                <w:rFonts w:ascii="Gill Sans MT" w:hAnsi="Gill Sans MT"/>
                <w:sz w:val="22"/>
                <w:szCs w:val="22"/>
              </w:rPr>
              <w:t>en</w:t>
            </w:r>
            <w:r w:rsidR="00236B02">
              <w:rPr>
                <w:rFonts w:ascii="Gill Sans MT" w:hAnsi="Gill Sans MT"/>
                <w:sz w:val="22"/>
                <w:szCs w:val="22"/>
              </w:rPr>
              <w:t xml:space="preserve"> relación </w:t>
            </w:r>
            <w:r w:rsidR="00556770">
              <w:rPr>
                <w:rFonts w:ascii="Gill Sans MT" w:hAnsi="Gill Sans MT"/>
                <w:sz w:val="22"/>
                <w:szCs w:val="22"/>
              </w:rPr>
              <w:t>con el</w:t>
            </w:r>
            <w:r w:rsidR="00236B02">
              <w:rPr>
                <w:rFonts w:ascii="Gill Sans MT" w:hAnsi="Gill Sans MT"/>
                <w:sz w:val="22"/>
                <w:szCs w:val="22"/>
              </w:rPr>
              <w:t xml:space="preserve"> tiempo de dedicación de los estudiantes/flexibilid</w:t>
            </w:r>
            <w:r w:rsidR="0059777B">
              <w:rPr>
                <w:rFonts w:ascii="Gill Sans MT" w:hAnsi="Gill Sans MT"/>
                <w:sz w:val="22"/>
                <w:szCs w:val="22"/>
              </w:rPr>
              <w:t>ad en la organización de las EE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>?</w:t>
            </w:r>
          </w:p>
        </w:tc>
        <w:tc>
          <w:tcPr>
            <w:tcW w:w="488" w:type="pct"/>
          </w:tcPr>
          <w:p w14:paraId="5663C94B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4D2E247A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75A3CCC8" w14:textId="77777777" w:rsidTr="003743EA">
        <w:tc>
          <w:tcPr>
            <w:tcW w:w="2267" w:type="pct"/>
            <w:shd w:val="clear" w:color="auto" w:fill="auto"/>
          </w:tcPr>
          <w:p w14:paraId="1AFD2BE7" w14:textId="578F81A2" w:rsidR="00C619FF" w:rsidRPr="00236B02" w:rsidRDefault="004677DB" w:rsidP="00556770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 w:rsidRPr="00236B02">
              <w:rPr>
                <w:rFonts w:ascii="Gill Sans MT" w:hAnsi="Gill Sans MT"/>
                <w:sz w:val="22"/>
                <w:szCs w:val="22"/>
              </w:rPr>
              <w:t>6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 xml:space="preserve">. ¿La ubicación de las experiencias educativas del Área </w:t>
            </w:r>
            <w:r w:rsidR="00556770">
              <w:rPr>
                <w:rFonts w:ascii="Gill Sans MT" w:hAnsi="Gill Sans MT"/>
                <w:sz w:val="22"/>
                <w:szCs w:val="22"/>
              </w:rPr>
              <w:t>B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 xml:space="preserve">ásica </w:t>
            </w:r>
            <w:r w:rsidR="00556770">
              <w:rPr>
                <w:rFonts w:ascii="Gill Sans MT" w:hAnsi="Gill Sans MT"/>
                <w:sz w:val="22"/>
                <w:szCs w:val="22"/>
              </w:rPr>
              <w:t>G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 xml:space="preserve">eneral, Experiencia </w:t>
            </w:r>
            <w:r w:rsidR="00556770">
              <w:rPr>
                <w:rFonts w:ascii="Gill Sans MT" w:hAnsi="Gill Sans MT"/>
                <w:sz w:val="22"/>
                <w:szCs w:val="22"/>
              </w:rPr>
              <w:t>R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 xml:space="preserve">ecepcional y Servicio </w:t>
            </w:r>
            <w:r w:rsidR="00556770">
              <w:rPr>
                <w:rFonts w:ascii="Gill Sans MT" w:hAnsi="Gill Sans MT"/>
                <w:sz w:val="22"/>
                <w:szCs w:val="22"/>
              </w:rPr>
              <w:t>S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>o</w:t>
            </w:r>
            <w:r w:rsidRPr="00236B02">
              <w:rPr>
                <w:rFonts w:ascii="Gill Sans MT" w:hAnsi="Gill Sans MT"/>
                <w:sz w:val="22"/>
                <w:szCs w:val="22"/>
              </w:rPr>
              <w:t>cial considera el tiempo de dedicación del estudiante para desarrollar los saberes a la par de otras EE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>?</w:t>
            </w:r>
          </w:p>
        </w:tc>
        <w:tc>
          <w:tcPr>
            <w:tcW w:w="488" w:type="pct"/>
          </w:tcPr>
          <w:p w14:paraId="7D8A0ED0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34672FDC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718C2499" w14:textId="77777777" w:rsidTr="003743EA">
        <w:tc>
          <w:tcPr>
            <w:tcW w:w="2267" w:type="pct"/>
            <w:shd w:val="clear" w:color="auto" w:fill="auto"/>
          </w:tcPr>
          <w:p w14:paraId="27F407E6" w14:textId="77777777" w:rsidR="00C619FF" w:rsidRPr="002B074A" w:rsidRDefault="004677DB" w:rsidP="003743EA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7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. ¿Los porcentajes de dimensionamiento crediticio por área de formación se ap</w:t>
            </w:r>
            <w:r w:rsidR="0059777B">
              <w:rPr>
                <w:rFonts w:ascii="Gill Sans MT" w:hAnsi="Gill Sans MT"/>
                <w:sz w:val="22"/>
                <w:szCs w:val="22"/>
              </w:rPr>
              <w:t>egan a los lineamientos y dan cuenta de lo que se requiere desarrollar en cada área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?</w:t>
            </w:r>
          </w:p>
        </w:tc>
        <w:tc>
          <w:tcPr>
            <w:tcW w:w="488" w:type="pct"/>
          </w:tcPr>
          <w:p w14:paraId="57DFC41E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3E738A44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59F76C10" w14:textId="77777777" w:rsidTr="003743EA">
        <w:tc>
          <w:tcPr>
            <w:tcW w:w="2267" w:type="pct"/>
            <w:shd w:val="clear" w:color="auto" w:fill="auto"/>
          </w:tcPr>
          <w:p w14:paraId="2864EFE1" w14:textId="77777777" w:rsidR="00C619FF" w:rsidRPr="002B074A" w:rsidRDefault="004677DB" w:rsidP="003743EA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8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 xml:space="preserve">. ¿El total de créditos de la Licenciatura se aproxima </w:t>
            </w:r>
            <w:r w:rsidR="00C619FF" w:rsidRPr="00236B02">
              <w:rPr>
                <w:rFonts w:ascii="Gill Sans MT" w:hAnsi="Gill Sans MT"/>
                <w:sz w:val="22"/>
                <w:szCs w:val="22"/>
              </w:rPr>
              <w:t>al mínimo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 xml:space="preserve"> de créditos propuesto por el MEIF?</w:t>
            </w:r>
          </w:p>
        </w:tc>
        <w:tc>
          <w:tcPr>
            <w:tcW w:w="488" w:type="pct"/>
          </w:tcPr>
          <w:p w14:paraId="43534C9A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6DAE7CD2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5AF03979" w14:textId="77777777" w:rsidTr="003743EA">
        <w:tc>
          <w:tcPr>
            <w:tcW w:w="2267" w:type="pct"/>
            <w:shd w:val="clear" w:color="auto" w:fill="auto"/>
          </w:tcPr>
          <w:p w14:paraId="03F991AF" w14:textId="77777777" w:rsidR="00C619FF" w:rsidRPr="002B074A" w:rsidRDefault="004677DB" w:rsidP="003743EA">
            <w:pPr>
              <w:spacing w:before="60"/>
              <w:ind w:left="2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9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. ¿La proporción entre horas teóricas y horas prácticas se mantiene dentro de los rangos de 70/30 como máximo y 50/50 como mínimo?</w:t>
            </w:r>
          </w:p>
        </w:tc>
        <w:tc>
          <w:tcPr>
            <w:tcW w:w="488" w:type="pct"/>
          </w:tcPr>
          <w:p w14:paraId="1856A152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4E7789D9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7110727F" w14:textId="77777777" w:rsidTr="003743EA">
        <w:tc>
          <w:tcPr>
            <w:tcW w:w="2267" w:type="pct"/>
            <w:shd w:val="clear" w:color="auto" w:fill="auto"/>
          </w:tcPr>
          <w:p w14:paraId="4CD9C986" w14:textId="77777777" w:rsidR="00C619FF" w:rsidRPr="002B074A" w:rsidRDefault="004677DB" w:rsidP="003743EA">
            <w:pPr>
              <w:spacing w:before="6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10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. ¿El porcentaje de créditos optativos se encuentra entre 15 y 25 % del total?</w:t>
            </w:r>
          </w:p>
        </w:tc>
        <w:tc>
          <w:tcPr>
            <w:tcW w:w="488" w:type="pct"/>
          </w:tcPr>
          <w:p w14:paraId="5A14E91A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6F3F78F6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1E6E9510" w14:textId="77777777" w:rsidTr="003743EA">
        <w:tc>
          <w:tcPr>
            <w:tcW w:w="2267" w:type="pct"/>
            <w:shd w:val="clear" w:color="auto" w:fill="auto"/>
          </w:tcPr>
          <w:p w14:paraId="1F05592A" w14:textId="77777777" w:rsidR="00C619FF" w:rsidRPr="002B074A" w:rsidRDefault="004677DB" w:rsidP="00556770">
            <w:pPr>
              <w:spacing w:before="6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11. ¿La 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 xml:space="preserve">articulación horizontal y vertical del plan de estudios </w:t>
            </w:r>
            <w:r w:rsidR="00556770">
              <w:rPr>
                <w:rFonts w:ascii="Gill Sans MT" w:hAnsi="Gill Sans MT"/>
                <w:sz w:val="22"/>
                <w:szCs w:val="22"/>
              </w:rPr>
              <w:t>en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 xml:space="preserve"> relación </w:t>
            </w:r>
            <w:r w:rsidR="00556770">
              <w:rPr>
                <w:rFonts w:ascii="Gill Sans MT" w:hAnsi="Gill Sans MT"/>
                <w:sz w:val="22"/>
                <w:szCs w:val="22"/>
              </w:rPr>
              <w:t>con el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 xml:space="preserve"> perfil de egreso</w:t>
            </w:r>
            <w:r>
              <w:rPr>
                <w:rFonts w:ascii="Gill Sans MT" w:hAnsi="Gill Sans MT"/>
                <w:sz w:val="22"/>
                <w:szCs w:val="22"/>
              </w:rPr>
              <w:t xml:space="preserve"> es congruente y oportuna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?</w:t>
            </w:r>
          </w:p>
        </w:tc>
        <w:tc>
          <w:tcPr>
            <w:tcW w:w="488" w:type="pct"/>
          </w:tcPr>
          <w:p w14:paraId="2B3A70CF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7C0672C9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27F981BD" w14:textId="77777777" w:rsidTr="003743EA">
        <w:tc>
          <w:tcPr>
            <w:tcW w:w="2267" w:type="pct"/>
            <w:shd w:val="clear" w:color="auto" w:fill="auto"/>
          </w:tcPr>
          <w:p w14:paraId="13594D06" w14:textId="77777777" w:rsidR="00C619FF" w:rsidRPr="002B074A" w:rsidRDefault="004677DB" w:rsidP="003743EA">
            <w:pPr>
              <w:spacing w:before="6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12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. ¿Las e</w:t>
            </w:r>
            <w:r>
              <w:rPr>
                <w:rFonts w:ascii="Gill Sans MT" w:hAnsi="Gill Sans MT"/>
                <w:sz w:val="22"/>
                <w:szCs w:val="22"/>
              </w:rPr>
              <w:t>xperiencias educativas del Área de Formación de Elección Libre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 xml:space="preserve"> están relacionadas con diferentes perfiles profesionales?</w:t>
            </w:r>
          </w:p>
        </w:tc>
        <w:tc>
          <w:tcPr>
            <w:tcW w:w="488" w:type="pct"/>
          </w:tcPr>
          <w:p w14:paraId="63EC9A39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06E55BA5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C619FF" w:rsidRPr="002B074A" w14:paraId="458DAA41" w14:textId="77777777" w:rsidTr="003743EA">
        <w:trPr>
          <w:trHeight w:val="660"/>
        </w:trPr>
        <w:tc>
          <w:tcPr>
            <w:tcW w:w="2267" w:type="pct"/>
            <w:shd w:val="clear" w:color="auto" w:fill="auto"/>
          </w:tcPr>
          <w:p w14:paraId="29F2FD5D" w14:textId="77777777" w:rsidR="00C619FF" w:rsidRPr="002B074A" w:rsidRDefault="004677DB" w:rsidP="003743EA">
            <w:pPr>
              <w:spacing w:before="6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13</w:t>
            </w:r>
            <w:r w:rsidR="00C619FF" w:rsidRPr="002B074A">
              <w:rPr>
                <w:rFonts w:ascii="Gill Sans MT" w:hAnsi="Gill Sans MT"/>
                <w:sz w:val="22"/>
                <w:szCs w:val="22"/>
              </w:rPr>
              <w:t>. ¿Las experiencias educativas optativas permiten adquirir saberes interdisciplinares?</w:t>
            </w:r>
          </w:p>
        </w:tc>
        <w:tc>
          <w:tcPr>
            <w:tcW w:w="488" w:type="pct"/>
          </w:tcPr>
          <w:p w14:paraId="69EE9A1F" w14:textId="77777777" w:rsidR="00C619FF" w:rsidRPr="002B074A" w:rsidRDefault="00C619FF" w:rsidP="003743EA">
            <w:pPr>
              <w:rPr>
                <w:rFonts w:ascii="Gill Sans MT" w:hAnsi="Gill Sans MT"/>
                <w:bCs/>
                <w:sz w:val="22"/>
                <w:szCs w:val="22"/>
              </w:rPr>
            </w:pPr>
          </w:p>
        </w:tc>
        <w:tc>
          <w:tcPr>
            <w:tcW w:w="2245" w:type="pct"/>
          </w:tcPr>
          <w:p w14:paraId="019B8017" w14:textId="77777777" w:rsidR="00C619FF" w:rsidRPr="002B074A" w:rsidRDefault="00C619FF" w:rsidP="003743EA">
            <w:pPr>
              <w:rPr>
                <w:rFonts w:ascii="Gill Sans MT" w:hAnsi="Gill Sans MT"/>
                <w:sz w:val="22"/>
                <w:szCs w:val="22"/>
              </w:rPr>
            </w:pPr>
          </w:p>
        </w:tc>
      </w:tr>
    </w:tbl>
    <w:p w14:paraId="66C9466B" w14:textId="77777777" w:rsidR="00C619FF" w:rsidRDefault="00C619FF" w:rsidP="00693847"/>
    <w:sectPr w:rsidR="00C619F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B8FE1" w14:textId="77777777" w:rsidR="00470740" w:rsidRDefault="00470740" w:rsidP="00C619FF">
      <w:r>
        <w:separator/>
      </w:r>
    </w:p>
  </w:endnote>
  <w:endnote w:type="continuationSeparator" w:id="0">
    <w:p w14:paraId="750B9A3B" w14:textId="77777777" w:rsidR="00470740" w:rsidRDefault="00470740" w:rsidP="00C6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DEZZ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961943"/>
      <w:docPartObj>
        <w:docPartGallery w:val="Page Numbers (Bottom of Page)"/>
        <w:docPartUnique/>
      </w:docPartObj>
    </w:sdtPr>
    <w:sdtEndPr/>
    <w:sdtContent>
      <w:p w14:paraId="6746211D" w14:textId="77777777" w:rsidR="00C619FF" w:rsidRDefault="00C619F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DB0" w:rsidRPr="00EE5DB0">
          <w:rPr>
            <w:noProof/>
            <w:lang w:val="es-ES"/>
          </w:rPr>
          <w:t>1</w:t>
        </w:r>
        <w:r>
          <w:fldChar w:fldCharType="end"/>
        </w:r>
      </w:p>
    </w:sdtContent>
  </w:sdt>
  <w:p w14:paraId="08714422" w14:textId="77777777" w:rsidR="00C619FF" w:rsidRDefault="00C619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2C911" w14:textId="77777777" w:rsidR="00470740" w:rsidRDefault="00470740" w:rsidP="00C619FF">
      <w:r>
        <w:separator/>
      </w:r>
    </w:p>
  </w:footnote>
  <w:footnote w:type="continuationSeparator" w:id="0">
    <w:p w14:paraId="29AC3781" w14:textId="77777777" w:rsidR="00470740" w:rsidRDefault="00470740" w:rsidP="00C61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FF"/>
    <w:rsid w:val="001222A8"/>
    <w:rsid w:val="00140013"/>
    <w:rsid w:val="00170579"/>
    <w:rsid w:val="00236B02"/>
    <w:rsid w:val="004677DB"/>
    <w:rsid w:val="00470740"/>
    <w:rsid w:val="00556770"/>
    <w:rsid w:val="0059777B"/>
    <w:rsid w:val="005E2A45"/>
    <w:rsid w:val="00693847"/>
    <w:rsid w:val="00B0048F"/>
    <w:rsid w:val="00BC55A3"/>
    <w:rsid w:val="00C1225F"/>
    <w:rsid w:val="00C619FF"/>
    <w:rsid w:val="00D23A16"/>
    <w:rsid w:val="00EE5DB0"/>
    <w:rsid w:val="00E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6506"/>
  <w15:chartTrackingRefBased/>
  <w15:docId w15:val="{926E7334-1195-438B-9BBA-7B4AAF0C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619FF"/>
    <w:pPr>
      <w:keepNext/>
      <w:jc w:val="both"/>
      <w:outlineLvl w:val="0"/>
    </w:pPr>
    <w:rPr>
      <w:rFonts w:ascii="GDDEZZ+Arial" w:hAnsi="GDDEZZ+Arial"/>
      <w:snapToGrid w:val="0"/>
      <w:sz w:val="27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Puesto"/>
    <w:qFormat/>
    <w:rsid w:val="00C619FF"/>
    <w:pPr>
      <w:autoSpaceDE w:val="0"/>
      <w:autoSpaceDN w:val="0"/>
      <w:adjustRightInd w:val="0"/>
      <w:jc w:val="center"/>
    </w:pPr>
    <w:rPr>
      <w:b/>
      <w:color w:val="000000"/>
      <w:sz w:val="28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C619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9F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MX"/>
    </w:rPr>
  </w:style>
  <w:style w:type="character" w:customStyle="1" w:styleId="Ttulo1Car">
    <w:name w:val="Título 1 Car"/>
    <w:basedOn w:val="Fuentedeprrafopredeter"/>
    <w:link w:val="Ttulo1"/>
    <w:rsid w:val="00C619FF"/>
    <w:rPr>
      <w:rFonts w:ascii="GDDEZZ+Arial" w:eastAsia="Times New Roman" w:hAnsi="GDDEZZ+Arial" w:cs="Times New Roman"/>
      <w:snapToGrid w:val="0"/>
      <w:sz w:val="27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19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9FF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619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9FF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Juarez Maria del Rayo</dc:creator>
  <cp:keywords/>
  <dc:description/>
  <cp:lastModifiedBy>Mariela Cabrera</cp:lastModifiedBy>
  <cp:revision>2</cp:revision>
  <dcterms:created xsi:type="dcterms:W3CDTF">2022-12-21T00:53:00Z</dcterms:created>
  <dcterms:modified xsi:type="dcterms:W3CDTF">2022-12-21T00:53:00Z</dcterms:modified>
</cp:coreProperties>
</file>