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8BE9D" w14:textId="77777777" w:rsidR="004C694D" w:rsidRPr="00AB6848" w:rsidRDefault="004C694D" w:rsidP="004C694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702F9">
        <w:rPr>
          <w:rFonts w:ascii="Arial" w:hAnsi="Arial" w:cs="Arial"/>
          <w:b/>
          <w:bCs/>
          <w:sz w:val="24"/>
          <w:szCs w:val="24"/>
        </w:rPr>
        <w:t>Rúbrica para planeación didáctica</w:t>
      </w:r>
    </w:p>
    <w:tbl>
      <w:tblPr>
        <w:tblW w:w="13930" w:type="dxa"/>
        <w:tblInd w:w="-5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8"/>
        <w:gridCol w:w="3591"/>
        <w:gridCol w:w="3793"/>
        <w:gridCol w:w="3788"/>
      </w:tblGrid>
      <w:tr w:rsidR="004C694D" w:rsidRPr="005702F9" w14:paraId="71BBB5A5" w14:textId="77777777" w:rsidTr="005209A3">
        <w:trPr>
          <w:trHeight w:val="139"/>
        </w:trPr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40BC" w14:textId="77777777" w:rsidR="004C694D" w:rsidRPr="005702F9" w:rsidRDefault="004C694D" w:rsidP="006E16D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sz w:val="18"/>
                <w:szCs w:val="18"/>
                <w:lang w:eastAsia="zh-CN" w:bidi="hi-IN"/>
              </w:rPr>
            </w:pPr>
            <w:r w:rsidRPr="005702F9">
              <w:rPr>
                <w:rFonts w:ascii="Ubuntu" w:eastAsia="Economica" w:hAnsi="Ubuntu" w:cs="Economica"/>
                <w:b/>
                <w:sz w:val="18"/>
                <w:szCs w:val="18"/>
                <w:lang w:eastAsia="zh-CN" w:bidi="hi-IN"/>
              </w:rPr>
              <w:t>CATEGORÍA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2E1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sz w:val="18"/>
                <w:szCs w:val="18"/>
                <w:lang w:eastAsia="zh-CN" w:bidi="hi-IN"/>
              </w:rPr>
            </w:pPr>
            <w:r w:rsidRPr="005702F9">
              <w:rPr>
                <w:rFonts w:ascii="Ubuntu" w:eastAsia="Economica" w:hAnsi="Ubuntu" w:cs="Economica"/>
                <w:b/>
                <w:sz w:val="18"/>
                <w:szCs w:val="18"/>
                <w:lang w:eastAsia="zh-CN" w:bidi="hi-IN"/>
              </w:rPr>
              <w:t>4 EXCELENTE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287A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sz w:val="18"/>
                <w:szCs w:val="18"/>
                <w:lang w:eastAsia="zh-CN" w:bidi="hi-IN"/>
              </w:rPr>
            </w:pPr>
            <w:r w:rsidRPr="005702F9">
              <w:rPr>
                <w:rFonts w:ascii="Ubuntu" w:eastAsia="Economica" w:hAnsi="Ubuntu" w:cs="Economica"/>
                <w:b/>
                <w:sz w:val="18"/>
                <w:szCs w:val="18"/>
                <w:lang w:eastAsia="zh-CN" w:bidi="hi-IN"/>
              </w:rPr>
              <w:t>3 SATISFACTORIO</w:t>
            </w:r>
          </w:p>
        </w:tc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A6A4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sz w:val="18"/>
                <w:szCs w:val="18"/>
                <w:lang w:eastAsia="zh-CN" w:bidi="hi-IN"/>
              </w:rPr>
            </w:pPr>
            <w:r w:rsidRPr="005702F9">
              <w:rPr>
                <w:rFonts w:ascii="Ubuntu" w:eastAsia="Economica" w:hAnsi="Ubuntu" w:cs="Economica"/>
                <w:b/>
                <w:sz w:val="18"/>
                <w:szCs w:val="18"/>
                <w:lang w:eastAsia="zh-CN" w:bidi="hi-IN"/>
              </w:rPr>
              <w:t>2 MEJORAB</w:t>
            </w:r>
            <w:bookmarkStart w:id="0" w:name="_GoBack"/>
            <w:bookmarkEnd w:id="0"/>
            <w:r w:rsidRPr="005702F9">
              <w:rPr>
                <w:rFonts w:ascii="Ubuntu" w:eastAsia="Economica" w:hAnsi="Ubuntu" w:cs="Economica"/>
                <w:b/>
                <w:sz w:val="18"/>
                <w:szCs w:val="18"/>
                <w:lang w:eastAsia="zh-CN" w:bidi="hi-IN"/>
              </w:rPr>
              <w:t>LE</w:t>
            </w:r>
          </w:p>
        </w:tc>
      </w:tr>
      <w:tr w:rsidR="004C694D" w:rsidRPr="005702F9" w14:paraId="7369512B" w14:textId="77777777" w:rsidTr="005209A3">
        <w:trPr>
          <w:trHeight w:val="1190"/>
        </w:trPr>
        <w:tc>
          <w:tcPr>
            <w:tcW w:w="2758" w:type="dxa"/>
            <w:tcBorders>
              <w:top w:val="single" w:sz="8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7380" w14:textId="77777777" w:rsidR="004C694D" w:rsidRPr="005702F9" w:rsidRDefault="004C694D" w:rsidP="006E1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07" w:hanging="107"/>
              <w:jc w:val="center"/>
              <w:rPr>
                <w:b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Elementos curriculares</w:t>
            </w:r>
          </w:p>
          <w:p w14:paraId="7C3FD960" w14:textId="77777777" w:rsidR="004C694D" w:rsidRPr="005702F9" w:rsidRDefault="004C694D" w:rsidP="006E1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hanging="107"/>
              <w:jc w:val="center"/>
              <w:rPr>
                <w:rFonts w:ascii="Ubuntu" w:eastAsia="Economica" w:hAnsi="Ubuntu" w:cs="Economica"/>
                <w:b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(Propósitos, competencias, aprendizajes esperados...)</w:t>
            </w:r>
          </w:p>
        </w:tc>
        <w:tc>
          <w:tcPr>
            <w:tcW w:w="3591" w:type="dxa"/>
            <w:tcBorders>
              <w:top w:val="single" w:sz="8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3CF3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firstLine="6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 todos los elementos curriculares</w:t>
            </w:r>
            <w:r w:rsidRPr="005702F9">
              <w:rPr>
                <w:color w:val="000000"/>
                <w:sz w:val="18"/>
                <w:szCs w:val="18"/>
              </w:rPr>
              <w:t xml:space="preserve"> y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son congruentes con el grado, asignatura, nivel y modelo educativo.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0089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58"/>
                <w:tab w:val="left" w:pos="1866"/>
                <w:tab w:val="left" w:pos="2301"/>
                <w:tab w:val="left" w:pos="2768"/>
              </w:tabs>
              <w:spacing w:before="1" w:line="360" w:lineRule="auto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Integra algunos de los elementos curriculares y éstos son congruentes con la asignatura, el grado, nivel y modelo educativo.</w:t>
            </w:r>
          </w:p>
        </w:tc>
        <w:tc>
          <w:tcPr>
            <w:tcW w:w="3788" w:type="dxa"/>
            <w:tcBorders>
              <w:top w:val="single" w:sz="8" w:space="0" w:color="000000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3B78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4"/>
                <w:tab w:val="left" w:pos="1538"/>
                <w:tab w:val="left" w:pos="2336"/>
              </w:tabs>
              <w:spacing w:before="1" w:line="360" w:lineRule="auto"/>
              <w:ind w:hanging="54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integra los elementos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curriculares o éstos no son acordes al nivel, modelo educativo, ni al grado.</w:t>
            </w:r>
          </w:p>
        </w:tc>
      </w:tr>
      <w:tr w:rsidR="004C694D" w:rsidRPr="005702F9" w14:paraId="4A6C41DC" w14:textId="77777777" w:rsidTr="005209A3">
        <w:trPr>
          <w:trHeight w:val="640"/>
        </w:trPr>
        <w:tc>
          <w:tcPr>
            <w:tcW w:w="27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D203" w14:textId="77777777" w:rsidR="004C694D" w:rsidRPr="005702F9" w:rsidRDefault="004C694D" w:rsidP="006E16D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Actividades de la fase de inicio</w:t>
            </w:r>
          </w:p>
        </w:tc>
        <w:tc>
          <w:tcPr>
            <w:tcW w:w="35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8C71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actividades de inicio permiten identificar los saberes previos del estudiante para relacionar sus experiencias con los contenidos.</w:t>
            </w:r>
          </w:p>
        </w:tc>
        <w:tc>
          <w:tcPr>
            <w:tcW w:w="37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C3E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actividades de inicio permiten identificar parcialmente los saberes previos del estudiante para relacionar sus experiencias con los contenidos.</w:t>
            </w:r>
          </w:p>
        </w:tc>
        <w:tc>
          <w:tcPr>
            <w:tcW w:w="3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DB0C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actividades de inicio no permiten identificar los saberes previos del estudiante.</w:t>
            </w:r>
          </w:p>
        </w:tc>
      </w:tr>
      <w:tr w:rsidR="004C694D" w:rsidRPr="005702F9" w14:paraId="21C6D469" w14:textId="77777777" w:rsidTr="005209A3">
        <w:trPr>
          <w:trHeight w:val="640"/>
        </w:trPr>
        <w:tc>
          <w:tcPr>
            <w:tcW w:w="27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8158" w14:textId="77777777" w:rsidR="004C694D" w:rsidRPr="005702F9" w:rsidRDefault="004C694D" w:rsidP="006E16D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Actividades de la fase de desarrollo</w:t>
            </w:r>
          </w:p>
        </w:tc>
        <w:tc>
          <w:tcPr>
            <w:tcW w:w="35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E071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actividades del desarrollo permiten crear escenarios de aprendizaje y ambientes de colaboración para la construcción y reconstrucción del pensamiento a partir de la realidad.</w:t>
            </w:r>
          </w:p>
        </w:tc>
        <w:tc>
          <w:tcPr>
            <w:tcW w:w="37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0FDD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Algunas actividades del desarrollo permiten crear</w:t>
            </w:r>
            <w:r w:rsidR="006E16D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escenarios de aprendizaje y ambientes de colaboración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para la construcción y reconstrucción del pensamiento a partir de la realidad.</w:t>
            </w:r>
          </w:p>
        </w:tc>
        <w:tc>
          <w:tcPr>
            <w:tcW w:w="3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6FB2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actividades del desarrollo no permiten crear escenarios de aprendizaje ni ambientes de colaboración para la construcción y reconstrucción del pensamiento a partir de la realidad.</w:t>
            </w:r>
          </w:p>
        </w:tc>
      </w:tr>
      <w:tr w:rsidR="004C694D" w:rsidRPr="005702F9" w14:paraId="05B247CC" w14:textId="77777777" w:rsidTr="005209A3">
        <w:trPr>
          <w:trHeight w:val="640"/>
        </w:trPr>
        <w:tc>
          <w:tcPr>
            <w:tcW w:w="27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8454" w14:textId="77777777" w:rsidR="004C694D" w:rsidRPr="005702F9" w:rsidRDefault="004C694D" w:rsidP="006E16D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Actividades de la fase de cierre</w:t>
            </w:r>
          </w:p>
        </w:tc>
        <w:tc>
          <w:tcPr>
            <w:tcW w:w="35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6F98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actividades de cierre permiten que el estudiante consolide los contenidos abordados en las actividades de inicio y desarrollo.</w:t>
            </w:r>
          </w:p>
        </w:tc>
        <w:tc>
          <w:tcPr>
            <w:tcW w:w="37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F555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Algunas de las actividades de cierre permiten que el estudiante consolide contenidos abordados en las actividades de inicio y desarrollo.</w:t>
            </w:r>
          </w:p>
        </w:tc>
        <w:tc>
          <w:tcPr>
            <w:tcW w:w="3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92EB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actividades de cierre no permiten consolidar los contenidos abordados.</w:t>
            </w:r>
          </w:p>
        </w:tc>
      </w:tr>
      <w:tr w:rsidR="004C694D" w:rsidRPr="005702F9" w14:paraId="5FD535E5" w14:textId="77777777" w:rsidTr="005209A3">
        <w:trPr>
          <w:trHeight w:val="2029"/>
        </w:trPr>
        <w:tc>
          <w:tcPr>
            <w:tcW w:w="27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0B7E" w14:textId="77777777" w:rsidR="004C694D" w:rsidRPr="005702F9" w:rsidRDefault="004C694D" w:rsidP="006E1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hanging="107"/>
              <w:jc w:val="center"/>
              <w:rPr>
                <w:b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lastRenderedPageBreak/>
              <w:t>Características generales</w:t>
            </w:r>
          </w:p>
          <w:p w14:paraId="75BAA4F5" w14:textId="77777777" w:rsidR="004C694D" w:rsidRPr="005702F9" w:rsidRDefault="004C694D" w:rsidP="006E1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360" w:lineRule="auto"/>
              <w:ind w:left="107" w:hanging="107"/>
              <w:jc w:val="center"/>
              <w:rPr>
                <w:b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de las actividades</w:t>
            </w:r>
          </w:p>
          <w:p w14:paraId="14573016" w14:textId="77777777" w:rsidR="004C694D" w:rsidRPr="005702F9" w:rsidRDefault="004C694D" w:rsidP="006E1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07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FDC70D0" w14:textId="77777777" w:rsidR="004C694D" w:rsidRPr="005702F9" w:rsidRDefault="004C694D" w:rsidP="006E16D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14:paraId="76E0DDEF" w14:textId="77777777" w:rsidR="004C694D" w:rsidRPr="005702F9" w:rsidRDefault="004C694D" w:rsidP="006E16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BAF1C20" w14:textId="77777777" w:rsidR="004C694D" w:rsidRPr="005702F9" w:rsidRDefault="004C694D" w:rsidP="006E16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7D6CCAA" w14:textId="77777777" w:rsidR="004C694D" w:rsidRPr="005702F9" w:rsidRDefault="004C694D" w:rsidP="006E16DA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14:paraId="06769C2F" w14:textId="77777777" w:rsidR="004C694D" w:rsidRPr="005702F9" w:rsidRDefault="004C694D" w:rsidP="006E16D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color w:val="434343"/>
                <w:sz w:val="18"/>
                <w:szCs w:val="18"/>
                <w:lang w:eastAsia="zh-CN" w:bidi="hi-IN"/>
              </w:rPr>
            </w:pPr>
          </w:p>
        </w:tc>
        <w:tc>
          <w:tcPr>
            <w:tcW w:w="35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6575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 w:hanging="107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actividades toman en consideración:</w:t>
            </w:r>
          </w:p>
          <w:p w14:paraId="670AFDB0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 w:hanging="107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 los estilos y ritmos de aprendizaje,</w:t>
            </w:r>
          </w:p>
          <w:p w14:paraId="2BB32E04" w14:textId="77777777" w:rsidR="006E16DA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 w:hanging="10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</w:t>
            </w:r>
            <w:r w:rsidR="006E16D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el enfoque didáctico, </w:t>
            </w:r>
          </w:p>
          <w:p w14:paraId="13F92A92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 w:hanging="10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</w:t>
            </w:r>
            <w:r w:rsidR="006E16D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el trabajo colaborativo y</w:t>
            </w:r>
          </w:p>
          <w:p w14:paraId="58E2D1B8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 w:hanging="107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 se basan en situaciones de la vida cotidiana de los alumnos.</w:t>
            </w:r>
          </w:p>
          <w:p w14:paraId="10945FE8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5"/>
                <w:tab w:val="left" w:pos="1801"/>
                <w:tab w:val="left" w:pos="3243"/>
                <w:tab w:val="left" w:pos="3559"/>
              </w:tabs>
              <w:spacing w:line="360" w:lineRule="auto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</w:p>
          <w:p w14:paraId="272FF584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</w:p>
        </w:tc>
        <w:tc>
          <w:tcPr>
            <w:tcW w:w="37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7F33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hanging="107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Algunas de las actividades toman en</w:t>
            </w:r>
          </w:p>
          <w:p w14:paraId="401EB4D9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360" w:lineRule="auto"/>
              <w:ind w:left="107" w:hanging="107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consideración:</w:t>
            </w:r>
          </w:p>
          <w:p w14:paraId="750CC344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hanging="107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 los estilos y ritmos de aprendizaje,</w:t>
            </w:r>
          </w:p>
          <w:p w14:paraId="05AC1120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hanging="107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</w:t>
            </w:r>
            <w:r w:rsidR="006E16D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el enfoque didáctico,</w:t>
            </w:r>
          </w:p>
          <w:p w14:paraId="3519B132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hanging="107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</w:t>
            </w:r>
            <w:r w:rsidR="006E16D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promueven la investigación,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la autonomía, el trabajo colaborativo</w:t>
            </w:r>
            <w:r w:rsidR="006E16D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,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y</w:t>
            </w:r>
          </w:p>
          <w:p w14:paraId="35AFAA53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hanging="107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- se basan en situaciones de la vida cotidiana de los alumnos.</w:t>
            </w:r>
          </w:p>
        </w:tc>
        <w:tc>
          <w:tcPr>
            <w:tcW w:w="3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FFDB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actividades no toman en consideración los estilos y ritmos de aprendizaje, no promueven la investigación, la autonomía, ni el trabajo colaborativo y no se basan en situaciones de la vida cotidiana de los alumnos.</w:t>
            </w:r>
          </w:p>
        </w:tc>
      </w:tr>
      <w:tr w:rsidR="004C694D" w:rsidRPr="005702F9" w14:paraId="701CFB07" w14:textId="77777777" w:rsidTr="005209A3">
        <w:trPr>
          <w:trHeight w:val="640"/>
        </w:trPr>
        <w:tc>
          <w:tcPr>
            <w:tcW w:w="27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7B05" w14:textId="77777777" w:rsidR="004C694D" w:rsidRPr="005702F9" w:rsidRDefault="004C694D" w:rsidP="006E16D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Adecuaciones curriculares</w:t>
            </w:r>
          </w:p>
        </w:tc>
        <w:tc>
          <w:tcPr>
            <w:tcW w:w="35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26B7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 incluyen con claridad adecuaciones curriculares para los alumnos que lo requieren.</w:t>
            </w:r>
          </w:p>
        </w:tc>
        <w:tc>
          <w:tcPr>
            <w:tcW w:w="37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014B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 incluyen de manera parcial algunas adecuaciones curriculares.</w:t>
            </w:r>
          </w:p>
        </w:tc>
        <w:tc>
          <w:tcPr>
            <w:tcW w:w="3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404F" w14:textId="77777777" w:rsidR="004C694D" w:rsidRPr="005702F9" w:rsidRDefault="006E16DA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No se </w:t>
            </w:r>
            <w:r w:rsidR="004C694D"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incluyen adecuaciones curriculares.</w:t>
            </w:r>
          </w:p>
        </w:tc>
      </w:tr>
      <w:tr w:rsidR="004C694D" w:rsidRPr="005702F9" w14:paraId="0F1D3413" w14:textId="77777777" w:rsidTr="005209A3">
        <w:trPr>
          <w:trHeight w:val="640"/>
        </w:trPr>
        <w:tc>
          <w:tcPr>
            <w:tcW w:w="27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1DB3" w14:textId="77777777" w:rsidR="004C694D" w:rsidRPr="005702F9" w:rsidRDefault="004C694D" w:rsidP="006E16D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Ubuntu" w:eastAsia="Economica" w:hAnsi="Ubuntu" w:cs="Economica"/>
                <w:b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Estrategias didácticas</w:t>
            </w:r>
          </w:p>
        </w:tc>
        <w:tc>
          <w:tcPr>
            <w:tcW w:w="35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3412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estrategias didácticas empleadas promueven la movilización de saberes en los alumnos.</w:t>
            </w:r>
          </w:p>
        </w:tc>
        <w:tc>
          <w:tcPr>
            <w:tcW w:w="37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5A6D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Algunas de las estrategias didácticas empleadas promueven parcialmente la movilización de saberes en los alumnos.</w:t>
            </w:r>
          </w:p>
        </w:tc>
        <w:tc>
          <w:tcPr>
            <w:tcW w:w="3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D0CE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Ubuntu" w:eastAsia="Cuprum" w:hAnsi="Ubuntu" w:cs="Cuprum"/>
                <w:color w:val="434343"/>
                <w:sz w:val="18"/>
                <w:szCs w:val="18"/>
                <w:lang w:eastAsia="zh-CN" w:bidi="hi-IN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estrategias didácticas empleadas no promueven la movilización de saberes en los alumnos.</w:t>
            </w:r>
          </w:p>
        </w:tc>
      </w:tr>
      <w:tr w:rsidR="004C694D" w:rsidRPr="005702F9" w14:paraId="46231D9F" w14:textId="77777777" w:rsidTr="005209A3">
        <w:trPr>
          <w:trHeight w:val="1289"/>
        </w:trPr>
        <w:tc>
          <w:tcPr>
            <w:tcW w:w="27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6A15" w14:textId="77777777" w:rsidR="004C694D" w:rsidRPr="005702F9" w:rsidRDefault="004C694D" w:rsidP="006E1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07" w:hanging="107"/>
              <w:jc w:val="center"/>
              <w:rPr>
                <w:b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Recursos didácticos</w:t>
            </w:r>
            <w:r w:rsidRPr="005702F9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6E16DA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(t</w:t>
            </w: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iempos, espacios y materiales disponibles en</w:t>
            </w:r>
            <w:r w:rsidRPr="005702F9">
              <w:rPr>
                <w:b/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el contexto)</w:t>
            </w:r>
          </w:p>
        </w:tc>
        <w:tc>
          <w:tcPr>
            <w:tcW w:w="35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95C5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hanging="1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 emplean p</w:t>
            </w:r>
            <w:r w:rsidR="006E16D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ertinentemente y se señalan con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claridad los tiempos, los espacios y los materiales a utilizar.</w:t>
            </w:r>
          </w:p>
        </w:tc>
        <w:tc>
          <w:tcPr>
            <w:tcW w:w="37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A75D" w14:textId="77777777" w:rsidR="004C694D" w:rsidRPr="006E16DA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3"/>
              </w:tabs>
              <w:spacing w:before="1" w:line="360" w:lineRule="auto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   emplean   y   se   señalan algunos</w:t>
            </w:r>
            <w:r w:rsidR="006E16DA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materiales, espacios y tiempos a utilizar.</w:t>
            </w:r>
          </w:p>
        </w:tc>
        <w:tc>
          <w:tcPr>
            <w:tcW w:w="3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A447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hanging="4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No se emplean ni se señalan los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="006E16D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tiempos,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espacios o materiales que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 van a utilizar.</w:t>
            </w:r>
          </w:p>
        </w:tc>
      </w:tr>
      <w:tr w:rsidR="004C694D" w:rsidRPr="005702F9" w14:paraId="6ACC1102" w14:textId="77777777" w:rsidTr="005209A3">
        <w:trPr>
          <w:trHeight w:val="640"/>
        </w:trPr>
        <w:tc>
          <w:tcPr>
            <w:tcW w:w="27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30D5" w14:textId="77777777" w:rsidR="004C694D" w:rsidRPr="005702F9" w:rsidRDefault="004C694D" w:rsidP="006E16D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Organización del grupo</w:t>
            </w:r>
          </w:p>
        </w:tc>
        <w:tc>
          <w:tcPr>
            <w:tcW w:w="35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2D94" w14:textId="6ED7465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Se describe claramente la manera en que </w:t>
            </w:r>
            <w:r w:rsidR="005E044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se organizarán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los alumnos para realizar las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>actividades propuestas</w:t>
            </w:r>
            <w:r w:rsidR="005E044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37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4435" w14:textId="53B276FC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Se describe parcialmente la manera en que se organizarán los alumnos para realizar las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>actividades propuestas</w:t>
            </w:r>
            <w:r w:rsidR="005E044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3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7CFE" w14:textId="008B734C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 xml:space="preserve">No se describe la manera en que se organizarán los alumnos para realizar las actividades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lastRenderedPageBreak/>
              <w:t>propuestas</w:t>
            </w:r>
            <w:r w:rsidR="005E044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.</w:t>
            </w:r>
          </w:p>
        </w:tc>
      </w:tr>
      <w:tr w:rsidR="004C694D" w:rsidRPr="005702F9" w14:paraId="4C801316" w14:textId="77777777" w:rsidTr="005209A3">
        <w:trPr>
          <w:trHeight w:val="640"/>
        </w:trPr>
        <w:tc>
          <w:tcPr>
            <w:tcW w:w="27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79C8" w14:textId="77777777" w:rsidR="004C694D" w:rsidRPr="005702F9" w:rsidRDefault="004C694D" w:rsidP="006E1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hanging="107"/>
              <w:jc w:val="center"/>
              <w:rPr>
                <w:b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lastRenderedPageBreak/>
              <w:t>Estrategia de evaluación</w:t>
            </w:r>
          </w:p>
          <w:p w14:paraId="1A0DB178" w14:textId="77777777" w:rsidR="004C694D" w:rsidRPr="005702F9" w:rsidRDefault="004C694D" w:rsidP="006E16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 w:hanging="107"/>
              <w:jc w:val="center"/>
              <w:rPr>
                <w:b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(Acciones, técnicas e</w:t>
            </w:r>
          </w:p>
          <w:p w14:paraId="1A5E0AD5" w14:textId="77777777" w:rsidR="004C694D" w:rsidRPr="005702F9" w:rsidRDefault="004C694D" w:rsidP="006E16D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instrumentos)</w:t>
            </w:r>
          </w:p>
        </w:tc>
        <w:tc>
          <w:tcPr>
            <w:tcW w:w="35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56BC" w14:textId="3598D86A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1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acciones, técnicas e instrumentos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="005E044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de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evaluación empleados permiten identificar el nivel del logro de los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aprendizajes.</w:t>
            </w:r>
          </w:p>
        </w:tc>
        <w:tc>
          <w:tcPr>
            <w:tcW w:w="37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3D78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acciones, técnicas e instrumentos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 evaluación empleados contribuyen a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identificar parcialmente el nivel del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logro de los aprendizajes.</w:t>
            </w:r>
          </w:p>
        </w:tc>
        <w:tc>
          <w:tcPr>
            <w:tcW w:w="3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EFE5" w14:textId="77777777" w:rsidR="004C694D" w:rsidRPr="005702F9" w:rsidRDefault="004C694D" w:rsidP="00541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8"/>
                <w:tab w:val="left" w:pos="2033"/>
                <w:tab w:val="left" w:pos="3176"/>
              </w:tabs>
              <w:spacing w:line="360" w:lineRule="auto"/>
              <w:ind w:hanging="4"/>
              <w:rPr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Las acciones, técnicas e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instrumentos de evaluación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empleados no están correctamente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diseñados ni contribuyen a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identificar el nivel del logro de los</w:t>
            </w:r>
            <w:r w:rsidRPr="005702F9">
              <w:rPr>
                <w:color w:val="000000"/>
                <w:sz w:val="18"/>
                <w:szCs w:val="18"/>
              </w:rPr>
              <w:t xml:space="preserve">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aprendizajes.</w:t>
            </w:r>
          </w:p>
        </w:tc>
      </w:tr>
      <w:tr w:rsidR="004C694D" w:rsidRPr="005702F9" w14:paraId="5817731F" w14:textId="77777777" w:rsidTr="005209A3">
        <w:trPr>
          <w:trHeight w:val="640"/>
        </w:trPr>
        <w:tc>
          <w:tcPr>
            <w:tcW w:w="27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063C" w14:textId="77777777" w:rsidR="004C694D" w:rsidRPr="005702F9" w:rsidRDefault="004C694D" w:rsidP="006E16DA">
            <w:pPr>
              <w:widowControl w:val="0"/>
              <w:suppressAutoHyphens/>
              <w:autoSpaceDN w:val="0"/>
              <w:spacing w:after="0" w:line="360" w:lineRule="auto"/>
              <w:jc w:val="center"/>
              <w:textAlignment w:val="baseline"/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Productos</w:t>
            </w:r>
          </w:p>
        </w:tc>
        <w:tc>
          <w:tcPr>
            <w:tcW w:w="359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246F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5702F9">
              <w:rPr>
                <w:color w:val="000000"/>
                <w:sz w:val="18"/>
                <w:szCs w:val="18"/>
              </w:rPr>
              <w:t>Los productos para desarrollar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promueven y evidencian el logro </w:t>
            </w:r>
            <w:r w:rsidRPr="005702F9">
              <w:rPr>
                <w:color w:val="000000"/>
                <w:sz w:val="18"/>
                <w:szCs w:val="18"/>
              </w:rPr>
              <w:t>de los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aprendizajes esperados.</w:t>
            </w:r>
          </w:p>
        </w:tc>
        <w:tc>
          <w:tcPr>
            <w:tcW w:w="379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7ABC" w14:textId="43B33222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Los productos </w:t>
            </w:r>
            <w:r w:rsidR="005E0446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para 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desarrollar promueven parcialmente el logro de los aprendizajes esperados.</w:t>
            </w:r>
          </w:p>
        </w:tc>
        <w:tc>
          <w:tcPr>
            <w:tcW w:w="378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51EA" w14:textId="77777777" w:rsidR="004C694D" w:rsidRPr="005702F9" w:rsidRDefault="004C694D" w:rsidP="005418EA">
            <w:pPr>
              <w:widowControl w:val="0"/>
              <w:suppressAutoHyphens/>
              <w:autoSpaceDN w:val="0"/>
              <w:spacing w:after="0" w:line="360" w:lineRule="auto"/>
              <w:textAlignment w:val="baseline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5702F9">
              <w:rPr>
                <w:color w:val="000000"/>
                <w:sz w:val="18"/>
                <w:szCs w:val="18"/>
              </w:rPr>
              <w:t>Los productos para desarrollar no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promueven el logro de los aprendi</w:t>
            </w:r>
            <w:r w:rsidRPr="005702F9">
              <w:rPr>
                <w:color w:val="000000"/>
                <w:sz w:val="18"/>
                <w:szCs w:val="18"/>
              </w:rPr>
              <w:t>z</w:t>
            </w:r>
            <w:r w:rsidRPr="005702F9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ajes esperados.</w:t>
            </w:r>
          </w:p>
        </w:tc>
      </w:tr>
    </w:tbl>
    <w:p w14:paraId="16A8426F" w14:textId="77777777" w:rsidR="004C694D" w:rsidRPr="00BB6BD8" w:rsidRDefault="004C694D" w:rsidP="004C694D">
      <w:pPr>
        <w:spacing w:line="360" w:lineRule="auto"/>
        <w:rPr>
          <w:rFonts w:ascii="Arial Narrow" w:hAnsi="Arial Narrow"/>
          <w:sz w:val="24"/>
          <w:szCs w:val="24"/>
        </w:rPr>
      </w:pPr>
    </w:p>
    <w:p w14:paraId="50094B74" w14:textId="77777777" w:rsidR="004C694D" w:rsidRPr="00C75436" w:rsidRDefault="004C694D" w:rsidP="004C694D">
      <w:pPr>
        <w:jc w:val="both"/>
        <w:rPr>
          <w:rFonts w:ascii="Arial Narrow" w:hAnsi="Arial Narrow"/>
          <w:sz w:val="16"/>
          <w:szCs w:val="16"/>
        </w:rPr>
      </w:pPr>
    </w:p>
    <w:p w14:paraId="0FA084A6" w14:textId="77777777" w:rsidR="00A57CAC" w:rsidRDefault="00A57CAC"/>
    <w:sectPr w:rsidR="00A57CAC" w:rsidSect="00BB6BD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Economica">
    <w:altName w:val="Calibri"/>
    <w:charset w:val="00"/>
    <w:family w:val="auto"/>
    <w:pitch w:val="variable"/>
  </w:font>
  <w:font w:name="Cuprum">
    <w:altName w:val="Calibri"/>
    <w:charset w:val="00"/>
    <w:family w:val="auto"/>
    <w:pitch w:val="variable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94D"/>
    <w:rsid w:val="004C694D"/>
    <w:rsid w:val="005418EA"/>
    <w:rsid w:val="005E0446"/>
    <w:rsid w:val="006E16DA"/>
    <w:rsid w:val="00A5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0C6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94D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94D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707</Words>
  <Characters>3892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Garcia Arlet Yushely</dc:creator>
  <cp:keywords/>
  <dc:description/>
  <cp:lastModifiedBy>Ali cia</cp:lastModifiedBy>
  <cp:revision>4</cp:revision>
  <dcterms:created xsi:type="dcterms:W3CDTF">2023-06-22T20:12:00Z</dcterms:created>
  <dcterms:modified xsi:type="dcterms:W3CDTF">2023-08-17T17:28:00Z</dcterms:modified>
</cp:coreProperties>
</file>