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YaHei" w:hAnsi="Microsoft YaHei" w:eastAsia="Microsoft YaHei"/>
          <w:color w:val="000000"/>
        </w:rPr>
        <w:t xml:space="preserve">AdaJEPA v6a GD 六视觉域持续学习实验报告</w:t>
      </w:r>
    </w:p>
    <w:p>
      <w:pPr>
        <w:pStyle w:val="Subtitle"/>
        <w:spacing w:after="100"/>
      </w:pPr>
      <w:r>
        <w:rPr>
          <w:rFonts w:ascii="Microsoft YaHei" w:hAnsi="Microsoft YaHei" w:eastAsia="Microsoft YaHei"/>
          <w:color w:val="000000"/>
        </w:rPr>
        <w:t xml:space="preserve">实验日期 2026 年 10 月 20 日至 22 日    服务器 codex-131    统计截止 2026 年 10 月 22 日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 xml:space="preserve">三个种子合计，v6a 成功率为 67.56%（3040/4500），基线为 58.33%（2625/4500），提高 9.22 个百分点。第 5 轮 v6a 达到 73.67%；两组全部 9000 回合已完成。</w:t>
      </w:r>
    </w:p>
    <w:p>
      <w:pPr>
        <w:pStyle w:val="Heading1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1 实验设置与关键参数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 xml:space="preserve">比较 v6a（cls6a_free）与 AdaJEPA 基线（w0）。按模糊（2.0）、椒盐噪声（0.01）、变暗（0.9）、红色推杆、红色物体、红色目标轮换，均为 T 形物体。每域 50 回合，连续 5 轮；种子 100、200、300 各自运行 1500 回合。v6a 跨域跨轮保留领域库，各种子从空库开始；基线每回合重置模型。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9"/>
        <w:gridCol w:w="8135"/>
      </w:tblGrid>
      <w:tr>
        <w:trPr>
          <w:cantSplit/>
          <w:tblHeader/>
        </w:trPr>
        <w:tc>
          <w:tcPr>
            <w:tcW w:type="dxa" w:w="172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项目</w:t>
            </w:r>
          </w:p>
        </w:tc>
        <w:tc>
          <w:tcPr>
            <w:tcW w:type="dxa" w:w="813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实际设置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权重</w:t>
            </w:r>
          </w:p>
        </w:tc>
        <w:tc>
          <w:tcPr>
            <w:tcW w:type="dxa" w:w="81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pushobj_T16k_bias_e3 / model_latest.pth；epoch=3；编码器 SmallResNetGeM。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目标与随机种子</w:t>
            </w:r>
          </w:p>
        </w:tc>
        <w:tc>
          <w:tcPr>
            <w:tcW w:type="dxa" w:w="81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目标选择 seed=0；规划 seed=100/200/300。同一组 50 个目标及顺序在所有种子、方法和轮次复用；goal_source=segments。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椒盐噪声配对</w:t>
            </w:r>
          </w:p>
        </w:tc>
        <w:tc>
          <w:tcPr>
            <w:tcW w:type="dxa" w:w="81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paired-snp-v1，主种子 20261019；按目标序号、参考/在线角色、物理帧编号固定，跨种子、方法和轮次一致。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MPC 长度与上限</w:t>
            </w:r>
          </w:p>
        </w:tc>
        <w:tc>
          <w:tcPr>
            <w:tcW w:type="dxa" w:w="81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max_iter=30；goal_H=horizon=25；n_taken_actions=5 环境步，frameskip=5；规划 5 个模型步、每次执行 1 个；reuse_actions=true。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动作优化</w:t>
            </w:r>
          </w:p>
        </w:tc>
        <w:tc>
          <w:tcPr>
            <w:tcW w:type="dxa" w:w="81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Adam，lr=0.1，100 步，余弦退火至 0；零动作初始化、action_noise=0；FP32 CUDA Graph。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规划目标</w:t>
            </w:r>
          </w:p>
        </w:tc>
        <w:tc>
          <w:tcPr>
            <w:tcW w:type="dxa" w:w="81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mode=staged，alpha=1，base=2；初始观测 1 帧；各视觉扰动单独施加。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快速适应</w:t>
            </w:r>
          </w:p>
        </w:tc>
        <w:tc>
          <w:tcPr>
            <w:tcW w:type="dxa" w:w="81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每次重规划 1 步 Adam；预测器 lr=5e-4、编码器 lr=1e-5；仅预测器末层与编码器投影头，回放 recent5。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领域慢学习</w:t>
            </w:r>
          </w:p>
        </w:tc>
        <w:tc>
          <w:tcPr>
            <w:tcW w:type="dxa" w:w="81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完整预测器；Adam lr=1e-4，每次写入 15 步，batch=8；min_n=3，初建按纳入数补训；编码器特征固定。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路由与暂存</w:t>
            </w:r>
          </w:p>
        </w:tc>
        <w:tc>
          <w:tcPr>
            <w:tcW w:type="dxa" w:w="81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write=delta，fp_unit=true，tau=0.10，reroute=3；pending_m=3，tau_new=0.05，pending_max=40；join_ratio=0。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熟悉度门控</w:t>
            </w:r>
          </w:p>
        </w:tc>
        <w:tc>
          <w:tcPr>
            <w:tcW w:type="dxa" w:w="81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familiar_thr=0.0146（用户指定，未重新标定）；familiar_read=true。熟悉时仅选原模型，回合末熟悉则不写入；仍快速适应。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成熟与写入门</w:t>
            </w:r>
          </w:p>
        </w:tc>
        <w:tc>
          <w:tcPr>
            <w:tcW w:type="dxa" w:w="81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mature_k=3，最近 3 条验证误差比算术均值 ≤0.9；reject_ratio=1.2；验证为 5 步开环预测；learner_win=false。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领域合并</w:t>
            </w:r>
          </w:p>
        </w:tc>
        <w:tc>
          <w:tcPr>
            <w:tcW w:type="dxa" w:w="81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merge_k=2，merge_eps=0.5；双向验证比（相对原模型）的几何均值 ≤1，且 ≤各自本域比的 1.5 倍；合并回放并重训。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碎片吸收</w:t>
            </w:r>
          </w:p>
        </w:tc>
        <w:tc>
          <w:tcPr>
            <w:tcW w:type="dxa" w:w="81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absorb_ratio=0.8，absorb_every=25，absorb_frag=6；未成熟且纳入数&lt;6、验证数&lt;3 的碎片可被成熟领域吸收；不吸收暂存池。</w:t>
            </w:r>
          </w:p>
        </w:tc>
      </w:tr>
      <w:tr>
        <w:trPr>
          <w:cantSplit/>
        </w:trPr>
        <w:tc>
          <w:tcPr>
            <w:tcW w:type="dxa" w:w="17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诊断与保存</w:t>
            </w:r>
          </w:p>
        </w:tc>
        <w:tc>
          <w:tcPr>
            <w:tcW w:type="dxa" w:w="81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memory_size=30，save_frames=true，save_deltas=false；保存逐回合日志、最终状态和结果。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成功判据：推杆与物体位置合并 L2 误差 &lt;20，且物体最短角差 &lt;π/9（20°）。环境沿用 v4：Python 3.10.20、PyTorch 2.10.0+cu128、NumPy 1.26.4；服务器 4 张 RTX 4090，任务分批并行。</w:t>
      </w:r>
    </w:p>
    <w:p>
      <w:pPr>
        <w:pStyle w:val="Heading1"/>
        <w:spacing w:after="100"/>
        <w:pageBreakBefore/>
        <w:keepNext/>
      </w:pPr>
      <w:r>
        <w:rPr>
          <w:rFonts w:ascii="Microsoft YaHei" w:hAnsi="Microsoft YaHei" w:eastAsia="Microsoft YaHei"/>
          <w:color w:val="000000"/>
        </w:rPr>
        <w:t xml:space="preserve">2 成功率与规划表现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下列单元格均为 v6a / 基线，单位 %。每域每轮 50 回合，整轮 300 回合；单域成功回合数等于表中百分数除以 2。</w:t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689"/>
        <w:gridCol w:w="1689"/>
        <w:gridCol w:w="1689"/>
        <w:gridCol w:w="1689"/>
        <w:gridCol w:w="1689"/>
      </w:tblGrid>
      <w:tr>
        <w:trPr>
          <w:cantSplit/>
          <w:tblHeader/>
        </w:trPr>
        <w:tc>
          <w:tcPr>
            <w:tcW w:type="dxa" w:w="141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视觉域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1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2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3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4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5 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模糊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88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88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88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92 / 88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94 / 88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椒盐噪声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90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变暗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78 / 82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86 / 82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80 / 82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84 / 82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82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红色推杆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48 / 46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52 / 46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58 / 46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70 / 46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74 / 46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红色物体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 / 10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24 / 10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42 / 10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26 / 10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40 / 10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红色目标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46 / 30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58 / 30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70 / 30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68 / 30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72 / 30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整轮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60.00 / 57.67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66.33 / 57.67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71.67 / 57.67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71.67 / 57.67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76.00 / 57.67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689"/>
        <w:gridCol w:w="1689"/>
        <w:gridCol w:w="1689"/>
        <w:gridCol w:w="1689"/>
        <w:gridCol w:w="1689"/>
      </w:tblGrid>
      <w:tr>
        <w:trPr>
          <w:cantSplit/>
          <w:tblHeader/>
        </w:trPr>
        <w:tc>
          <w:tcPr>
            <w:tcW w:type="dxa" w:w="141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视觉域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1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2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3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4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5 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模糊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90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椒盐噪声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88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88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88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88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84 / 88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变暗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84 / 84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78 / 84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84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82 / 84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84 / 84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红色推杆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42 / 44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54 / 44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54 / 44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54 / 44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64 / 44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红色物体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12 / 8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24 / 8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36 / 8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34 / 8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46 / 8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红色目标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32 / 30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50 / 30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66 / 30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66 / 30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72 / 30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整轮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58.00 / 57.33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64.33 / 57.33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70.33 / 57.33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68.67 / 57.33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73.33 / 57.33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300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689"/>
        <w:gridCol w:w="1689"/>
        <w:gridCol w:w="1689"/>
        <w:gridCol w:w="1689"/>
        <w:gridCol w:w="1689"/>
      </w:tblGrid>
      <w:tr>
        <w:trPr>
          <w:cantSplit/>
          <w:tblHeader/>
        </w:trPr>
        <w:tc>
          <w:tcPr>
            <w:tcW w:type="dxa" w:w="141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视觉域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1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2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3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4 轮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第 5 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模糊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92 / 92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92 / 92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92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88 / 92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86 / 92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椒盐噪声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92 / 90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 / 90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92 / 90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变暗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82 / 82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84 / 82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86 / 82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80 / 82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86 / 82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红色推杆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48 / 46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50 / 46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64 / 46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54 / 46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64 / 46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红色物体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 / 14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20 / 14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32 / 14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40 / 14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42 / 14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红色目标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34 / 36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52 / 36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48 / 36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64 / 36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60 / 36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整轮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59.00 / 60.00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65.00 / 60.00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68.00 / 60.00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69.33 / 60.00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71.67 / 60.00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各轮均实际执行。基线不保留跨回合学习权重；目标、随机序列及噪声配对固定，因此同一种子五轮的基线结果一致。</w:t>
      </w:r>
    </w:p>
    <w:p>
      <w:pPr>
        <w:pStyle w:val="Heading1"/>
        <w:spacing w:after="100"/>
        <w:pageBreakBefore/>
        <w:keepNext/>
      </w:pPr>
      <w:r>
        <w:rPr>
          <w:rFonts w:ascii="Microsoft YaHei" w:hAnsi="Microsoft YaHei" w:eastAsia="Microsoft YaHei"/>
          <w:color w:val="000000"/>
        </w:rPr>
        <w:t xml:space="preserve">2 成功率与规划表现 续</w:t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三个种子的总体对比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587"/>
        <w:gridCol w:w="2268"/>
        <w:gridCol w:w="2268"/>
        <w:gridCol w:w="3061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种子</w:t>
            </w:r>
          </w:p>
        </w:tc>
        <w:tc>
          <w:tcPr>
            <w:tcW w:type="dxa" w:w="158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成功数</w:t>
              <w:br/>
              <w:t xml:space="preserve">v6a / 基线</w:t>
            </w:r>
          </w:p>
        </w:tc>
        <w:tc>
          <w:tcPr>
            <w:tcW w:type="dxa" w:w="2268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v6a 成功率</w:t>
            </w:r>
          </w:p>
        </w:tc>
        <w:tc>
          <w:tcPr>
            <w:tcW w:type="dxa" w:w="2268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基线成功率</w:t>
            </w:r>
          </w:p>
        </w:tc>
        <w:tc>
          <w:tcPr>
            <w:tcW w:type="dxa" w:w="3061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提高百分点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100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1037 / 865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69.13%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57.67%</w:t>
            </w:r>
          </w:p>
        </w:tc>
        <w:tc>
          <w:tcPr>
            <w:tcW w:type="dxa" w:w="306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+11.47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200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1004 / 860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66.93%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57.33%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+9.60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300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999 / 900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66.60%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60.00%</w:t>
            </w:r>
          </w:p>
        </w:tc>
        <w:tc>
          <w:tcPr>
            <w:tcW w:type="dxa" w:w="306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+6.60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合计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3040 / 2625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67.56%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58.33%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+9.22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逐轮规划表现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每轮汇总三个种子，各方法 900 回合。表内均按 v6a / 基线列示。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587"/>
        <w:gridCol w:w="2268"/>
        <w:gridCol w:w="2268"/>
        <w:gridCol w:w="3061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轮次</w:t>
            </w:r>
          </w:p>
        </w:tc>
        <w:tc>
          <w:tcPr>
            <w:tcW w:type="dxa" w:w="158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成功回合数</w:t>
            </w:r>
          </w:p>
        </w:tc>
        <w:tc>
          <w:tcPr>
            <w:tcW w:type="dxa" w:w="2268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平均 MPC 次数</w:t>
            </w:r>
          </w:p>
        </w:tc>
        <w:tc>
          <w:tcPr>
            <w:tcW w:type="dxa" w:w="2268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最终状态距离</w:t>
            </w:r>
          </w:p>
        </w:tc>
        <w:tc>
          <w:tcPr>
            <w:tcW w:type="dxa" w:w="3061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平均预测损失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531 / 525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17.62 / 17.71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153.96 / 199.83</w:t>
            </w:r>
          </w:p>
        </w:tc>
        <w:tc>
          <w:tcPr>
            <w:tcW w:type="dxa" w:w="306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0.04517 / 0.06765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587 / 525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15.94 / 17.71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103.69 / 199.83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0.02720 / 0.06765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630 / 525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14.92 / 17.71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80.90 / 199.83</w:t>
            </w:r>
          </w:p>
        </w:tc>
        <w:tc>
          <w:tcPr>
            <w:tcW w:type="dxa" w:w="306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0.02009 / 0.06765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629 / 525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14.70 / 17.71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80.19 / 199.83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0.01908 / 0.06765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663 / 525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13.82 / 17.71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78.58 / 199.83</w:t>
            </w:r>
          </w:p>
        </w:tc>
        <w:tc>
          <w:tcPr>
            <w:tcW w:type="dxa" w:w="306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0.01713 / 0.06765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MPC 次数按全部回合平均，失败回合计 30；状态距离采用日志中的 7 维原始状态 L2 距离（含速度），不同于成功判据。预测损失按实际快速适应更新记录加权平均。</w:t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五轮合计的视觉域表现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1689"/>
        <w:gridCol w:w="1689"/>
        <w:gridCol w:w="1689"/>
        <w:gridCol w:w="1689"/>
        <w:gridCol w:w="1689"/>
      </w:tblGrid>
      <w:tr>
        <w:trPr>
          <w:cantSplit/>
          <w:tblHeader/>
        </w:trPr>
        <w:tc>
          <w:tcPr>
            <w:tcW w:type="dxa" w:w="141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视觉域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v6a 成功数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基线成功数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v6a %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基线 %</w:t>
            </w:r>
          </w:p>
        </w:tc>
        <w:tc>
          <w:tcPr>
            <w:tcW w:type="dxa" w:w="1689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提高百分点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模糊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673/750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675/750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89.73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90.00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-0.27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椒盐噪声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670/750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670/750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89.33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89.33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+0.00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变暗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625/750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620/750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83.33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82.67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+0.67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红色推杆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425/750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340/750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56.67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45.33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+11.33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红色物体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218/750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80/750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29.07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10.67</w:t>
            </w:r>
          </w:p>
        </w:tc>
        <w:tc>
          <w:tcPr>
            <w:tcW w:type="dxa" w:w="1689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+18.40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红色目标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429/750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240/750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57.20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32.00</w:t>
            </w:r>
          </w:p>
        </w:tc>
        <w:tc>
          <w:tcPr>
            <w:tcW w:type="dxa" w:w="16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+25.20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 xml:space="preserve">GD 的总体提升主要来自三种红色扰动。第 5 轮三种子合计 663/900（73.67%），比基线 525/900（58.33%）高 15.33 个百分点。个别视觉域仍有波动，不能将总提升解释为每个域都提高。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统计边界：五轮复用相同目标并持续学习，不是五次独立随机测试；三个种子也使用相同目标集，只改变实验随机序列。本结果描述重复目标上的持续适应，不能直接代表新目标泛化或统计显著性。</w:t>
      </w:r>
    </w:p>
    <w:p>
      <w:pPr>
        <w:pStyle w:val="Heading1"/>
        <w:spacing w:after="100"/>
        <w:pageBreakBefore/>
        <w:keepNext/>
      </w:pPr>
      <w:r>
        <w:rPr>
          <w:rFonts w:ascii="Microsoft YaHei" w:hAnsi="Microsoft YaHei" w:eastAsia="Microsoft YaHei"/>
          <w:color w:val="000000"/>
        </w:rPr>
        <w:t xml:space="preserve">3 领域学习过程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有效领域和成熟数为轮末值。读取为回合最终选中的领域非空；写入为直接写入回合数。最后一列依次为本轮新建、合并、吸收事件数。每轮分母均为 300。</w:t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100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247"/>
        <w:gridCol w:w="1020"/>
        <w:gridCol w:w="2665"/>
        <w:gridCol w:w="2665"/>
        <w:gridCol w:w="1587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轮次</w:t>
            </w:r>
          </w:p>
        </w:tc>
        <w:tc>
          <w:tcPr>
            <w:tcW w:type="dxa" w:w="124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有效领域</w:t>
            </w:r>
          </w:p>
        </w:tc>
        <w:tc>
          <w:tcPr>
            <w:tcW w:type="dxa" w:w="102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成熟数</w:t>
            </w:r>
          </w:p>
        </w:tc>
        <w:tc>
          <w:tcPr>
            <w:tcW w:type="dxa" w:w="266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读取回合数</w:t>
            </w:r>
          </w:p>
        </w:tc>
        <w:tc>
          <w:tcPr>
            <w:tcW w:type="dxa" w:w="266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写入回合数</w:t>
            </w:r>
          </w:p>
        </w:tc>
        <w:tc>
          <w:tcPr>
            <w:tcW w:type="dxa" w:w="158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建 / 并 / 吸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112（37.33%）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124（41.33%）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8 / 3 / 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2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147（49.00%）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147（49.00%）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 / 2 / 1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157（52.33%）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154（51.33%）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 / 0 / 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12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1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154（51.33%）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155（51.67%）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 / 0 / 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157（52.33%）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156（52.00%）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 / 0 / 1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合并：d2、d4、d5、d3→d1；d7→d6。吸收：d0、d8→d1。最终暂存 2 条。</w:t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200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247"/>
        <w:gridCol w:w="1020"/>
        <w:gridCol w:w="2665"/>
        <w:gridCol w:w="2665"/>
        <w:gridCol w:w="1587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轮次</w:t>
            </w:r>
          </w:p>
        </w:tc>
        <w:tc>
          <w:tcPr>
            <w:tcW w:type="dxa" w:w="124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有效领域</w:t>
            </w:r>
          </w:p>
        </w:tc>
        <w:tc>
          <w:tcPr>
            <w:tcW w:type="dxa" w:w="102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成熟数</w:t>
            </w:r>
          </w:p>
        </w:tc>
        <w:tc>
          <w:tcPr>
            <w:tcW w:type="dxa" w:w="266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读取回合数</w:t>
            </w:r>
          </w:p>
        </w:tc>
        <w:tc>
          <w:tcPr>
            <w:tcW w:type="dxa" w:w="266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写入回合数</w:t>
            </w:r>
          </w:p>
        </w:tc>
        <w:tc>
          <w:tcPr>
            <w:tcW w:type="dxa" w:w="158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建 / 并 / 吸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100（33.33%）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113（37.67%）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 / 5 / 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2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152（50.67%）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151（50.33%）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 / 1 / 3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153（51.00%）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150（50.00%）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 / 0 / 1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12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154（51.33%）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153（51.00%）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 / 0 / 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156（52.00%）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156（52.00%）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 / 0 / 1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合并：d3→d1；d5、d7、d6、d8、d1→d0。吸收：d2、d11、d12→d0；d4、d10→d1。最终暂存 4 条。</w:t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300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247"/>
        <w:gridCol w:w="1020"/>
        <w:gridCol w:w="2665"/>
        <w:gridCol w:w="2665"/>
        <w:gridCol w:w="1587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轮次</w:t>
            </w:r>
          </w:p>
        </w:tc>
        <w:tc>
          <w:tcPr>
            <w:tcW w:type="dxa" w:w="124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有效领域</w:t>
            </w:r>
          </w:p>
        </w:tc>
        <w:tc>
          <w:tcPr>
            <w:tcW w:type="dxa" w:w="102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成熟数</w:t>
            </w:r>
          </w:p>
        </w:tc>
        <w:tc>
          <w:tcPr>
            <w:tcW w:type="dxa" w:w="266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读取回合数</w:t>
            </w:r>
          </w:p>
        </w:tc>
        <w:tc>
          <w:tcPr>
            <w:tcW w:type="dxa" w:w="266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写入回合数</w:t>
            </w:r>
          </w:p>
        </w:tc>
        <w:tc>
          <w:tcPr>
            <w:tcW w:type="dxa" w:w="158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建 / 并 / 吸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129（43.00%）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127（42.33%）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 / 0 / 3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2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1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156（52.00%）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148（49.33%）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 / 0 / 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156（52.00%）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151（50.33%）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 / 1 / 0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12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10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156（52.00%）</w:t>
            </w:r>
          </w:p>
        </w:tc>
        <w:tc>
          <w:tcPr>
            <w:tcW w:type="dxa" w:w="26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154（51.33%）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 / 0 / 1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5</w:t>
            </w:r>
          </w:p>
        </w:tc>
        <w:tc>
          <w:tcPr>
            <w:tcW w:type="dxa" w:w="124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102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154（51.33%）</w:t>
            </w:r>
          </w:p>
        </w:tc>
        <w:tc>
          <w:tcPr>
            <w:tcW w:type="dxa" w:w="266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153（51.00%）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 / 1 / 0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合并：d4、d5→d1。吸收：d0、d2、d3→d1；d6→d5。最终暂存 4 条。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箭头按事件发生时的去向归并列示，未按时间排序。合并是领域之间的双向交叉验证；吸收是成熟领域接收符合阈值的小型未成熟碎片。两类事件分别计数，均保留接收方并重训，不是简单平均模型权重。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领域编号是每个种子内部自动生成的编号，跨种子的同名编号不表示同一领域；领域数量也不要求等于六种视觉扰动。基线不建立持续学习领域库。</w:t>
      </w:r>
    </w:p>
    <w:p>
      <w:pPr>
        <w:pStyle w:val="Heading1"/>
        <w:spacing w:after="100"/>
        <w:pageBreakBefore/>
        <w:keepNext/>
      </w:pPr>
      <w:r>
        <w:rPr>
          <w:rFonts w:ascii="Microsoft YaHei" w:hAnsi="Microsoft YaHei" w:eastAsia="Microsoft YaHei"/>
          <w:color w:val="000000"/>
        </w:rPr>
        <w:t xml:space="preserve">4 最终领域详情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仅列最终有效领域。纳入数与视觉分布包含建域时补入的暂存记录及合并、吸收记录；读写按事件发生时的领域编号计数，不回溯合计已移除编号。</w:t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100  累计纳入 758 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935"/>
        <w:gridCol w:w="935"/>
        <w:gridCol w:w="5613"/>
        <w:gridCol w:w="1701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领域</w:t>
            </w:r>
          </w:p>
        </w:tc>
        <w:tc>
          <w:tcPr>
            <w:tcW w:type="dxa" w:w="93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状态</w:t>
            </w:r>
          </w:p>
        </w:tc>
        <w:tc>
          <w:tcPr>
            <w:tcW w:type="dxa" w:w="93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纳入数</w:t>
            </w:r>
          </w:p>
        </w:tc>
        <w:tc>
          <w:tcPr>
            <w:tcW w:type="dxa" w:w="5613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视觉域分布</w:t>
            </w:r>
          </w:p>
        </w:tc>
        <w:tc>
          <w:tcPr>
            <w:tcW w:type="dxa" w:w="1701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读取 / 写入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d1</w:t>
            </w:r>
          </w:p>
        </w:tc>
        <w:tc>
          <w:tcPr>
            <w:tcW w:type="dxa" w:w="9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成熟</w:t>
            </w:r>
          </w:p>
        </w:tc>
        <w:tc>
          <w:tcPr>
            <w:tcW w:type="dxa" w:w="9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499</w:t>
            </w:r>
          </w:p>
        </w:tc>
        <w:tc>
          <w:tcPr>
            <w:tcW w:type="dxa" w:w="5613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模糊 12；椒盐噪声 13；变暗 16；红色推杆 209；红色物体 248；红色目标 1</w:t>
            </w:r>
          </w:p>
        </w:tc>
        <w:tc>
          <w:tcPr>
            <w:tcW w:type="dxa" w:w="170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435 / 419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d6</w:t>
            </w:r>
          </w:p>
        </w:tc>
        <w:tc>
          <w:tcPr>
            <w:tcW w:type="dxa" w:w="9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成熟</w:t>
            </w:r>
          </w:p>
        </w:tc>
        <w:tc>
          <w:tcPr>
            <w:tcW w:type="dxa" w:w="9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252</w:t>
            </w:r>
          </w:p>
        </w:tc>
        <w:tc>
          <w:tcPr>
            <w:tcW w:type="dxa" w:w="56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椒盐噪声 2；红色推杆 2；红色目标 248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241 / 245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d9</w:t>
            </w:r>
          </w:p>
        </w:tc>
        <w:tc>
          <w:tcPr>
            <w:tcW w:type="dxa" w:w="9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未成熟</w:t>
            </w:r>
          </w:p>
        </w:tc>
        <w:tc>
          <w:tcPr>
            <w:tcW w:type="dxa" w:w="9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</w:t>
            </w:r>
          </w:p>
        </w:tc>
        <w:tc>
          <w:tcPr>
            <w:tcW w:type="dxa" w:w="5613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模糊 3；变暗 1</w:t>
            </w:r>
          </w:p>
        </w:tc>
        <w:tc>
          <w:tcPr>
            <w:tcW w:type="dxa" w:w="170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 / 2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d10</w:t>
            </w:r>
          </w:p>
        </w:tc>
        <w:tc>
          <w:tcPr>
            <w:tcW w:type="dxa" w:w="9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未成熟</w:t>
            </w:r>
          </w:p>
        </w:tc>
        <w:tc>
          <w:tcPr>
            <w:tcW w:type="dxa" w:w="9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</w:t>
            </w:r>
          </w:p>
        </w:tc>
        <w:tc>
          <w:tcPr>
            <w:tcW w:type="dxa" w:w="56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椒盐噪声 3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0 / 1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200  累计纳入 749 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935"/>
        <w:gridCol w:w="935"/>
        <w:gridCol w:w="5613"/>
        <w:gridCol w:w="1701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领域</w:t>
            </w:r>
          </w:p>
        </w:tc>
        <w:tc>
          <w:tcPr>
            <w:tcW w:type="dxa" w:w="93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状态</w:t>
            </w:r>
          </w:p>
        </w:tc>
        <w:tc>
          <w:tcPr>
            <w:tcW w:type="dxa" w:w="93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纳入数</w:t>
            </w:r>
          </w:p>
        </w:tc>
        <w:tc>
          <w:tcPr>
            <w:tcW w:type="dxa" w:w="5613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视觉域分布</w:t>
            </w:r>
          </w:p>
        </w:tc>
        <w:tc>
          <w:tcPr>
            <w:tcW w:type="dxa" w:w="1701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读取 / 写入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d0</w:t>
            </w:r>
          </w:p>
        </w:tc>
        <w:tc>
          <w:tcPr>
            <w:tcW w:type="dxa" w:w="9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成熟</w:t>
            </w:r>
          </w:p>
        </w:tc>
        <w:tc>
          <w:tcPr>
            <w:tcW w:type="dxa" w:w="9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740</w:t>
            </w:r>
          </w:p>
        </w:tc>
        <w:tc>
          <w:tcPr>
            <w:tcW w:type="dxa" w:w="5613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模糊 5；椒盐噪声 19；变暗 12；红色推杆 217；红色物体 245；红色目标 242</w:t>
            </w:r>
          </w:p>
        </w:tc>
        <w:tc>
          <w:tcPr>
            <w:tcW w:type="dxa" w:w="170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658 / 634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d9</w:t>
            </w:r>
          </w:p>
        </w:tc>
        <w:tc>
          <w:tcPr>
            <w:tcW w:type="dxa" w:w="9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成熟</w:t>
            </w:r>
          </w:p>
        </w:tc>
        <w:tc>
          <w:tcPr>
            <w:tcW w:type="dxa" w:w="9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9</w:t>
            </w:r>
          </w:p>
        </w:tc>
        <w:tc>
          <w:tcPr>
            <w:tcW w:type="dxa" w:w="56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椒盐噪声 4；红色推杆 1；红色目标 4</w:t>
            </w:r>
          </w:p>
        </w:tc>
        <w:tc>
          <w:tcPr>
            <w:tcW w:type="dxa" w:w="17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4 / 7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种子 300  累计纳入 747 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935"/>
        <w:gridCol w:w="935"/>
        <w:gridCol w:w="5613"/>
        <w:gridCol w:w="1701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领域</w:t>
            </w:r>
          </w:p>
        </w:tc>
        <w:tc>
          <w:tcPr>
            <w:tcW w:type="dxa" w:w="93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状态</w:t>
            </w:r>
          </w:p>
        </w:tc>
        <w:tc>
          <w:tcPr>
            <w:tcW w:type="dxa" w:w="935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纳入数</w:t>
            </w:r>
          </w:p>
        </w:tc>
        <w:tc>
          <w:tcPr>
            <w:tcW w:type="dxa" w:w="5613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视觉域分布</w:t>
            </w:r>
          </w:p>
        </w:tc>
        <w:tc>
          <w:tcPr>
            <w:tcW w:type="dxa" w:w="1701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读取 / 写入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d1</w:t>
            </w:r>
          </w:p>
        </w:tc>
        <w:tc>
          <w:tcPr>
            <w:tcW w:type="dxa" w:w="9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成熟</w:t>
            </w:r>
          </w:p>
        </w:tc>
        <w:tc>
          <w:tcPr>
            <w:tcW w:type="dxa" w:w="935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747</w:t>
            </w:r>
          </w:p>
        </w:tc>
        <w:tc>
          <w:tcPr>
            <w:tcW w:type="dxa" w:w="5613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模糊 7；椒盐噪声 18；变暗 13；红色推杆 216；红色物体 246；红色目标 247</w:t>
            </w:r>
          </w:p>
        </w:tc>
        <w:tc>
          <w:tcPr>
            <w:tcW w:type="dxa" w:w="170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633 / 606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pStyle w:val="Heading2"/>
        <w:spacing w:after="100"/>
        <w:keepNext/>
      </w:pPr>
      <w:r>
        <w:rPr>
          <w:rFonts w:ascii="Microsoft YaHei" w:hAnsi="Microsoft YaHei" w:eastAsia="Microsoft YaHei"/>
          <w:color w:val="000000"/>
        </w:rPr>
        <w:t xml:space="preserve">成熟状态核验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验证误差比为领域模型与原始模型的 5 步开环预测误差之比，在写入训练前计算。至少有 3 条记录且最近 3 条的算术均值 ≤0.9 才成熟；预测误差较低不等于任务必然成功。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种子 100：d1 均值 0.10654；d6 均值 0.06056；d9 仅 1 条验证记录，未成熟；d10 仅 0 条验证记录，未成熟。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种子 200：d0 均值 0.11433；d9 均值 0.57774。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种子 300：d1 均值 0.12433。</w:t>
      </w:r>
    </w:p>
    <w:p>
      <w:pPr>
        <w:pStyle w:val="Heading1"/>
        <w:spacing w:after="100"/>
        <w:pageBreakBefore/>
        <w:keepNext/>
      </w:pPr>
      <w:r>
        <w:rPr>
          <w:rFonts w:ascii="Microsoft YaHei" w:hAnsi="Microsoft YaHei" w:eastAsia="Microsoft YaHei"/>
          <w:color w:val="000000"/>
        </w:rPr>
        <w:t xml:space="preserve">5 执行记录与复现位置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两组共 180 个测试段、9000 回合，退出码均为 0。成功结果与原始数组、逐回合日志相符；全部动作有限，所有测试段的初始状态和目标状态完全一致。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1587"/>
        <w:gridCol w:w="2268"/>
        <w:gridCol w:w="2268"/>
        <w:gridCol w:w="3061"/>
      </w:tblGrid>
      <w:tr>
        <w:trPr>
          <w:cantSplit/>
          <w:tblHeader/>
        </w:trPr>
        <w:tc>
          <w:tcPr>
            <w:tcW w:type="dxa" w:w="680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种子</w:t>
            </w:r>
          </w:p>
        </w:tc>
        <w:tc>
          <w:tcPr>
            <w:tcW w:type="dxa" w:w="1587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累计小时</w:t>
              <w:br/>
              <w:t xml:space="preserve">v6a / 基线</w:t>
            </w:r>
          </w:p>
        </w:tc>
        <w:tc>
          <w:tcPr>
            <w:tcW w:type="dxa" w:w="2268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v6a 最后段完成</w:t>
            </w:r>
          </w:p>
        </w:tc>
        <w:tc>
          <w:tcPr>
            <w:tcW w:type="dxa" w:w="2268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基线最后段完成</w:t>
            </w:r>
          </w:p>
        </w:tc>
        <w:tc>
          <w:tcPr>
            <w:tcW w:type="dxa" w:w="3061"/>
            <w:vAlign w:val="center"/>
            <w:shd w:fill="253B5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 xml:space="preserve">执行状态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100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6.59 / 6.40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10-21 03:33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10-20 18:03</w:t>
            </w:r>
          </w:p>
        </w:tc>
        <w:tc>
          <w:tcPr>
            <w:tcW w:type="dxa" w:w="306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200</w:t>
            </w:r>
          </w:p>
        </w:tc>
        <w:tc>
          <w:tcPr>
            <w:tcW w:type="dxa" w:w="15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6.57 / 6.52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10-21 19:43</w:t>
            </w:r>
          </w:p>
        </w:tc>
        <w:tc>
          <w:tcPr>
            <w:tcW w:type="dxa" w:w="22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10-20 18:10</w:t>
            </w:r>
          </w:p>
        </w:tc>
        <w:tc>
          <w:tcPr>
            <w:tcW w:type="dxa" w:w="306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已完成</w:t>
            </w:r>
          </w:p>
        </w:tc>
      </w:tr>
      <w:tr>
        <w:trPr>
          <w:cantSplit/>
        </w:trPr>
        <w:tc>
          <w:tcPr>
            <w:tcW w:type="dxa" w:w="680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300</w:t>
            </w:r>
          </w:p>
        </w:tc>
        <w:tc>
          <w:tcPr>
            <w:tcW w:type="dxa" w:w="1587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6.82 / 7.30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10-21 19:58</w:t>
            </w:r>
          </w:p>
        </w:tc>
        <w:tc>
          <w:tcPr>
            <w:tcW w:type="dxa" w:w="2268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10-22 02:03</w:t>
            </w:r>
          </w:p>
        </w:tc>
        <w:tc>
          <w:tcPr>
            <w:tcW w:type="dxa" w:w="3061"/>
            <w:vAlign w:val="center"/>
            <w:shd w:fill="F1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before="0" w:line="254" w:lineRule="auto"/>
              <w:snapToGrid w:val="0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 xml:space="preserve">已完成</w:t>
            </w:r>
          </w:p>
        </w:tc>
      </w:tr>
    </w:tbl>
    <w:p>
      <w:pPr>
        <w:spacing w:line="20" w:lineRule="exact" w:after="100"/>
      </w:pPr>
      <w:r>
        <w:rPr>
          <w:sz w:val="2"/>
        </w:rPr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GD 种子 300 基线按轮并行；时间为各测试段耗时之和，完成时间为北京时间；共享资源、诊断与保存开销均计入，不能据此直接判定纯算法速度或显存差异。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结果根目录统一位于 /home/tyy/jepa/runs/，下列路径均相对此目录：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v6a 100：visual_cls6a_seed100_thr0146_20261020</w:t>
        <w:br/>
        <w:t xml:space="preserve">v6a 200/300：visual_cls6a_extra_seeds_20261021/seed_{200,300}</w:t>
        <w:br/>
        <w:t xml:space="preserve">基线 100/200：visual_cls5_calibrated_2seeds_20261020/seed_{100,200}</w:t>
        <w:br/>
        <w:t xml:space="preserve">基线 300：visual_adajepa_gd_seed300_20261021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种子 100 的源码快照：/home/tyy/jepa/runs/visual_cls6a_seed100_thr0146_20261020/code；CL-JEPA 提交 bc8719fe70cf77965e5c5efc9d902482177324bf。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权重：/home/tyy/jepa/unzip_20261015122252576_adajepa_cls4_v4_inference_20261015_8d9a59/pushobj_T16k_bias_e3/checkpoints/model_latest.pth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权重 SHA256：3559bbb259fad357d07db7b140ac7a695c9dc12b179cd2ec4da4bda251aea329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目标文件 SHA256：31514f3c3dc322ae437dcb2c17debe5ce50d8d4bae9adb7b4b8bb674d7138689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参数见各根目录 protocol.json 与测试段 .hydra/config.yaml；结果位于 results/{cls6a_free,w0}/chunk_*。最终领域状态为 chunk_29_r5_red_goal/continual_state.pt；本报告核验汇总保存在报告文件夹下 _work/verified_results.json。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  <w:sz w:val="18"/>
        </w:rPr>
        <w:t xml:space="preserve">种子 100、200 的基线复用此前已完成实验的 w0 结果；基线没有领域路由和熟悉度门控，其所在目录名中的 calibrated 不表示基线使用校准阈值。种子 300 基线为本次补跑。</w:t>
      </w:r>
    </w:p>
    <w:sectPr w:rsidR="00FC693F" w:rsidRPr="0006063C" w:rsidSect="00034616">
      <w:footerReference w:type="default" r:id="rId9"/>
      <w:pgSz w:w="11906" w:h="16838"/>
      <w:pgMar w:top="935" w:right="1020" w:bottom="935" w:left="1020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6"/>
      </w:rPr>
      <w:t xml:space="preserve">第 </w:t>
    </w:r>
    <w:r>
      <w:rPr>
        <w:rFonts w:ascii="Microsoft YaHei" w:hAnsi="Microsoft YaHei" w:eastAsia="Microsoft YaHei"/>
        <w:color w:val="000000"/>
        <w:sz w:val="16"/>
      </w:rPr>
    </w:r>
    <w:fldSimple w:instr="PAGE"/>
    <w:r>
      <w:rPr>
        <w:rFonts w:ascii="Microsoft YaHei" w:hAnsi="Microsoft YaHei" w:eastAsia="Microsoft YaHei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  <w:snapToGrid w:val="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71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1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71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1" w:lineRule="auto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AdaJEPA v6a GD 六视觉域持续学习实验报告</dc:title>
  <dc:subject>GD 三种子 六视觉域 五轮 50 回合 配对基线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2026-10-16T12:56:25Z</dcterms:modified>
  <cp:category/>
</cp:coreProperties>
</file>