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36"/>
        </w:rPr>
        <w:t>摘要</w:t>
      </w:r>
    </w:p>
    <w:p>
      <w:pPr>
        <w:spacing w:line="360" w:lineRule="auto" w:after="0"/>
        <w:ind w:firstLine="480"/>
      </w:pPr>
      <w:r>
        <w:rPr>
          <w:rFonts w:ascii="Times New Roman" w:hAnsi="Times New Roman" w:eastAsia="宋体"/>
          <w:b w:val="0"/>
          <w:sz w:val="24"/>
        </w:rPr>
        <w:t>金融社交媒体上的投资者评论蕴含丰富的情绪信息，准确识别其情感倾向是金融舆情监测和投资者情绪研究的基础。大语言模型在文本理解上表现突出，LoRA 等参数高效微调方法使其能够在单张消费级显卡上完成微调，但其在中文金融情感分类上相对传统方法的优势是否可靠、给出的置信度能否被信任，仍缺少系统的统计评估。</w:t>
      </w:r>
    </w:p>
    <w:p>
      <w:pPr>
        <w:spacing w:line="360" w:lineRule="auto" w:after="0"/>
        <w:ind w:firstLine="480"/>
      </w:pPr>
      <w:r>
        <w:rPr>
          <w:rFonts w:ascii="Times New Roman" w:hAnsi="Times New Roman" w:eastAsia="宋体"/>
          <w:b w:val="0"/>
          <w:sz w:val="24"/>
        </w:rPr>
        <w:t>本文以中文金融社交媒体情感三分类数据集 FinFE 为对象，在单张 RTX 3090 显卡上比较了 TF-IDF 配合逻辑回归和支持向量机、BERT 与 RoBERTa-wwm-ext 微调，以及 Qwen3-8B、Qwen2.5-7B-Instruct、GLM-4-9B 三个开源大模型的零样本、少样本提示与 LoRA 微调，并从统计推断、置信度可靠性和数据质量三个角度进行分析。</w:t>
      </w:r>
    </w:p>
    <w:p>
      <w:pPr>
        <w:spacing w:line="360" w:lineRule="auto" w:after="0"/>
        <w:ind w:firstLine="480"/>
      </w:pPr>
      <w:r>
        <w:rPr>
          <w:rFonts w:ascii="Times New Roman" w:hAnsi="Times New Roman" w:eastAsia="宋体"/>
          <w:b w:val="0"/>
          <w:sz w:val="24"/>
        </w:rPr>
        <w:t>研究发现：（1）原始评估文件中约 54% 的记录与原始训练文件存在规范化文本重叠；本文区分训练与验证曝光，清洗后得到集合间没有完全重复文本的数据划分，并在共同未曝光样本上比较清洗策略。（2）LoRA 微调的大模型宏平均 F1 为 0.798～0.807，高于 RoBERTa 的 0.778 和 TF-IDF 的 0.70；零样本和少样本提示不及有监督微调。（3）在固定数据划分的三个训练种子中，大模型 F1 点估计均更高，多种子方差分析的事后比较显著；但种子 42 的 McNemar 检验和配对 Bootstrap 经多重比较调整后，未检出大模型相对 RoBERTa 的显著优势。（4）Qwen3 零样本平均置信度为 96.4%，准确率为 67.1%；LoRA 模型经测试分布内五折温度交叉拟合后，期望校准误差为 0.013～0.030，只回答高置信度的一半样本时准确率约为 96%。标准保形预测的整体覆盖率约为 90%，约 77%～78% 的集合为单元素，但该子集准确率为 88.7%～89.3%，不具有单独的 90% 正确率保证。（5）重复记录的配对一致率为 82.9%，82% 的冲突涉及中性类；由于缺少独立复标证据，不将噪声模型推算值解释为实测准确率上限。此外，单次 4 比特 QLoRA 实验在框架记录的峰值分配显存 11.2 GB 下取得了与 16 位 LoRA 接近的效果。</w:t>
      </w:r>
    </w:p>
    <w:p>
      <w:pPr>
        <w:spacing w:line="360" w:lineRule="auto" w:after="0"/>
        <w:ind w:firstLine="480"/>
      </w:pPr>
      <w:r>
        <w:rPr>
          <w:rFonts w:ascii="Times New Roman" w:hAnsi="Times New Roman" w:eastAsia="宋体"/>
          <w:b w:val="0"/>
          <w:sz w:val="24"/>
        </w:rPr>
        <w:t>本文的结果表明，在评估大模型时应同时关注数据质量、统计显著性和置信度的可靠性，可为金融机构开展舆情监测时的模型选型与人机协作提供参考。</w:t>
      </w:r>
    </w:p>
    <w:p>
      <w:pPr>
        <w:spacing w:line="360" w:lineRule="auto" w:after="0"/>
        <w:ind w:firstLine="480"/>
      </w:pPr>
      <w:r>
        <w:rPr>
          <w:rFonts w:ascii="Times New Roman" w:hAnsi="Times New Roman" w:eastAsia="宋体"/>
          <w:b/>
          <w:sz w:val="24"/>
        </w:rPr>
        <w:t>关键词：</w:t>
      </w:r>
      <w:r>
        <w:rPr>
          <w:rFonts w:ascii="Times New Roman" w:hAnsi="Times New Roman" w:eastAsia="宋体"/>
          <w:b w:val="0"/>
          <w:sz w:val="24"/>
        </w:rPr>
        <w:t xml:space="preserve"> 大语言模型；LoRA 微调；金融情感分析；统计检验；置信度校准</w:t>
      </w:r>
    </w:p>
    <w:p>
      <w:pPr>
        <w:spacing w:after="360"/>
        <w:jc w:val="center"/>
      </w:pPr>
      <w:r>
        <w:rPr>
          <w:rFonts w:ascii="Times New Roman" w:hAnsi="Times New Roman" w:eastAsia="黑体"/>
          <w:b/>
          <w:sz w:val="36"/>
        </w:rPr>
        <w:t>Abstract</w:t>
      </w:r>
    </w:p>
    <w:p>
      <w:pPr>
        <w:spacing w:line="360" w:lineRule="auto" w:after="0"/>
        <w:ind w:firstLine="480"/>
      </w:pPr>
      <w:r>
        <w:rPr>
          <w:rFonts w:ascii="Times New Roman" w:hAnsi="Times New Roman" w:eastAsia="宋体"/>
          <w:b w:val="0"/>
          <w:sz w:val="24"/>
        </w:rPr>
        <w:t>Investor comments on financial social media contain rich sentiment information, and identifying their sentiment accurately is fundamental to financial public-opinion monitoring and investor-sentiment research. Large language models (LLMs) excel at text understanding, and parameter-efficient fine-tuning methods such as LoRA make it possible to fine-tune them on a single consumer GPU. However, whether their advantage over traditional methods in Chinese financial sentiment classification is reliable, and whether their confidence scores can be trusted, has not been systematically evaluated from a statistical perspective.</w:t>
      </w:r>
    </w:p>
    <w:p>
      <w:pPr>
        <w:spacing w:line="360" w:lineRule="auto" w:after="0"/>
        <w:ind w:firstLine="480"/>
      </w:pPr>
      <w:r>
        <w:rPr>
          <w:rFonts w:ascii="Times New Roman" w:hAnsi="Times New Roman" w:eastAsia="宋体"/>
          <w:b w:val="0"/>
          <w:sz w:val="24"/>
        </w:rPr>
        <w:t>Using FinFE, a three-class Chinese financial social-media sentiment dataset, this thesis compares TF-IDF with logistic regression and support vector machines, fine-tuned BERT and RoBERTa-wwm-ext, and zero-shot prompting, few-shot prompting and LoRA fine-tuning of three open-source LLMs (Qwen3-8B, Qwen2.5-7B-Instruct and GLM-4-9B) on a single RTX 3090 GPU. The results are analysed from three perspectives: statistical inference, confidence reliability and data quality.</w:t>
      </w:r>
    </w:p>
    <w:p>
      <w:pPr>
        <w:spacing w:line="360" w:lineRule="auto" w:after="0"/>
        <w:ind w:firstLine="480"/>
      </w:pPr>
      <w:r>
        <w:rPr>
          <w:rFonts w:ascii="Times New Roman" w:hAnsi="Times New Roman" w:eastAsia="宋体"/>
          <w:b w:val="0"/>
          <w:sz w:val="24"/>
        </w:rPr>
        <w:t>The main findings are as follows. (1) About 54% of the original evaluation records share normalized text with the original training file. Training exposure is distinguished from validation exposure; cleaning removes exact cross-split duplicates, and cleaning strategies are compared on shared unexposed examples. (2) LoRA-tuned LLMs achieve a macro-F1 of 0.798–0.807, compared with 0.778 for RoBERTa and about 0.70 for TF-IDF. Zero-shot and few-shot prompting perform worse than supervised fine-tuning. (3) The LLMs have higher F1 point estimates across the three training seeds on the fixed data split, with significant post-hoc comparisons in the multi-seed analysis. However, for seed 42, McNemar tests and paired bootstrap intervals do not establish a significant advantage over RoBERTa after multiplicity adjustment. (4) Zero-shot Qwen3 has a mean confidence of 96.4% but an accuracy of 67.1%. Five-fold temperature cross-fitting within the test distribution gives LoRA models an expected calibration error of 0.013–0.030; accuracy is about 96% when answering only the most confident half of the examples. Standard conformal prediction achieves about 90% overall set coverage, with 77%–78% singleton sets. Accuracy within the singleton subset is 88.7%–89.3%, not a separately guaranteed 90%. (5) Duplicate-record pairs agree on 82.9% of labels, and 82% of conflicts involve the neutral class. Without evidence of independent reannotation, a noise-model calculation is not interpreted as an empirical accuracy ceiling. In one run, 4-bit QLoRA performs comparably to 16-bit LoRA, with 11.2 GB of peak framework-allocated GPU memory.</w:t>
      </w:r>
    </w:p>
    <w:p>
      <w:pPr>
        <w:spacing w:line="360" w:lineRule="auto" w:after="0"/>
        <w:ind w:firstLine="480"/>
      </w:pPr>
      <w:r>
        <w:rPr>
          <w:rFonts w:ascii="Times New Roman" w:hAnsi="Times New Roman" w:eastAsia="宋体"/>
          <w:b w:val="0"/>
          <w:sz w:val="24"/>
        </w:rPr>
        <w:t>These results suggest that evaluations of LLMs should jointly consider data quality, statistical significance and confidence reliability, and they provide a reference for model selection and human–machine collaboration in financial public-opinion monitoring.</w:t>
      </w:r>
    </w:p>
    <w:p>
      <w:pPr>
        <w:spacing w:line="360" w:lineRule="auto" w:after="0"/>
        <w:ind w:firstLine="480"/>
      </w:pPr>
      <w:r>
        <w:rPr>
          <w:rFonts w:ascii="Times New Roman" w:hAnsi="Times New Roman" w:eastAsia="宋体"/>
          <w:b/>
          <w:sz w:val="24"/>
        </w:rPr>
        <w:t>Keywords:</w:t>
      </w:r>
      <w:r>
        <w:rPr>
          <w:rFonts w:ascii="Times New Roman" w:hAnsi="Times New Roman" w:eastAsia="宋体"/>
          <w:b w:val="0"/>
          <w:sz w:val="24"/>
        </w:rPr>
        <w:t xml:space="preserve"> large language models; LoRA fine-tuning; financial sentiment analysis; statistical testing; confidence calibration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