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Times New Roman" w:hAnsi="Times New Roman" w:eastAsia="黑体"/>
          <w:b/>
          <w:sz w:val="36"/>
        </w:rPr>
        <w:t>第1章 绪论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1.1 研究背景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随着互联网和移动终端的普及，股吧、雪球、微博等金融社交媒体已成为中国个人投资者获取信息、交流观点的重要渠道。投资者在这些平台上发布的大量短文本中蕴含着对个股、行业乃至整体市场的情绪倾向。已有研究表明，媒体和网络论坛中的投资者情绪与资产价格、交易量和市场波动存在显著关联 [Tetlock, 2007; 游家兴和吴静, 2012; 段江娇等, 2017; 部慧等, 2018]。因此，如何从海量金融文本中准确、自动地识别情感倾向，是金融科技和计量金融研究中的一个基础问题 [沈艳等, 2019]。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金融情感分析的方法经历了从情感词典、传统机器学习到预训练语言模型的演进。情感词典方法依赖人工构建的领域词表 [Loughran 和 McDonald, 2011]，可解释性强，但难以处理否定、反讽和上下文相关的表达。以 TF-IDF 特征配合逻辑回归、支持向量机为代表的传统机器学习方法，在有标注数据时效果明显提升，但仍停留在词袋层面。以 BERT [Devlin 等, 2019] 为代表的预训练语言模型通过“预训练 + 微调”范式大幅提升了文本分类效果，在金融领域也出现了 FinBERT [Araci, 2019] 以及面向中文的 RoBERTa-wwm-ext [Cui 等, 2021] 等模型。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近年来，以 GPT 系列 [Brown 等, 2020] 和 Qwen3 [Yang 等, 2025] 为代表的大语言模型展现出强大的语言理解与生成能力，金融领域也出现了 BloombergGPT [Wu 等, 2023]、FinGPT [Yang 等, 2023] 等专门模型。但大模型参数量达数十亿，全参数微调的计算成本很高。LoRA [Hu 等, 2022] 和 QLoRA [Dettmers 等, 2023] 等参数高效微调方法只训练少量低秩参数，使 7B～9B 规模的模型可以在单张消费级显卡上完成微调，为普通研究者在特定任务上使用大模型提供了可能。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在这一背景下，一个自然的问题是：经过 LoRA 微调的开源大模型，在中文金融情感分类上究竟比传统方法和 BERT 类模型好多少？这种优势是否在统计意义上可靠？模型给出的置信度能否被信任？现有研究对这些问题的回答还不充分。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1.2 研究问题与研究意义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1.2.1 现有研究的不足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梳理相关文献（详见第 2 章）可以发现，现有研究在以下几个方面仍有不足：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（1）</w:t>
      </w:r>
      <w:r>
        <w:rPr>
          <w:rFonts w:ascii="Times New Roman" w:hAnsi="Times New Roman" w:eastAsia="宋体"/>
          <w:b/>
          <w:sz w:val="24"/>
        </w:rPr>
        <w:t>以英文数据为主。</w:t>
      </w:r>
      <w:r>
        <w:rPr>
          <w:rFonts w:ascii="Times New Roman" w:hAnsi="Times New Roman" w:eastAsia="宋体"/>
          <w:b w:val="0"/>
          <w:sz w:val="24"/>
        </w:rPr>
        <w:t xml:space="preserve"> 大模型金融情感分析的研究多基于 Financial PhraseBank [Malo 等, 2014]、FiQA 等英文数据集 [Zhang 等, 2023; Fatemi 和 Hu, 2023; Paredes Amorin 等, 2025]，针对中文金融社交媒体短文本的系统比较较少。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（2）</w:t>
      </w:r>
      <w:r>
        <w:rPr>
          <w:rFonts w:ascii="Times New Roman" w:hAnsi="Times New Roman" w:eastAsia="宋体"/>
          <w:b/>
          <w:sz w:val="24"/>
        </w:rPr>
        <w:t>缺少统计检验。</w:t>
      </w:r>
      <w:r>
        <w:rPr>
          <w:rFonts w:ascii="Times New Roman" w:hAnsi="Times New Roman" w:eastAsia="宋体"/>
          <w:b w:val="0"/>
          <w:sz w:val="24"/>
        </w:rPr>
        <w:t xml:space="preserve"> 多数研究只报告单次运行的准确率或 F1 值，在模型差距只有一两个百分点时，很难判断差异来自方法本身还是来自随机性。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（3）</w:t>
      </w:r>
      <w:r>
        <w:rPr>
          <w:rFonts w:ascii="Times New Roman" w:hAnsi="Times New Roman" w:eastAsia="宋体"/>
          <w:b/>
          <w:sz w:val="24"/>
        </w:rPr>
        <w:t>忽视置信度的可靠性。</w:t>
      </w:r>
      <w:r>
        <w:rPr>
          <w:rFonts w:ascii="Times New Roman" w:hAnsi="Times New Roman" w:eastAsia="宋体"/>
          <w:b w:val="0"/>
          <w:sz w:val="24"/>
        </w:rPr>
        <w:t xml:space="preserve"> 实际应用中，模型不仅要给出类别，还要给出可信的置信度，以便把没把握的样本交给人工处理。已有研究指出神经网络和 LoRA 微调的大模型存在过度自信问题 [Guo 等, 2017; Balabanov 和 Linander, 2024]，但在中文金融情感任务上尚缺少系统评估。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（4）</w:t>
      </w:r>
      <w:r>
        <w:rPr>
          <w:rFonts w:ascii="Times New Roman" w:hAnsi="Times New Roman" w:eastAsia="宋体"/>
          <w:b/>
          <w:sz w:val="24"/>
        </w:rPr>
        <w:t>较少检查基准数据本身的质量。</w:t>
      </w:r>
      <w:r>
        <w:rPr>
          <w:rFonts w:ascii="Times New Roman" w:hAnsi="Times New Roman" w:eastAsia="宋体"/>
          <w:b w:val="0"/>
          <w:sz w:val="24"/>
        </w:rPr>
        <w:t xml:space="preserve"> 公开基准通常被直接使用，其中可能存在的重复样本、训练集与测试集重叠以及标注不一致等问题，会影响评估结论，但很少被专门分析。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1.2.2 研究意义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理论意义。</w:t>
      </w:r>
      <w:r>
        <w:rPr>
          <w:rFonts w:ascii="Times New Roman" w:hAnsi="Times New Roman" w:eastAsia="宋体"/>
          <w:b w:val="0"/>
          <w:sz w:val="24"/>
        </w:rPr>
        <w:t xml:space="preserve"> 本文从应用统计学的角度出发，把多种子方差分析、McNemar 检验、Bootstrap 置信区间、多重比较校正、校准分析等方法系统地用于大模型评估，并区分“训练随机性”和“测试样本抽样误差”两种不确定性来源，为模型比较提供了更严谨的统计框架。同时，通过区分训练曝光、验证曝光与未曝光样本，比较清洗策略并描述重复记录的一致性，讨论数据质量对评估结论的影响及其解释边界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实际意义。</w:t>
      </w:r>
      <w:r>
        <w:rPr>
          <w:rFonts w:ascii="Times New Roman" w:hAnsi="Times New Roman" w:eastAsia="宋体"/>
          <w:b w:val="0"/>
          <w:sz w:val="24"/>
        </w:rPr>
        <w:t xml:space="preserve"> 本文在单张 RTX 3090（24GB）显卡上完成了全部实验，给出了开源大模型在中文金融情感分类上的性能、成本和可靠性参考，可为券商、基金、财经媒体等机构开展舆情监测时的模型选型提供依据。选择性预测的结果还表明，可以让模型自动处理高置信度样本、把低置信度样本交给人工，从而在准确率和人工成本之间取得平衡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1.3 研究内容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本文以 BBT-CFLEB 基准中的 FinFE 数据集 [Lu 等, 2023] 为研究对象，围绕以下几个问题展开：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（1）</w:t>
      </w:r>
      <w:r>
        <w:rPr>
          <w:rFonts w:ascii="Times New Roman" w:hAnsi="Times New Roman" w:eastAsia="宋体"/>
          <w:b/>
          <w:sz w:val="24"/>
        </w:rPr>
        <w:t>数据质量检查与重新划分。</w:t>
      </w:r>
      <w:r>
        <w:rPr>
          <w:rFonts w:ascii="Times New Roman" w:hAnsi="Times New Roman" w:eastAsia="宋体"/>
          <w:b w:val="0"/>
          <w:sz w:val="24"/>
        </w:rPr>
        <w:t xml:space="preserve"> 对公开数据进行探索性分析，识别重复文本、标签冲突以及训练集与评估集之间的重叠，制定清洗规则，构建没有完全重复文本交叉的训练集、验证集和测试集（8802 / 979 / 1713 条）。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（2）</w:t>
      </w:r>
      <w:r>
        <w:rPr>
          <w:rFonts w:ascii="Times New Roman" w:hAnsi="Times New Roman" w:eastAsia="宋体"/>
          <w:b/>
          <w:sz w:val="24"/>
        </w:rPr>
        <w:t>多类模型的性能比较。</w:t>
      </w:r>
      <w:r>
        <w:rPr>
          <w:rFonts w:ascii="Times New Roman" w:hAnsi="Times New Roman" w:eastAsia="宋体"/>
          <w:b w:val="0"/>
          <w:sz w:val="24"/>
        </w:rPr>
        <w:t xml:space="preserve"> 在同一数据划分下比较三类方法：TF-IDF 配合逻辑回归和支持向量机的传统机器学习基线；BERT 与 RoBERTa-wwm-ext 预训练模型微调；Qwen3-8B、Qwen2.5-7B-Instruct、GLM-4-9B 三个开源大模型的零样本、少样本提示与 LoRA 微调。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（3）</w:t>
      </w:r>
      <w:r>
        <w:rPr>
          <w:rFonts w:ascii="Times New Roman" w:hAnsi="Times New Roman" w:eastAsia="宋体"/>
          <w:b/>
          <w:sz w:val="24"/>
        </w:rPr>
        <w:t>差异的统计推断。</w:t>
      </w:r>
      <w:r>
        <w:rPr>
          <w:rFonts w:ascii="Times New Roman" w:hAnsi="Times New Roman" w:eastAsia="宋体"/>
          <w:b w:val="0"/>
          <w:sz w:val="24"/>
        </w:rPr>
        <w:t xml:space="preserve"> 对 BERT、RoBERTa 和三个 LoRA 大模型各进行 3 次不同随机种子的训练，使用方差分析与 Tukey 事后检验、经 Holm 校正的 McNemar 检验，以及包含 Bonferroni 调整区间的配对 Bootstrap，从不同角度判断差异；TF-IDF 基线不作三种子重复。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（4）</w:t>
      </w:r>
      <w:r>
        <w:rPr>
          <w:rFonts w:ascii="Times New Roman" w:hAnsi="Times New Roman" w:eastAsia="宋体"/>
          <w:b/>
          <w:sz w:val="24"/>
        </w:rPr>
        <w:t>置信度校准与选择性预测。</w:t>
      </w:r>
      <w:r>
        <w:rPr>
          <w:rFonts w:ascii="Times New Roman" w:hAnsi="Times New Roman" w:eastAsia="宋体"/>
          <w:b w:val="0"/>
          <w:sz w:val="24"/>
        </w:rPr>
        <w:t xml:space="preserve"> 基于标签词的 logit 提取大模型的类别概率，计算期望校准误差（ECE）并绘制可靠性图，检验温度缩放的效果；绘制覆盖率—准确率曲线，比较各模型的 AURC；并在交换性假设下用保形预测构造有边际覆盖保证的预测集合，另行报告单元素集合的经验正确率。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（5）</w:t>
      </w:r>
      <w:r>
        <w:rPr>
          <w:rFonts w:ascii="Times New Roman" w:hAnsi="Times New Roman" w:eastAsia="宋体"/>
          <w:b/>
          <w:sz w:val="24"/>
        </w:rPr>
        <w:t>消融实验。</w:t>
      </w:r>
      <w:r>
        <w:rPr>
          <w:rFonts w:ascii="Times New Roman" w:hAnsi="Times New Roman" w:eastAsia="宋体"/>
          <w:b w:val="0"/>
          <w:sz w:val="24"/>
        </w:rPr>
        <w:t xml:space="preserve"> 考察训练样本量、LoRA 秩和 4 比特量化对微调效果与显存占用的影响。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（6）</w:t>
      </w:r>
      <w:r>
        <w:rPr>
          <w:rFonts w:ascii="Times New Roman" w:hAnsi="Times New Roman" w:eastAsia="宋体"/>
          <w:b/>
          <w:sz w:val="24"/>
        </w:rPr>
        <w:t>数据泄漏与标注噪声分析。</w:t>
      </w:r>
      <w:r>
        <w:rPr>
          <w:rFonts w:ascii="Times New Roman" w:hAnsi="Times New Roman" w:eastAsia="宋体"/>
          <w:b w:val="0"/>
          <w:sz w:val="24"/>
        </w:rPr>
        <w:t xml:space="preserve"> 区分实际优化训练集和验证集曝光，并在共同未曝光文本上比较清洗策略；描述重复记录的一致率及冲突类别构成，在独立对称噪声假设下作情景推算，不将其视为实测性能上限。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1.4 研究创新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与已有研究相比，本文的创新主要体现在以下四个方面。需要说明的是，LoRA、QLoRA、标签词概率提取等均为已有方法，本文的贡献在于数据质量分析、评估方法和统计分析层面。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</w:t>
      </w:r>
      <w:r>
        <w:rPr>
          <w:rFonts w:ascii="Times New Roman" w:hAnsi="Times New Roman" w:eastAsia="宋体"/>
          <w:b/>
          <w:sz w:val="24"/>
        </w:rPr>
        <w:t>识别并处理公开基准数据的重复与冲突，并明确评估曝光口径。</w:t>
      </w:r>
      <w:r>
        <w:rPr>
          <w:rFonts w:ascii="Times New Roman" w:hAnsi="Times New Roman" w:eastAsia="宋体"/>
          <w:b w:val="0"/>
          <w:sz w:val="24"/>
        </w:rPr>
        <w:t xml:space="preserve"> 原始 2020 条评估记录中，有 1097 条规范化文本也出现在原始训练文件中；文件内去重、去冲突后，两文件仍有 1092 个重叠文本，其中 228 个标签不同。本文区分实际训练曝光与验证曝光，在同样的 845 条共同未曝光文本上比较清洗前后的模型结果，并给出可复现的数据处理规则。不同评估子集的分数差只作描述，不解释为纯泄漏因果效应。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</w:t>
      </w:r>
      <w:r>
        <w:rPr>
          <w:rFonts w:ascii="Times New Roman" w:hAnsi="Times New Roman" w:eastAsia="宋体"/>
          <w:b/>
          <w:sz w:val="24"/>
        </w:rPr>
        <w:t>区分两种不确定性来源，并控制多重比较。</w:t>
      </w:r>
      <w:r>
        <w:rPr>
          <w:rFonts w:ascii="Times New Roman" w:hAnsi="Times New Roman" w:eastAsia="宋体"/>
          <w:b w:val="0"/>
          <w:sz w:val="24"/>
        </w:rPr>
        <w:t xml:space="preserve"> 多种子方差分析考察固定数据划分下的训练随机性；McNemar 与配对 Bootstrap 考察给定训练结果下的测试样本抽样误差。本文分别使用 Holm 校正和十对比较的 Bonferroni 区间。LoRA 大模型在所考察的三个种子中均取得更高的 F1 点估计，但种子 42 的大模型对 RoBERTa 的差异，在多重比较调整后未达到显著水平，不能推广为对新数据的稳定优势。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</w:t>
      </w:r>
      <w:r>
        <w:rPr>
          <w:rFonts w:ascii="Times New Roman" w:hAnsi="Times New Roman" w:eastAsia="宋体"/>
          <w:b/>
          <w:sz w:val="24"/>
        </w:rPr>
        <w:t>联合分析概率校准、选择性预测和集合预测。</w:t>
      </w:r>
      <w:r>
        <w:rPr>
          <w:rFonts w:ascii="Times New Roman" w:hAnsi="Times New Roman" w:eastAsia="宋体"/>
          <w:b w:val="0"/>
          <w:sz w:val="24"/>
        </w:rPr>
        <w:t xml:space="preserve"> Qwen3 零样本的平均置信度为 96.4%，实际准确率为 67.1%；LoRA 模型经测试分布内五折温度交叉拟合后，ECE 为 0.013～0.030。在选择性预测中，只处理置信度最高的 50% 样本时准确率约为 96%。标准保形预测整体覆盖率约为 90%，约 77%～78% 的预测集合是单元素，但单元素子集的准确率约为 88.7%～89.3%，不具有自动推出的 90% 条件保证。本文同时披露历史概率存储精度对零样本 NLL 与温度估计的影响。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第四，</w:t>
      </w:r>
      <w:r>
        <w:rPr>
          <w:rFonts w:ascii="Times New Roman" w:hAnsi="Times New Roman" w:eastAsia="宋体"/>
          <w:b/>
          <w:sz w:val="24"/>
        </w:rPr>
        <w:t>描述重复记录中的标签分歧，并限定噪声推算的含义。</w:t>
      </w:r>
      <w:r>
        <w:rPr>
          <w:rFonts w:ascii="Times New Roman" w:hAnsi="Times New Roman" w:eastAsia="宋体"/>
          <w:b w:val="0"/>
          <w:sz w:val="24"/>
        </w:rPr>
        <w:t xml:space="preserve"> 配对标签一致率为 82.9%，基于配对两端汇总边际的机会校正一致性指标 K_pair 为 0.742，82% 的冲突涉及中性类。独立对称噪声模型下可推算 q 约为 0.908，但由于缺少独立复标证据且清洗改变了评估样本，不将其解释为清洗后测试集的准确率上限，也不据此宣称模型接近人工水平。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1.5 论文结构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本文共分为五章，各章内容安排如下：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 1 章为绪论，介绍研究背景、研究问题与意义、研究内容、创新点和论文结构。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 2 章为相关理论与方法，介绍文本表示与传统分类方法、Transformer 与预训练语言模型、大语言模型及 LoRA 微调原理，以及模型比较的统计检验、置信度校准、选择性预测与保形预测等方法。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 3 章为数据与研究方法，介绍 FinFE 数据集的来源、质量检查与清洗过程、探索性分析，以及各模型的实验设置与评价指标。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 4 章为实验结果与分析，报告各模型的性能比较、统计检验、校准与选择性预测、消融实验、数据泄漏与标注噪声分析以及保形预测的结果。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 5 章为结论与展望，总结主要结论，讨论研究的不足，并展望将情感分类结果用于股价预测等后续研究方向。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