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（1）公开数据存在重复和标签冲突，应区分曝光口径并检查评估样本构成。</w:t>
      </w:r>
      <w:r>
        <w:rPr>
          <w:rFonts w:ascii="Times New Roman" w:hAnsi="Times New Roman" w:eastAsia="宋体"/>
          <w:b w:val="0"/>
          <w:sz w:val="24"/>
        </w:rPr>
        <w:t xml:space="preserve"> 原始 2020 条评估记录中有 1097 条与原始训练文件文本重叠；文件内清洗后，跨文件重叠文本为 1092 个，其中 228 个标签不同。清洗后的训练、验证和测试集规模为 8802 / 979 / 1713，集合间不存在完全重复文本。在同样的 845 条共同未曝光文本上，RoBERTa 三种子平均 F1 从未清洗训练的 0.7309 变为清洗训练的 0.7392。该比较描述清洗策略的整体差异，不识别单独的泄漏因果效应。</w:t>
      </w:r>
    </w:p>
    <w:p>
      <w:pPr>
        <w:spacing w:line="360" w:lineRule="auto" w:after="0"/>
        <w:ind w:firstLine="480"/>
      </w:pPr>
      <w:r>
        <w:rPr>
          <w:rFonts w:ascii="Times New Roman" w:hAnsi="Times New Roman" w:eastAsia="宋体"/>
          <w:b/>
          <w:sz w:val="24"/>
        </w:rPr>
        <w:t>（2）LoRA 微调的大模型取得了更高的分类点估计，但领先幅度有限。</w:t>
      </w:r>
      <w:r>
        <w:rPr>
          <w:rFonts w:ascii="Times New Roman" w:hAnsi="Times New Roman" w:eastAsia="宋体"/>
          <w:b w:val="0"/>
          <w:sz w:val="24"/>
        </w:rPr>
        <w:t xml:space="preserve"> 在清洗后的测试集上，TF-IDF 的宏平均 F1 约为 0.70，RoBERTa 约为 0.778，三个 LoRA 大模型为 0.798～0.807。零样本和少样本提示的 F1 约为 0.63～0.70，低于微调后的 RoBERTa。三个 LoRA 模型之间的方差分析未检出差异（p = 0.14），这不等于已证明它们等效。</w:t>
      </w:r>
    </w:p>
    <w:p>
      <w:pPr>
        <w:spacing w:line="360" w:lineRule="auto" w:after="0"/>
        <w:ind w:firstLine="480"/>
      </w:pPr>
      <w:r>
        <w:rPr>
          <w:rFonts w:ascii="Times New Roman" w:hAnsi="Times New Roman" w:eastAsia="宋体"/>
          <w:b/>
          <w:sz w:val="24"/>
        </w:rPr>
        <w:t>（3）模型比较应同时交代不确定性来源和多重比较口径。</w:t>
      </w:r>
      <w:r>
        <w:rPr>
          <w:rFonts w:ascii="Times New Roman" w:hAnsi="Times New Roman" w:eastAsia="宋体"/>
          <w:b w:val="0"/>
          <w:sz w:val="24"/>
        </w:rPr>
        <w:t xml:space="preserve"> 在固定数据划分的 3 个训练种子中，三个 LoRA 模型的 F1 点估计均高于 RoBERTa，Tukey 比较 p = 0.001～0.021。对种子 42 的逐条预测，McNemar 检验经 Holm 校正后不显著；50000 次配对 Bootstrap 中，三个 LoRA 对 RoBERTa 的 F1 差约为 0.018～0.019，十对比较的 Bonferroni 调整区间均包含 0。因此只能说本次重复中的点估计一致更高，尚不能证实面向新样本的稳定优势。</w:t>
      </w:r>
    </w:p>
    <w:p>
      <w:pPr>
        <w:spacing w:line="360" w:lineRule="auto" w:after="0"/>
        <w:ind w:firstLine="480"/>
      </w:pPr>
      <w:r>
        <w:rPr>
          <w:rFonts w:ascii="Times New Roman" w:hAnsi="Times New Roman" w:eastAsia="宋体"/>
          <w:b/>
          <w:sz w:val="24"/>
        </w:rPr>
        <w:t>（4）校准、选择性预测与集合覆盖需要分别解释。</w:t>
      </w:r>
      <w:r>
        <w:rPr>
          <w:rFonts w:ascii="Times New Roman" w:hAnsi="Times New Roman" w:eastAsia="宋体"/>
          <w:b w:val="0"/>
          <w:sz w:val="24"/>
        </w:rPr>
        <w:t xml:space="preserve"> 零样本 Qwen3 的平均置信度为 96.4%，准确率为 67.1%，存在明显过度自信。LoRA 模型在测试分布内五折温度交叉拟合后的 ECE 为 0.013～0.030；只回答最高置信度的 50% 样本时准确率约为 96%。标准保形预测整体覆盖率约为 90%，约 77%～78% 的集合为单元素，但这些单元素预测的准确率仅为 88.7%～89.3%，不能赋予额外的 90% 条件保证。按类别校准使中性类经验覆盖率接近 90%，同时增加集合大小。历史概率的六位小数存储影响零样本 NLL、温度和部分并列分数，相关数值需结合截断敏感性解读。</w:t>
      </w:r>
    </w:p>
    <w:p>
      <w:pPr>
        <w:spacing w:line="360" w:lineRule="auto" w:after="0"/>
        <w:ind w:firstLine="480"/>
      </w:pPr>
      <w:r>
        <w:rPr>
          <w:rFonts w:ascii="Times New Roman" w:hAnsi="Times New Roman" w:eastAsia="宋体"/>
          <w:b/>
          <w:sz w:val="24"/>
        </w:rPr>
        <w:t>（5）当前消融结果提示较低资源配置可行，但不是超参数等效性证明。</w:t>
      </w:r>
      <w:r>
        <w:rPr>
          <w:rFonts w:ascii="Times New Roman" w:hAnsi="Times New Roman" w:eastAsia="宋体"/>
          <w:b w:val="0"/>
          <w:sz w:val="24"/>
        </w:rPr>
        <w:t xml:space="preserve"> 训练样本量从 500 条增加到全量时，单次 F1 从 0.766 升至 0.800；LoRA 秩 4～32 的单次 F1 为 0.798～0.809。4 比特 QLoRA 的单次 F1 为 0.807，框架记录的峰值分配显存为 11.2 GB，低于 16 位配置的 18.3 GB。由于缺少各配置的重复与等效性检验，结论限于观察到的结果，不能保证任意 12 GB 显卡环境均可运行。</w:t>
      </w:r>
    </w:p>
    <w:p>
      <w:pPr>
        <w:spacing w:line="360" w:lineRule="auto" w:after="0"/>
        <w:ind w:firstLine="480"/>
      </w:pPr>
      <w:r>
        <w:rPr>
          <w:rFonts w:ascii="Times New Roman" w:hAnsi="Times New Roman" w:eastAsia="宋体"/>
          <w:b/>
          <w:sz w:val="24"/>
        </w:rPr>
        <w:t>（6）重复记录揭示标签分歧，但不能据此确定性能上限。</w:t>
      </w:r>
      <w:r>
        <w:rPr>
          <w:rFonts w:ascii="Times New Roman" w:hAnsi="Times New Roman" w:eastAsia="宋体"/>
          <w:b w:val="0"/>
          <w:sz w:val="24"/>
        </w:rPr>
        <w:t xml:space="preserve"> 配对一致率为 82.9%，按配对两端汇总边际定义的机会校正指标 K_pair 为 0.742；82% 的冲突涉及中性类，与中性类识别较困难的现象相一致。独立同质对称噪声模型下 q 约为 0.908，但原始文件没有独立复标证明，且清洗改变了样本构成，因此不将其解释为清洗后测试集的准确率上限，也不宣称模型已接近人工水平。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无法从重复记录识别真实标注噪声率。</w:t>
      </w:r>
      <w:r>
        <w:rPr>
          <w:rFonts w:ascii="Times New Roman" w:hAnsi="Times New Roman" w:eastAsia="宋体"/>
          <w:b w:val="0"/>
          <w:sz w:val="24"/>
        </w:rPr>
        <w:t xml:space="preserve"> q 的推算依赖给定真实类别后独立、同质和均匀错标等假设，但原始文件不提供标注者身份或金标准；重复文本也非随机样本，且清洗后测试集剔除了部分冲突记录。因此该推算仅是情景分析。</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近重复和样本选择的影响尚未充分评估。</w:t>
      </w:r>
      <w:r>
        <w:rPr>
          <w:rFonts w:ascii="Times New Roman" w:hAnsi="Times New Roman" w:eastAsia="宋体"/>
          <w:b w:val="0"/>
          <w:sz w:val="24"/>
        </w:rPr>
        <w:t xml:space="preserve"> 本文只排除了规范化后的完全重复，未系统排除近重复或预训练污染；依据跨文件标签一致性删除测试记录，改变了目标人群，可能降低样本难度，不能视为原始总体的无偏随机测试样本。</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line="360" w:lineRule="auto" w:after="0"/>
        <w:ind w:firstLine="480"/>
      </w:pPr>
      <w:r>
        <w:rPr>
          <w:rFonts w:ascii="Times New Roman" w:hAnsi="Times New Roman" w:eastAsia="宋体"/>
          <w:b w:val="0"/>
          <w:sz w:val="24"/>
        </w:rPr>
        <w:t>（7）</w:t>
      </w:r>
      <w:r>
        <w:rPr>
          <w:rFonts w:ascii="Times New Roman" w:hAnsi="Times New Roman" w:eastAsia="宋体"/>
          <w:b/>
          <w:sz w:val="24"/>
        </w:rPr>
        <w:t>概率精度和独立评估受限。</w:t>
      </w:r>
      <w:r>
        <w:rPr>
          <w:rFonts w:ascii="Times New Roman" w:hAnsi="Times New Roman" w:eastAsia="宋体"/>
          <w:b w:val="0"/>
          <w:sz w:val="24"/>
        </w:rPr>
        <w:t xml:space="preserve"> 历史预测概率只保留六位小数，丢失的尾部精度无法通过更换截断下限恢复。当前温度缩放采用测试分布内交叉拟合，保形预测也反复划分同一批样本；两者都不等同于独立外部部署验证。后续应保留高精度概率或 logits，并使用独立校准与最终评估数据。</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