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Times New Roman" w:hAnsi="Times New Roman" w:eastAsia="黑体"/>
          <w:b/>
          <w:sz w:val="36"/>
        </w:rPr>
        <w:t>第2章 相关理论与方法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章介绍本文所用方法的基本原理，包括文本表示与传统分类方法、预训练语言模型、大语言模型及其参数高效微调、模型评价指标、模型比较的统计检验、置信度校准与选择性预测，以及标注一致性的度量方法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2.1 金融情感分析概述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文本情感分析（sentiment analysis）是指从文本中识别作者所表达的主观态度，通常分为积极、消极、中性等类别。金融情感分析是其在金融领域的应用，研究对象包括财经新闻、上市公司公告、研究报告和投资者在社交媒体上发布的评论等。已有研究表明，从这些文本中提取的情绪信息与股票收益、成交量和市场波动存在关联 [Tetlock, 2007; 游家兴和吴静, 2012; 部慧等, 2018]，因此金融情感分析是连接文本数据与金融市场研究的重要环节 [沈艳等, 2019]。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与一般领域相比，金融情感分析有以下特点：一是存在大量领域术语，通用情感词在金融语境中可能含义不同，例如“负债”在一般语境中带有消极色彩，在财务报表中却只是中性的会计科目 [Loughran 和 McDonald, 2011]；二是社交媒体评论篇幅短、口语化，常含股票代码、网络用语和反讽；三是中性与弱积极、弱消极之间的边界模糊，即使人工标注也容易产生分歧 [Malo 等, 2014]。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从方法上看，金融情感分析大致经历了情感词典、传统机器学习、预训练语言模型和大语言模型四个阶段。本文选取后三个阶段的代表方法进行比较，下面分别介绍。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2.2 文本表示与传统机器学习方法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2.2.1 TF-IDF 文本表示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计算机不能直接处理文字，需要先把文本转换成数值向量。TF-IDF（词频—逆文档频率）是最常用的方法之一。对于词 t 和文档 d，其权重定义为：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tfidf(t, d) = tf(t, d) × log[ N / (1 + df(t)) ]　　（2-1）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 tf(t, d) 是词 t 在文档 d 中出现的次数，N 是文档总数，df(t) 是包含词 t 的文档数。直观地说，一个词在某篇文档中出现得越多、在其他文档中出现得越少，就越能代表这篇文档。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中文文本没有天然的词间空格，可以先分词再计算，也可以直接使用字符 n-gram（连续 n 个字）作为特征，本文采用 1～3 元字符 n-gram。字符 n-gram 不依赖分词工具，对网络用语和股票简称更稳健。TF-IDF 的缺点是只统计词语是否出现，不考虑词序和上下文，因此难以处理“不看好”“涨不动了”这类依赖语序的表达。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2.2.2 逻辑回归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多分类逻辑回归（softmax 回归）假设样本 x 属于第 k 类的概率为：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P(y = k | x) = exp(w_k·x + b_k) / Σ_j exp(w_j·x + b_j)　　（2-2）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模型参数通过最大化训练数据的对数似然（等价于最小化交叉熵损失）估计，并通常加入 L2 正则项防止过拟合。逻辑回归结构简单、训练快，能直接输出类别概率，是文本分类中常用的基线方法。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2.2.3 支持向量机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线性支持向量机（SVM）的思想是在特征空间中寻找一个超平面，使两类样本之间的间隔最大。其优化目标为：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min (1/2)‖w‖² + C Σ_i max(0, 1 − y_i(w·x_i + b))　　（2-3）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 C 控制对误分类的惩罚强度。多分类问题可以通过“一对其余”的方式转化为多个二分类问题。TF-IDF 特征维度高而稀疏，线性 SVM 在这类数据上通常表现良好。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2.3 预训练语言模型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2.3.1 Transformer 与自注意力机制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Transformer [Vaswani 等, 2017] 是目前主流语言模型的基础结构，其核心是自注意力（self-attention）机制。对于输入序列，每个位置的向量通过三个线性变换分别得到查询 Q、键 K 和值 V，注意力输出为：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Attention(Q, K, V) = softmax( QKᵀ / √d_k ) V　　（2-4）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 d_k 为向量维度。直观地说，每个字在计算自己的表示时，都会“看一遍”句子中所有其他字，并根据相关程度加权汇总它们的信息。与按顺序逐字处理的循环神经网络相比，自注意力能够直接建模任意距离的依赖关系，并且便于并行计算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2.3.2 BERT 与 RoBERTa-wwm-ext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BERT [Devlin 等, 2019] 由多层 Transformer 编码器组成，采用“预训练 + 微调”的两阶段范式。在预训练阶段，模型在大规模无标注语料上完成掩码语言模型任务，即随机遮住部分字词，让模型根据上下文进行预测，从而学到通用的语言知识。在微调阶段，在输入序列开头的 [CLS] 位置输出上接一个分类层，用少量有标注数据对整个模型进行训练，即可完成情感分类等下游任务。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在中文场景中，Cui 等（2021）提出了全词掩码（whole word masking）策略：遮盖时以词为单位，而不是只遮盖单个汉字，使模型更好地学习词级语义。RoBERTa-wwm-ext 在此基础上采用了 RoBERTa 的训练方式，并使用了更大规模的中文语料，是中文文本分类中常用的强基线。在金融领域，FinBERT [Araci, 2019] 等模型通过在金融语料上继续预训练进一步提升了效果。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2.4 大语言模型与参数高效微调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2.4.1 大语言模型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大语言模型（large language model, LLM）通常指参数量在数十亿以上、基于 Transformer 解码器的生成式模型。它们通过“根据前文预测下一个词”的方式在海量文本上进行预训练，研究发现模型性能随参数量、数据量和计算量的增加而按幂律规律提升 [Kaplan 等, 2020]。经过指令微调后，大模型可以按照自然语言指令完成各种任务。本文使用的 Qwen3-8B [Yang 等, 2025]、Qwen2.5-7B-Instruct 和 GLM-4-9B-Chat 都是参数量在 70 亿到 90 亿之间、中文能力较强的开源模型。在金融领域，也出现了 BloombergGPT [Wu 等, 2023]、FinGPT [Yang 等, 2023] 等专门的大模型。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2.4.2 零样本与少样本提示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大模型可以不经训练、直接通过提示词（prompt）完成分类任务。零样本（zero-shot）提示只给出任务说明和待分类文本，例如“判断下面这条股民评论的情感倾向，只回答消极、中性或积极”；少样本（few-shot）提示则在任务说明后附上若干带标签的示例，让模型通过上下文学习（in-context learning）模仿示例作答 [Brown 等, 2020]。提示方法不需要训练，但效果依赖提示词的设计，且通常不如有监督微调。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2.4.3 基于标签词的概率提取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生成式大模型输出的是文本，而统计评价和校准分析需要每个类别的概率。本文采用标签词概率提取的方法：在提示词末尾让模型生成答案时，读取模型在第一个输出位置上对三个标签词（“消极”“中性”“积极”）首个词元的 logit 值 z_k，再做 softmax 归一化：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p_k = exp(z_k) / Σ_j exp(z_j)，k ∈ {消极, 中性, 积极}　　（2-5）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取概率最大的类别作为预测结果，最大概率作为模型的置信度。这种做法保证了输出一定落在三个类别之内，也使大模型可以和 BERT 等模型一样计算校准指标。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2.4.4 LoRA 低秩适配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全参数微调需要更新模型的全部参数。以 80 亿参数的模型为例，仅参数、梯度和优化器状态就需要上百 GB 显存，远超单张消费级显卡的容量。参数高效微调方法只训练少量新增参数，其中 LoRA（low-rank adaptation）[Hu 等, 2022] 是最常用的一种。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LoRA 的基本假设是：模型在适应新任务时，权重的变化量是“低秩”的，即可以用两个小矩阵的乘积近似。对于预训练权重 W₀ ∈ ℝ^(d×k)，LoRA 冻结 W₀，只训练两个低秩矩阵 B ∈ ℝ^(d×r) 和 A ∈ ℝ^(r×k)：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h = W₀x + ΔWx = W₀x + (α/r)·BAx　　（2-6）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其中秩 r 远小于 d 和 k（本文取 4～32），α 为缩放系数。初始化时 B 为零矩阵，使训练开始时模型与原模型完全相同。以 d = k = 4096、r = 16 为例，原矩阵有约 1678 万个参数，而 LoRA 只需训练 2 × 4096 × 16 ≈ 13 万个参数，不到原来的 1%。训练完成后，BA 可以合并回 W₀，不增加推理开销。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2.4.5 QLoRA 量化微调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QLoRA [Dettmers 等, 2023] 在 LoRA 的基础上进一步把冻结的预训练权重量化为 4 比特存储，计算时再临时反量化为 16 位精度，LoRA 参数仍以 16 位精度训练。由于冻结权重占显存的绝大部分，这种做法可以把 8B 模型微调的显存需求降低一半以上，而效果与 16 位 LoRA 基本相当。本文在消融实验中比较了两种方式的效果与显存占用。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2.5 分类评价指标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设测试集中第 k 类的真正例、假正例和假反例个数分别为 TP_k、FP_k 和 FN_k，则该类的精确率、召回率和 F1 值为：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P_k = TP_k / (TP_k + FP_k)，R_k = TP_k / (TP_k + FN_k)，F1_k = 2P_kR_k / (P_k + R_k)　　（2-7）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准确率（accuracy）为预测正确的样本占全部样本的比例。宏平均 F1（Macro-F1）为各类别 F1 的简单平均：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Macro-F1 = (1/K) Σ_k F1_k　　（2-8）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准确率容易被样本多的类别主导。本文数据中积极类约占一半，若模型偏向预测积极，准确率仍可能较高，而宏平均 F1 对每个类别一视同仁，更能反映模型在少数类上的表现，因此本文以宏平均 F1 为主要指标。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2.6 模型比较的统计检验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模型分数之间的差异可能来自两种随机性：一是</w:t>
      </w:r>
      <w:r>
        <w:rPr>
          <w:rFonts w:ascii="Times New Roman" w:hAnsi="Times New Roman" w:eastAsia="宋体"/>
          <w:b/>
          <w:sz w:val="24"/>
        </w:rPr>
        <w:t>训练随机性</w:t>
      </w:r>
      <w:r>
        <w:rPr>
          <w:rFonts w:ascii="Times New Roman" w:hAnsi="Times New Roman" w:eastAsia="宋体"/>
          <w:b w:val="0"/>
          <w:sz w:val="24"/>
        </w:rPr>
        <w:t>，即同一模型换一个随机种子重新训练，分数也会波动；二是</w:t>
      </w:r>
      <w:r>
        <w:rPr>
          <w:rFonts w:ascii="Times New Roman" w:hAnsi="Times New Roman" w:eastAsia="宋体"/>
          <w:b/>
          <w:sz w:val="24"/>
        </w:rPr>
        <w:t>测试样本抽样误差</w:t>
      </w:r>
      <w:r>
        <w:rPr>
          <w:rFonts w:ascii="Times New Roman" w:hAnsi="Times New Roman" w:eastAsia="宋体"/>
          <w:b w:val="0"/>
          <w:sz w:val="24"/>
        </w:rPr>
        <w:t>，即测试集只是所有可能样本中的一个有限样本，换一批测试样本，分数也会不同 [Dietterich, 1998]。本文针对这两种来源分别使用不同的检验方法。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2.6.1 方差分析与多重比较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针对训练随机性，本文对每个需要训练的模型用 r 个不同随机种子各训练一次，把每次的宏平均 F1 看作一个观测值，用单因素方差分析（ANOVA）检验各模型的平均分数是否相同。其检验统计量为：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F = [ Σ_i n_i(ȳ_i − ȳ)² / (g − 1) ] / [ Σ_i Σ_j (y_ij − ȳ_i)² / (N − g) ]　　（2-9）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 g 为模型个数，ȳ_i 为第 i 个模型的平均分数，ȳ 为总平均。F 值越大，说明模型间差异相对于种子间波动越大。当各组方差可能不等时，可使用 Welch 方差分析作为稳健性检验。若方差分析显著，再用 Tukey HSD 检验进行两两比较，它在所有两两比较中同时控制第一类错误率。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2.6.2 McNemar 检验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针对测试样本抽样误差，McNemar 检验 [McNemar, 1947] 用于比较两个模型在同一测试集上的准确率。设 b 为模型甲正确而模型乙错误的样本数，c 为模型甲错误而模型乙正确的样本数，在“两模型准确率相同”的原假设下，b 应服从参数为 (b + c, 0.5) 的二项分布；样本较多时，也可用统计量：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χ² = (|b − c| − 1)² / (b + c)　　（2-10）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近似服从自由度为 1 的卡方分布。该检验只利用两个模型预测不一致的样本，考虑了两模型在同一批样本上的配对关系，是比较分类器的常用方法 [Dietterich, 1998]。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2.6.3 配对 Bootstrap 置信区间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宏平均 F1 不是简单的比例，难以写出其差值的解析分布。Bootstrap 方法 [Efron 和 Tibshirani, 1993] 通过重抽样来近似统计量的抽样分布：从 n 个测试样本中有放回地抽取 n 个，组成一个新的测试集，在其上计算两个模型的 F1 差值；重复 B 次（本文取 B = 2000），取所有差值的 2.5% 和 97.5% 分位数作为 95% 置信区间。“配对”指两个模型每次都在同一批重抽样样本上计算，从而保留了两者之间的相关性。若置信区间不包含 0，则认为差异显著。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2.6.4 Holm 多重比较校正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同时进行 m 次检验时，即使每次检验的显著性水平都是 0.05，至少出现一次误判的概率也会明显增大。Holm 方法 [Holm, 1979] 将 m 个 p 值从小到大排序为 p₍₁₎ ≤ … ≤ p₍ₘ₎，依次将 p₍ᵢ₎ 与 α/(m − i + 1) 比较，一旦某个 p 值不满足条件，就停止并接受其后所有原假设。等价地，校正后的 p 值为：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p̃₍ᵢ₎ = max_{j ≤ i} min{ 1, (m − j + 1) p₍ⱼ₎ }　　（2-11）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Holm 方法在控制总体第一类错误率的同时，比 Bonferroni 校正更不保守。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2.7 置信度校准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2.7.1 校准的含义与度量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如果一个模型对一批样本给出的置信度都是 80%，那么这批样本中应当恰好约 80% 被预测正确，这样的模型称为“校准良好”的模型。研究发现，现代深度神经网络往往过度自信，即置信度系统性地高于实际准确率 [Guo 等, 2017]；LoRA 微调的大模型也存在类似问题 [Balabanov 和 Linander, 2024]。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期望校准误差（expected calibration error, ECE）是最常用的校准度量。将样本按置信度划分为 M 个区间（本文取 M = 15），第 m 个区间的样本集合为 B_m，则：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ECE = Σ_m (|B_m| / n) · |acc(B_m) − conf(B_m)|　　（2-12）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 acc(B_m) 和 conf(B_m) 分别为该区间内的实际准确率和平均置信度。ECE 越小，校准越好。以横轴为置信度、纵轴为准确率画出的图称为可靠性图，完全校准的模型应落在对角线上。</w:t>
      </w:r>
    </w:p>
    <w:p>
      <w:pPr>
        <w:spacing w:before="120" w:after="60"/>
      </w:pPr>
      <w:r>
        <w:rPr>
          <w:rFonts w:ascii="Times New Roman" w:hAnsi="Times New Roman" w:eastAsia="黑体"/>
          <w:b/>
          <w:sz w:val="24"/>
        </w:rPr>
        <w:t>2.7.2 温度缩放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温度缩放（temperature scaling）[Guo 等, 2017] 是一种简单有效的校准方法：用一个标量 T &gt; 0 除以模型输出的 logit，再做 softmax：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p_k = exp(z_k / T) / Σ_j exp(z_j / T)　　（2-13）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T &gt; 1 会使概率分布更“平”，降低过高的置信度；T &lt; 1 则相反。T 通常在一组留出样本上通过最小化负对数似然确定（本文的具体做法见 3.7.3 节，采用测试集上的 5 折交叉拟合）。由于除以同一个正数不改变 logit 的大小顺序，温度缩放不会改变预测类别和准确率，只调整置信度。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2.8 选择性预测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在实际应用中，模型可以对没把握的样本“拒绝回答”，交给人工处理，这称为选择性预测（selective prediction）[Chow, 1970; Geifman 和 El-Yaniv, 2017]。具体做法是设定置信度阈值 τ，只对置信度不低于 τ 的样本给出预测。被模型回答的样本占全部样本的比例称为</w:t>
      </w:r>
      <w:r>
        <w:rPr>
          <w:rFonts w:ascii="Times New Roman" w:hAnsi="Times New Roman" w:eastAsia="宋体"/>
          <w:b/>
          <w:sz w:val="24"/>
        </w:rPr>
        <w:t>覆盖率</w:t>
      </w:r>
      <w:r>
        <w:rPr>
          <w:rFonts w:ascii="Times New Roman" w:hAnsi="Times New Roman" w:eastAsia="宋体"/>
          <w:b w:val="0"/>
          <w:sz w:val="24"/>
        </w:rPr>
        <w:t>，在这些样本上的错误率称为</w:t>
      </w:r>
      <w:r>
        <w:rPr>
          <w:rFonts w:ascii="Times New Roman" w:hAnsi="Times New Roman" w:eastAsia="宋体"/>
          <w:b/>
          <w:sz w:val="24"/>
        </w:rPr>
        <w:t>风险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阈值越高，覆盖率越低，但被回答样本的准确率通常越高。将阈值从高到低变化，可以得到风险—覆盖率曲线，曲线下面积 AURC（area under the risk-coverage curve）综合反映了模型的置信度排序能力：AURC 越小，说明模型越能把错误样本排在低置信度的位置。与 ECE 关注“置信度的数值是否准确”不同，AURC 关注“置信度的高低顺序是否合理”。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2.9 标注一致性与标签噪声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有监督学习以人工标注为“标准答案”，但人工标注本身可能有误。若同一文本被独立标注两次，两次标注相同的比例称为观察一致率 p_o。为扣除偶然一致的部分，Cohen 提出 κ 系数：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κ = (p_o − p_e) / (1 − p_e)　　（2-14）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其中 p_e 为按各类别的标注比例计算的偶然一致率。κ 为 1 表示完全一致，为 0 表示一致程度与随机标注相同。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进一步，若假设每次标注以概率 q 给出正确类别，出错时等可能地给出其余两个类别之一，则两次标注一致的概率为 p_o = q² + (1 − q)²/2。解此方程可得：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　　q = [1 + √(6p_o − 2)] / 3　　（2-15）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q 可理解为单次标注的准确率。由于测试集标签本身也以 q 的概率正确，即使模型完全掌握了真实情感，其与测试标签的一致率一般也难以明显超过 q，因此 q 可作为模型准确率的近似上限。需要注意的是，该模型假设各类别的出错概率相同，只是一种简化。</w:t>
      </w:r>
    </w:p>
    <w:p>
      <w:pPr>
        <w:spacing w:before="240" w:after="120"/>
      </w:pPr>
      <w:r>
        <w:rPr>
          <w:rFonts w:ascii="Times New Roman" w:hAnsi="Times New Roman" w:eastAsia="黑体"/>
          <w:b/>
          <w:sz w:val="28"/>
        </w:rPr>
        <w:t>2.10 本章小结</w:t>
      </w:r>
    </w:p>
    <w:p>
      <w:pPr>
        <w:spacing w:line="360" w:lineRule="auto" w:after="0"/>
        <w:ind w:firstLine="480"/>
      </w:pPr>
      <w:r>
        <w:rPr>
          <w:rFonts w:ascii="Times New Roman" w:hAnsi="Times New Roman" w:eastAsia="宋体"/>
          <w:b w:val="0"/>
          <w:sz w:val="24"/>
        </w:rPr>
        <w:t>本章介绍了本文所用方法的理论基础。在模型方面，TF-IDF 配合逻辑回归和 SVM 代表传统机器学习方法，RoBERTa-wwm-ext 代表预训练语言模型，Qwen3-8B 等开源大模型通过提示或 LoRA、QLoRA 微调完成分类，并通过标签词概率提取得到类别概率。在评价方面，本文以宏平均 F1 为主要指标，用方差分析和 Tukey 检验处理训练随机性，用 McNemar 检验、配对 Bootstrap 和 Holm 校正处理测试样本抽样误差，用 ECE、温度缩放和 AURC 评估置信度的可靠性，并用 κ 系数和简化噪声模型估计标注质量。第 3 章将在此基础上介绍数据处理与实验设计。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