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Arial" w:hAnsi="Arial"/>
          <w:color w:val="003366"/>
        </w:rPr>
        <w:t>Cenaris AI Review Engine: Technical Specification</w:t>
      </w:r>
    </w:p>
    <w:p>
      <w:r>
        <w:t>This document provides a comprehensive technical overview of the AI-powered compliance review system in the Cenaris Compliance Platform. It outlines the document pre-processing pipelines, the Retrieval-Augmented Generation (RAG) implementation, the deterministic compliance-scoring rubrics, and the OpenRouter LLM integration.</w:t>
      </w:r>
    </w:p>
    <w:p>
      <w:r>
        <w:t>---</w:t>
      </w:r>
    </w:p>
    <w:p>
      <w:pPr>
        <w:pStyle w:val="Heading1"/>
      </w:pPr>
      <w:r>
        <w:rPr>
          <w:rFonts w:ascii="Arial" w:hAnsi="Arial"/>
          <w:color w:val="004488"/>
        </w:rPr>
        <w:t>1. Architectural Blueprint</w:t>
      </w:r>
    </w:p>
    <w:p>
      <w:r>
        <w:t>The Cenaris AI Review Engine implements a hybrid deterministic-generative architecture. Rather than relying solely on raw LLM prompts (which are susceptible to hallucinations and lack auditing trails), the engine uses a layered pipeline:</w:t>
      </w:r>
    </w:p>
    <w:p>
      <w:pPr>
        <w:spacing w:before="120" w:after="120"/>
        <w:ind w:left="576"/>
      </w:pPr>
      <w:r>
        <w:rPr>
          <w:rFonts w:ascii="Consolas" w:hAnsi="Consolas"/>
          <w:color w:val="333333"/>
          <w:sz w:val="19"/>
        </w:rPr>
        <w:t>graph TD</w:t>
        <w:br/>
        <w:t xml:space="preserve">    Upload[Uploaded Policy Document] --&gt; Extract[Text Extraction Pipeline]</w:t>
        <w:br/>
        <w:t xml:space="preserve">    Extract --&gt; Diagnostics[Extraction Diagnostics]</w:t>
        <w:br/>
        <w:t xml:space="preserve">    Extract --&gt; Matcher[Requirement Matcher]</w:t>
        <w:br/>
        <w:t xml:space="preserve">    </w:t>
        <w:br/>
        <w:t xml:space="preserve">    Matcher --&gt;|Top Mapped Requirements| QueryBuilder[Query Expansion Builder]</w:t>
        <w:br/>
        <w:t xml:space="preserve">    QueryBuilder --&gt;|Expanded Query| RAG[Hybrid Lexical-Semantic Search]</w:t>
        <w:br/>
        <w:t xml:space="preserve">    Corpus[(NDIS Corpus JSONL)] --&gt;|Pre-compiled Matrix| RAG</w:t>
        <w:br/>
        <w:t xml:space="preserve">    </w:t>
        <w:br/>
        <w:t xml:space="preserve">    RAG --&gt;|Top 3 Citations| Scoring[Deterministic Rubric Scoring]</w:t>
        <w:br/>
        <w:t xml:space="preserve">    Diagnostics --&gt; Scoring</w:t>
        <w:br/>
        <w:t xml:space="preserve">    </w:t>
        <w:br/>
        <w:t xml:space="preserve">    Scoring --&gt;|Compliance Rating + Confidence| LLM[OpenRouter Summary Generator]</w:t>
        <w:br/>
        <w:t xml:space="preserve">    LLM --&gt;|Auditable Verdict| Final[Cenaris UI &amp; Database logs]</w:t>
      </w:r>
    </w:p>
    <w:p>
      <w:r>
        <w:t>---</w:t>
      </w:r>
    </w:p>
    <w:p>
      <w:pPr>
        <w:pStyle w:val="Heading1"/>
      </w:pPr>
      <w:r>
        <w:rPr>
          <w:rFonts w:ascii="Arial" w:hAnsi="Arial"/>
          <w:color w:val="004488"/>
        </w:rPr>
        <w:t>2. Text Extraction &amp; Diagnostics Pipeline</w:t>
      </w:r>
    </w:p>
    <w:p>
      <w:r>
        <w:t>The engine extracts text from standard document formats and measures extraction quality before downstream scoring.</w:t>
      </w:r>
    </w:p>
    <w:p>
      <w:pPr>
        <w:pStyle w:val="Heading2"/>
      </w:pPr>
      <w:r>
        <w:rPr>
          <w:rFonts w:ascii="Arial" w:hAnsi="Arial"/>
          <w:color w:val="006699"/>
        </w:rPr>
        <w:t>Multi-Strategy PDF Parsing</w:t>
      </w:r>
    </w:p>
    <w:p>
      <w:r>
        <w:t>PDF extraction runs sequentially through three engines to maximize recovery from complex tables and layouts:</w:t>
      </w:r>
    </w:p>
    <w:p>
      <w:r>
        <w:t xml:space="preserve">1. </w:t>
      </w:r>
      <w:r>
        <w:rPr>
          <w:b/>
        </w:rPr>
        <w:t>`pypdf`</w:t>
      </w:r>
      <w:r>
        <w:t>: Fast, native text extraction.</w:t>
      </w:r>
    </w:p>
    <w:p>
      <w:r>
        <w:t xml:space="preserve">2. </w:t>
      </w:r>
      <w:r>
        <w:rPr>
          <w:b/>
        </w:rPr>
        <w:t>`fitz` (PyMuPDF)</w:t>
      </w:r>
      <w:r>
        <w:t>: Fallback engine, superior at handling multi-column text blocks and layout structures.</w:t>
      </w:r>
    </w:p>
    <w:p>
      <w:r>
        <w:t xml:space="preserve">3. </w:t>
      </w:r>
      <w:r>
        <w:rPr>
          <w:b/>
        </w:rPr>
        <w:t>`pdfplumber`</w:t>
      </w:r>
      <w:r>
        <w:t>: Final fallback engine, designed specifically to reconstruct text from tables and tabular forms.</w:t>
      </w:r>
    </w:p>
    <w:p>
      <w:r>
        <w:t>The engine collects results from all successful parsers and selects the "richest" text based on total character count:</w:t>
      </w:r>
    </w:p>
    <w:p>
      <w:r>
        <w:rPr>
          <w:i/>
          <w:color w:val="114477"/>
        </w:rPr>
        <w:t>\text{Best Candidate} = \arg\max_{c \in \text{Candidates}} \text{len}(c)</w:t>
      </w:r>
    </w:p>
    <w:p>
      <w:pPr>
        <w:pStyle w:val="Heading2"/>
      </w:pPr>
      <w:r>
        <w:rPr>
          <w:rFonts w:ascii="Arial" w:hAnsi="Arial"/>
          <w:color w:val="006699"/>
        </w:rPr>
        <w:t>Docx &amp; Binary Doc Parsing</w:t>
      </w:r>
    </w:p>
    <w:p>
      <w:pPr>
        <w:pStyle w:val="ListBullet"/>
      </w:pPr>
      <w:r>
        <w:rPr>
          <w:b/>
        </w:rPr>
        <w:t>`.docx`</w:t>
      </w:r>
      <w:r>
        <w:t>: Parsed via the python-docx library by gathering paragraph elements and stripping leading/trailing whitespace.</w:t>
      </w:r>
    </w:p>
    <w:p>
      <w:pPr>
        <w:pStyle w:val="ListBullet"/>
      </w:pPr>
      <w:r>
        <w:rPr>
          <w:b/>
        </w:rPr>
        <w:t>`.doc`</w:t>
      </w:r>
      <w:r>
        <w:t xml:space="preserve">: Legacy binary formats are parsed via a fallback binary scanner that extracts ASCII sequences of length </w:t>
      </w:r>
      <w:r>
        <w:rPr>
          <w:i/>
          <w:color w:val="114477"/>
        </w:rPr>
        <w:t>\ge 4</w:t>
      </w:r>
      <w:r>
        <w:t xml:space="preserve"> and regex-sanitizes trailing binary junk.</w:t>
      </w:r>
    </w:p>
    <w:p>
      <w:pPr>
        <w:pStyle w:val="Heading2"/>
      </w:pPr>
      <w:r>
        <w:rPr>
          <w:rFonts w:ascii="Arial" w:hAnsi="Arial"/>
          <w:color w:val="006699"/>
        </w:rPr>
        <w:t>Extraction Quality Diagnostics</w:t>
      </w:r>
    </w:p>
    <w:p>
      <w:r>
        <w:t xml:space="preserve">Before scoring, the engine calculates a </w:t>
      </w:r>
      <w:r>
        <w:rPr>
          <w:b/>
        </w:rPr>
        <w:t>Text Density Ratio</w:t>
      </w:r>
      <w:r>
        <w:t xml:space="preserve"> to detect scanned PDFs (images without OCR) or corrupted files:</w:t>
      </w:r>
    </w:p>
    <w:p>
      <w:r>
        <w:rPr>
          <w:i/>
          <w:color w:val="114477"/>
        </w:rPr>
        <w:t>\text{Density} = \frac{\text{Extracted Characters}}{\text{Raw File Size (KB)}}</w:t>
      </w:r>
    </w:p>
    <w:p>
      <w:pPr>
        <w:pStyle w:val="ListBullet"/>
      </w:pPr>
      <w:r>
        <w:rPr>
          <w:b/>
        </w:rPr>
        <w:t>Low Quality</w:t>
      </w:r>
      <w:r>
        <w:t xml:space="preserve">: Extracted characters </w:t>
      </w:r>
      <w:r>
        <w:rPr>
          <w:i/>
          <w:color w:val="114477"/>
        </w:rPr>
        <w:t>&lt; 400</w:t>
      </w:r>
      <w:r>
        <w:t xml:space="preserve"> OR Density </w:t>
      </w:r>
      <w:r>
        <w:rPr>
          <w:i/>
          <w:color w:val="114477"/>
        </w:rPr>
        <w:t>&lt; 10.0</w:t>
      </w:r>
      <w:r>
        <w:t xml:space="preserve"> chars/KB. This downgrades positive compliance statuses and limits confidence to a maximum of </w:t>
      </w:r>
      <w:r>
        <w:rPr>
          <w:i/>
          <w:color w:val="114477"/>
        </w:rPr>
        <w:t>0.58</w:t>
      </w:r>
      <w:r>
        <w:t>.</w:t>
      </w:r>
    </w:p>
    <w:p>
      <w:pPr>
        <w:pStyle w:val="ListBullet"/>
      </w:pPr>
      <w:r>
        <w:rPr>
          <w:b/>
        </w:rPr>
        <w:t>Medium Quality</w:t>
      </w:r>
      <w:r>
        <w:t xml:space="preserve">: Extracted characters </w:t>
      </w:r>
      <w:r>
        <w:rPr>
          <w:i/>
          <w:color w:val="114477"/>
        </w:rPr>
        <w:t>&lt; 1200</w:t>
      </w:r>
      <w:r>
        <w:t xml:space="preserve"> OR Density </w:t>
      </w:r>
      <w:r>
        <w:rPr>
          <w:i/>
          <w:color w:val="114477"/>
        </w:rPr>
        <w:t>&lt; 20.0</w:t>
      </w:r>
      <w:r>
        <w:t xml:space="preserve"> chars/KB. Triggering warnings in metadata logs.</w:t>
      </w:r>
    </w:p>
    <w:p>
      <w:r>
        <w:t>---</w:t>
      </w:r>
    </w:p>
    <w:p>
      <w:pPr>
        <w:pStyle w:val="Heading1"/>
      </w:pPr>
      <w:r>
        <w:rPr>
          <w:rFonts w:ascii="Arial" w:hAnsi="Arial"/>
          <w:color w:val="004488"/>
        </w:rPr>
        <w:t>3. RAG (Retrieval-Augmented Generation) Architecture</w:t>
      </w:r>
    </w:p>
    <w:p>
      <w:r>
        <w:t>To justify its verdicts, the engine queries the local NDIS Practice Standards and Quality Indicators corpus.</w:t>
      </w:r>
    </w:p>
    <w:p>
      <w:pPr>
        <w:pStyle w:val="Heading2"/>
      </w:pPr>
      <w:r>
        <w:rPr>
          <w:rFonts w:ascii="Arial" w:hAnsi="Arial"/>
          <w:color w:val="006699"/>
        </w:rPr>
        <w:t>Chunking &amp; Ingestion Strategy</w:t>
      </w:r>
    </w:p>
    <w:p>
      <w:pPr>
        <w:pStyle w:val="ListBullet"/>
      </w:pPr>
      <w:r>
        <w:rPr>
          <w:b/>
        </w:rPr>
        <w:t>Chunking Method</w:t>
      </w:r>
      <w:r>
        <w:t>: Fixed-character sliding window segmented page-by-page.</w:t>
      </w:r>
    </w:p>
    <w:p>
      <w:pPr>
        <w:pStyle w:val="ListBullet"/>
      </w:pPr>
      <w:r>
        <w:rPr>
          <w:b/>
        </w:rPr>
        <w:t>Chunk Size</w:t>
      </w:r>
      <w:r>
        <w:t xml:space="preserve">: </w:t>
      </w:r>
      <w:r>
        <w:rPr>
          <w:i/>
          <w:color w:val="114477"/>
        </w:rPr>
        <w:t>1200</w:t>
      </w:r>
      <w:r>
        <w:t xml:space="preserve"> characters.</w:t>
      </w:r>
    </w:p>
    <w:p>
      <w:pPr>
        <w:pStyle w:val="ListBullet"/>
      </w:pPr>
      <w:r>
        <w:rPr>
          <w:b/>
        </w:rPr>
        <w:t>Overlap Size</w:t>
      </w:r>
      <w:r>
        <w:t xml:space="preserve">: </w:t>
      </w:r>
      <w:r>
        <w:rPr>
          <w:i/>
          <w:color w:val="114477"/>
        </w:rPr>
        <w:t>180</w:t>
      </w:r>
      <w:r>
        <w:t xml:space="preserve"> characters.</w:t>
      </w:r>
    </w:p>
    <w:p>
      <w:pPr>
        <w:pStyle w:val="ListBullet"/>
      </w:pPr>
      <w:r>
        <w:rPr>
          <w:b/>
        </w:rPr>
        <w:t>Corpus Storage</w:t>
      </w:r>
      <w:r>
        <w:t>: Line-delimited JSON (</w:t>
      </w:r>
      <w:r>
        <w:rPr>
          <w:rFonts w:ascii="Consolas" w:hAnsi="Consolas"/>
          <w:color w:val="990033"/>
          <w:sz w:val="20"/>
        </w:rPr>
        <w:t>.jsonl</w:t>
      </w:r>
      <w:r>
        <w:t>), where each row represents a chunk with its page number, source section, and text.</w:t>
      </w:r>
    </w:p>
    <w:p>
      <w:pPr>
        <w:pStyle w:val="Heading2"/>
      </w:pPr>
      <w:r>
        <w:rPr>
          <w:rFonts w:ascii="Arial" w:hAnsi="Arial"/>
          <w:color w:val="006699"/>
        </w:rPr>
        <w:t>Embedding Model &amp; Caching</w:t>
      </w:r>
    </w:p>
    <w:p>
      <w:pPr>
        <w:pStyle w:val="ListBullet"/>
      </w:pPr>
      <w:r>
        <w:rPr>
          <w:b/>
        </w:rPr>
        <w:t>Embedding Model</w:t>
      </w:r>
      <w:r>
        <w:t xml:space="preserve">: </w:t>
      </w:r>
      <w:r>
        <w:rPr>
          <w:rFonts w:ascii="Consolas" w:hAnsi="Consolas"/>
          <w:color w:val="990033"/>
          <w:sz w:val="20"/>
        </w:rPr>
        <w:t>all-MiniLM-L6-v2</w:t>
      </w:r>
      <w:r>
        <w:t xml:space="preserve"> (SentenceTransformer).</w:t>
      </w:r>
    </w:p>
    <w:p>
      <w:pPr>
        <w:pStyle w:val="ListBullet"/>
      </w:pPr>
      <w:r>
        <w:rPr>
          <w:b/>
        </w:rPr>
        <w:t>Embedding Dimension</w:t>
      </w:r>
      <w:r>
        <w:t xml:space="preserve">: </w:t>
      </w:r>
      <w:r>
        <w:rPr>
          <w:i/>
          <w:color w:val="114477"/>
        </w:rPr>
        <w:t>384</w:t>
      </w:r>
      <w:r>
        <w:t>.</w:t>
      </w:r>
    </w:p>
    <w:p>
      <w:pPr>
        <w:pStyle w:val="ListBullet"/>
      </w:pPr>
      <w:r>
        <w:rPr>
          <w:b/>
        </w:rPr>
        <w:t>Execution Caching</w:t>
      </w:r>
      <w:r>
        <w:t>: Embedding matrices are pre-computed once and saved alongside the corpus in binary Numpy format (</w:t>
      </w:r>
      <w:r>
        <w:rPr>
          <w:rFonts w:ascii="Consolas" w:hAnsi="Consolas"/>
          <w:color w:val="990033"/>
          <w:sz w:val="20"/>
        </w:rPr>
        <w:t>_embeddings.npy</w:t>
      </w:r>
      <w:r>
        <w:t xml:space="preserve"> + </w:t>
      </w:r>
      <w:r>
        <w:rPr>
          <w:rFonts w:ascii="Consolas" w:hAnsi="Consolas"/>
          <w:color w:val="990033"/>
          <w:sz w:val="20"/>
        </w:rPr>
        <w:t>_embeddings_meta.json</w:t>
      </w:r>
      <w:r>
        <w:t>). On subsequent requests, the cache is validated against the corpus file's modification time (</w:t>
      </w:r>
      <w:r>
        <w:rPr>
          <w:rFonts w:ascii="Consolas" w:hAnsi="Consolas"/>
          <w:color w:val="990033"/>
          <w:sz w:val="20"/>
        </w:rPr>
        <w:t>mtime</w:t>
      </w:r>
      <w:r>
        <w:t>).</w:t>
      </w:r>
    </w:p>
    <w:p>
      <w:pPr>
        <w:pStyle w:val="Heading2"/>
      </w:pPr>
      <w:r>
        <w:rPr>
          <w:rFonts w:ascii="Arial" w:hAnsi="Arial"/>
          <w:color w:val="006699"/>
        </w:rPr>
        <w:t>Hybrid Lexical-Semantic Search Strategy</w:t>
      </w:r>
    </w:p>
    <w:p>
      <w:r>
        <w:t>For any query, the engine computes a composite score for each chunk using a hybrid retriever:</w:t>
      </w:r>
    </w:p>
    <w:p>
      <w:pPr>
        <w:spacing w:before="120" w:after="120"/>
        <w:ind w:left="576"/>
      </w:pPr>
      <w:r>
        <w:rPr>
          <w:rFonts w:ascii="Consolas" w:hAnsi="Consolas"/>
          <w:color w:val="333333"/>
          <w:sz w:val="19"/>
        </w:rPr>
        <w:t xml:space="preserve">Hybrid Score = (0.60 * Semantic Score) + (0.40 * Lexical Score) </w:t>
        <w:br/>
        <w:t xml:space="preserve">               + Topic Overlap Bonus + Requirement ID Boost</w:t>
      </w:r>
    </w:p>
    <w:p>
      <w:pPr>
        <w:pStyle w:val="Heading3"/>
      </w:pPr>
      <w:r>
        <w:rPr>
          <w:rFonts w:ascii="Arial" w:hAnsi="Arial"/>
          <w:color w:val="555555"/>
        </w:rPr>
        <w:t>1. Semantic Component</w:t>
      </w:r>
    </w:p>
    <w:p>
      <w:r>
        <w:t xml:space="preserve">The query text is encoded using the same </w:t>
      </w:r>
      <w:r>
        <w:rPr>
          <w:rFonts w:ascii="Consolas" w:hAnsi="Consolas"/>
          <w:color w:val="990033"/>
          <w:sz w:val="20"/>
        </w:rPr>
        <w:t>all-MiniLM-L6-v2</w:t>
      </w:r>
      <w:r>
        <w:t xml:space="preserve"> instance. The semantic similarity is calculated using cosine similarity and shifted from </w:t>
      </w:r>
      <w:r>
        <w:rPr>
          <w:i/>
          <w:color w:val="114477"/>
        </w:rPr>
        <w:t>[-1, 1]</w:t>
      </w:r>
      <w:r>
        <w:t xml:space="preserve"> to </w:t>
      </w:r>
      <w:r>
        <w:rPr>
          <w:i/>
          <w:color w:val="114477"/>
        </w:rPr>
        <w:t>[0, 1]</w:t>
      </w:r>
      <w:r>
        <w:t>:</w:t>
      </w:r>
    </w:p>
    <w:p>
      <w:r>
        <w:rPr>
          <w:i/>
          <w:color w:val="114477"/>
        </w:rPr>
        <w:t>\text{Semantic Score} = \frac{\cos(\vec{u}, \vec{v}) + 1.0}{2.0}</w:t>
      </w:r>
    </w:p>
    <w:p>
      <w:pPr>
        <w:pStyle w:val="Heading3"/>
      </w:pPr>
      <w:r>
        <w:rPr>
          <w:rFonts w:ascii="Arial" w:hAnsi="Arial"/>
          <w:color w:val="555555"/>
        </w:rPr>
        <w:t>2. Lexical Component</w:t>
      </w:r>
    </w:p>
    <w:p>
      <w:r>
        <w:t>The lexical retriever computes alphanumeric lowercase term matches:</w:t>
      </w:r>
    </w:p>
    <w:p>
      <w:pPr>
        <w:pStyle w:val="ListBullet"/>
      </w:pPr>
      <w:r>
        <w:rPr>
          <w:b/>
        </w:rPr>
        <w:t>Term Frequency (TF)</w:t>
      </w:r>
      <w:r>
        <w:t xml:space="preserve">: Number of matches per unique query term, capped at </w:t>
      </w:r>
      <w:r>
        <w:rPr>
          <w:i/>
          <w:color w:val="114477"/>
        </w:rPr>
        <w:t>3.0</w:t>
      </w:r>
      <w:r>
        <w:t xml:space="preserve"> per term to avoid keyword-stuffing skew.</w:t>
      </w:r>
    </w:p>
    <w:p>
      <w:pPr>
        <w:pStyle w:val="ListBullet"/>
      </w:pPr>
      <w:r>
        <w:rPr>
          <w:b/>
        </w:rPr>
        <w:t>Coverage Ratio</w:t>
      </w:r>
      <w:r>
        <w:t xml:space="preserve">: </w:t>
      </w:r>
      <w:r>
        <w:rPr>
          <w:i/>
          <w:color w:val="114477"/>
        </w:rPr>
        <w:t>\frac{\text{Matched Terms}}{\text{Total Query Terms}}</w:t>
      </w:r>
      <w:r>
        <w:t>.</w:t>
      </w:r>
    </w:p>
    <w:p>
      <w:pPr>
        <w:pStyle w:val="ListBullet"/>
      </w:pPr>
      <w:r>
        <w:rPr>
          <w:b/>
        </w:rPr>
        <w:t>Phrase Match</w:t>
      </w:r>
      <w:r>
        <w:t xml:space="preserve">: </w:t>
      </w:r>
      <w:r>
        <w:rPr>
          <w:i/>
          <w:color w:val="114477"/>
        </w:rPr>
        <w:t>+1.8</w:t>
      </w:r>
      <w:r>
        <w:t xml:space="preserve"> bonus for each query phrase matching a contiguous sequence in the chunk.</w:t>
      </w:r>
    </w:p>
    <w:p>
      <w:pPr>
        <w:pStyle w:val="ListBullet"/>
      </w:pPr>
      <w:r>
        <w:rPr>
          <w:b/>
        </w:rPr>
        <w:t>Normalization</w:t>
      </w:r>
      <w:r>
        <w:t xml:space="preserve">: Divided by the maximum lexical raw score in the corpus to normalize to </w:t>
      </w:r>
      <w:r>
        <w:rPr>
          <w:i/>
          <w:color w:val="114477"/>
        </w:rPr>
        <w:t>[0, 1]</w:t>
      </w:r>
      <w:r>
        <w:t>.</w:t>
      </w:r>
    </w:p>
    <w:p>
      <w:pPr>
        <w:pStyle w:val="Heading3"/>
      </w:pPr>
      <w:r>
        <w:rPr>
          <w:rFonts w:ascii="Arial" w:hAnsi="Arial"/>
          <w:color w:val="555555"/>
        </w:rPr>
        <w:t>3. Topic Overlap Bonus &amp; Exact Match Boost</w:t>
      </w:r>
    </w:p>
    <w:p>
      <w:pPr>
        <w:pStyle w:val="ListBullet"/>
      </w:pPr>
      <w:r>
        <w:rPr>
          <w:b/>
        </w:rPr>
        <w:t>Topic Overlap</w:t>
      </w:r>
      <w:r>
        <w:t xml:space="preserve">: Checks if the query and chunk overlap on 7 core domain topics (e.g. </w:t>
      </w:r>
      <w:r>
        <w:rPr>
          <w:i/>
        </w:rPr>
        <w:t>behaviour_support</w:t>
      </w:r>
      <w:r>
        <w:t xml:space="preserve">, </w:t>
      </w:r>
      <w:r>
        <w:rPr>
          <w:i/>
        </w:rPr>
        <w:t>rights</w:t>
      </w:r>
      <w:r>
        <w:t xml:space="preserve">, </w:t>
      </w:r>
      <w:r>
        <w:rPr>
          <w:i/>
        </w:rPr>
        <w:t>complaints</w:t>
      </w:r>
      <w:r>
        <w:t>).</w:t>
      </w:r>
    </w:p>
    <w:p>
      <w:r>
        <w:rPr>
          <w:i/>
          <w:color w:val="114477"/>
        </w:rPr>
        <w:t>\text{Bonus} = \begin{cases} +0.12 \times \text{Overlap Count} &amp; \text{if overlap} &gt; 0 \\ -0.04 &amp; \text{if no overlap} \end{cases}</w:t>
      </w:r>
    </w:p>
    <w:p>
      <w:pPr>
        <w:pStyle w:val="ListBullet"/>
      </w:pPr>
      <w:r>
        <w:rPr>
          <w:b/>
        </w:rPr>
        <w:t>Exact ID Match</w:t>
      </w:r>
      <w:r>
        <w:t xml:space="preserve">: </w:t>
      </w:r>
      <w:r>
        <w:rPr>
          <w:i/>
          <w:color w:val="114477"/>
        </w:rPr>
        <w:t>+0.40</w:t>
      </w:r>
      <w:r>
        <w:t xml:space="preserve"> boost if the target requirement ID (e.g. </w:t>
      </w:r>
      <w:r>
        <w:rPr>
          <w:rFonts w:ascii="Consolas" w:hAnsi="Consolas"/>
          <w:color w:val="990033"/>
          <w:sz w:val="20"/>
        </w:rPr>
        <w:t>NDIS-CM-1</w:t>
      </w:r>
      <w:r>
        <w:t>) is explicitly found in the chunk's metadata or text.</w:t>
      </w:r>
    </w:p>
    <w:p>
      <w:r>
        <w:t>---</w:t>
      </w:r>
    </w:p>
    <w:p>
      <w:pPr>
        <w:pStyle w:val="Heading1"/>
      </w:pPr>
      <w:r>
        <w:rPr>
          <w:rFonts w:ascii="Arial" w:hAnsi="Arial"/>
          <w:color w:val="004488"/>
        </w:rPr>
        <w:t>4. Query Expansion &amp; Prompt Engineering</w:t>
      </w:r>
    </w:p>
    <w:p>
      <w:r>
        <w:t>To retrieve the most relevant standard clauses, the base assessment question is expanded prior to RAG search using a two-stage rule engine:</w:t>
      </w:r>
    </w:p>
    <w:p>
      <w:pPr>
        <w:pStyle w:val="Heading2"/>
      </w:pPr>
      <w:r>
        <w:rPr>
          <w:rFonts w:ascii="Arial" w:hAnsi="Arial"/>
          <w:color w:val="006699"/>
        </w:rPr>
        <w:t>1. Topic-Based Expansions</w:t>
      </w:r>
    </w:p>
    <w:p>
      <w:r>
        <w:t>The first 2,500 characters of the uploaded document and the question are scanned for keywords. If found, predefined terms are appended to the query:</w:t>
      </w:r>
    </w:p>
    <w:p>
      <w:pPr>
        <w:pStyle w:val="ListBullet"/>
      </w:pPr>
      <w:r>
        <w:rPr>
          <w:b/>
        </w:rPr>
        <w:t>Consent &amp; Privacy</w:t>
      </w:r>
      <w:r>
        <w:t xml:space="preserve">: </w:t>
      </w:r>
      <w:r>
        <w:rPr>
          <w:rFonts w:ascii="Consolas" w:hAnsi="Consolas"/>
          <w:color w:val="990033"/>
          <w:sz w:val="20"/>
        </w:rPr>
        <w:t>"participant rights privacy dignity information management consent"</w:t>
      </w:r>
    </w:p>
    <w:p>
      <w:pPr>
        <w:pStyle w:val="ListBullet"/>
      </w:pPr>
      <w:r>
        <w:rPr>
          <w:b/>
        </w:rPr>
        <w:t>Complaints</w:t>
      </w:r>
      <w:r>
        <w:t xml:space="preserve">: </w:t>
      </w:r>
      <w:r>
        <w:rPr>
          <w:rFonts w:ascii="Consolas" w:hAnsi="Consolas"/>
          <w:color w:val="990033"/>
          <w:sz w:val="20"/>
        </w:rPr>
        <w:t>"complaints management resolution participant feedback"</w:t>
      </w:r>
    </w:p>
    <w:p>
      <w:pPr>
        <w:pStyle w:val="ListBullet"/>
      </w:pPr>
      <w:r>
        <w:rPr>
          <w:b/>
        </w:rPr>
        <w:t>Service Agreements</w:t>
      </w:r>
      <w:r>
        <w:t xml:space="preserve">: </w:t>
      </w:r>
      <w:r>
        <w:rPr>
          <w:rFonts w:ascii="Consolas" w:hAnsi="Consolas"/>
          <w:color w:val="990033"/>
          <w:sz w:val="20"/>
        </w:rPr>
        <w:t>"service agreements with participants provision of supports responsive support provision"</w:t>
      </w:r>
    </w:p>
    <w:p>
      <w:pPr>
        <w:pStyle w:val="ListBullet"/>
      </w:pPr>
      <w:r>
        <w:rPr>
          <w:b/>
        </w:rPr>
        <w:t>Support Planning</w:t>
      </w:r>
      <w:r>
        <w:t xml:space="preserve">: </w:t>
      </w:r>
      <w:r>
        <w:rPr>
          <w:rFonts w:ascii="Consolas" w:hAnsi="Consolas"/>
          <w:color w:val="990033"/>
          <w:sz w:val="20"/>
        </w:rPr>
        <w:t>"support planning participant needs preferences goals risk assessments"</w:t>
      </w:r>
    </w:p>
    <w:p>
      <w:pPr>
        <w:pStyle w:val="ListBullet"/>
      </w:pPr>
      <w:r>
        <w:rPr>
          <w:b/>
        </w:rPr>
        <w:t>Governance</w:t>
      </w:r>
      <w:r>
        <w:t xml:space="preserve">: </w:t>
      </w:r>
      <w:r>
        <w:rPr>
          <w:rFonts w:ascii="Consolas" w:hAnsi="Consolas"/>
          <w:color w:val="990033"/>
          <w:sz w:val="20"/>
        </w:rPr>
        <w:t>"governance operational management risk management quality management information management"</w:t>
      </w:r>
    </w:p>
    <w:p>
      <w:pPr>
        <w:pStyle w:val="Heading2"/>
      </w:pPr>
      <w:r>
        <w:rPr>
          <w:rFonts w:ascii="Arial" w:hAnsi="Arial"/>
          <w:color w:val="006699"/>
        </w:rPr>
        <w:t>2. Requirement Metadata Injection</w:t>
      </w:r>
    </w:p>
    <w:p>
      <w:r>
        <w:t>The metadata of the top matched NDIS requirement is appended directly to the end of the query:</w:t>
      </w:r>
    </w:p>
    <w:p>
      <w:r>
        <w:rPr>
          <w:rFonts w:ascii="Consolas" w:hAnsi="Consolas"/>
          <w:color w:val="990033"/>
          <w:sz w:val="20"/>
        </w:rPr>
        <w:t>{requirement_id} {label} {module_name} {standard_name} {outcome_code} {quality_indicator_code}</w:t>
      </w:r>
    </w:p>
    <w:p>
      <w:r>
        <w:t>---</w:t>
      </w:r>
    </w:p>
    <w:p>
      <w:pPr>
        <w:pStyle w:val="Heading1"/>
      </w:pPr>
      <w:r>
        <w:rPr>
          <w:rFonts w:ascii="Arial" w:hAnsi="Arial"/>
          <w:color w:val="004488"/>
        </w:rPr>
        <w:t>5. Deterministic Rubric-Based Scoring System</w:t>
      </w:r>
    </w:p>
    <w:p>
      <w:r>
        <w:t>The compliance status is determined by a deterministic scoring formula assessing five independent signals (100 points total), rather than basic keyword-density metrics.</w:t>
      </w:r>
    </w:p>
    <w:p>
      <w:pPr>
        <w:pStyle w:val="Heading2"/>
      </w:pPr>
      <w:r>
        <w:rPr>
          <w:rFonts w:ascii="Arial" w:hAnsi="Arial"/>
          <w:color w:val="006699"/>
        </w:rPr>
        <w:t>The Five Signals</w:t>
      </w:r>
    </w:p>
    <w:p>
      <w:r>
        <w:t xml:space="preserve">1. </w:t>
      </w:r>
      <w:r>
        <w:rPr>
          <w:b/>
        </w:rPr>
        <w:t>Substance (40 pts)</w:t>
      </w:r>
      <w:r>
        <w:t>: Detects operational language by checking indicators:</w:t>
      </w:r>
    </w:p>
    <w:p>
      <w:pPr>
        <w:pStyle w:val="ListBullet"/>
      </w:pPr>
      <w:r>
        <w:rPr>
          <w:b/>
        </w:rPr>
        <w:t>Action Indicators</w:t>
      </w:r>
      <w:r>
        <w:t xml:space="preserve"> (e.g. </w:t>
      </w:r>
      <w:r>
        <w:rPr>
          <w:i/>
        </w:rPr>
        <w:t>must, will, ensures, resolves, trained</w:t>
      </w:r>
      <w:r>
        <w:t xml:space="preserve">): </w:t>
      </w:r>
      <w:r>
        <w:rPr>
          <w:i/>
          <w:color w:val="114477"/>
        </w:rPr>
        <w:t>\ge 6</w:t>
      </w:r>
      <w:r>
        <w:t xml:space="preserve"> hits = full points.</w:t>
      </w:r>
    </w:p>
    <w:p>
      <w:pPr>
        <w:pStyle w:val="ListBullet"/>
      </w:pPr>
      <w:r>
        <w:rPr>
          <w:b/>
        </w:rPr>
        <w:t>Responsibility Indicators</w:t>
      </w:r>
      <w:r>
        <w:t xml:space="preserve"> (e.g. </w:t>
      </w:r>
      <w:r>
        <w:rPr>
          <w:i/>
        </w:rPr>
        <w:t>manager, board, coordinator, CEO</w:t>
      </w:r>
      <w:r>
        <w:t xml:space="preserve">): </w:t>
      </w:r>
      <w:r>
        <w:rPr>
          <w:i/>
          <w:color w:val="114477"/>
        </w:rPr>
        <w:t>\ge 3</w:t>
      </w:r>
      <w:r>
        <w:t xml:space="preserve"> hits = full points.</w:t>
      </w:r>
    </w:p>
    <w:p>
      <w:pPr>
        <w:pStyle w:val="ListBullet"/>
      </w:pPr>
      <w:r>
        <w:rPr>
          <w:b/>
        </w:rPr>
        <w:t>Process Indicators</w:t>
      </w:r>
      <w:r>
        <w:t xml:space="preserve"> (e.g. </w:t>
      </w:r>
      <w:r>
        <w:rPr>
          <w:i/>
        </w:rPr>
        <w:t>procedure, step, register, checklist</w:t>
      </w:r>
      <w:r>
        <w:t xml:space="preserve">): </w:t>
      </w:r>
      <w:r>
        <w:rPr>
          <w:i/>
          <w:color w:val="114477"/>
        </w:rPr>
        <w:t>\ge 5</w:t>
      </w:r>
      <w:r>
        <w:t xml:space="preserve"> hits = full points.</w:t>
      </w:r>
    </w:p>
    <w:p>
      <w:pPr>
        <w:pStyle w:val="ListBullet"/>
      </w:pPr>
      <w:r>
        <w:rPr>
          <w:b/>
        </w:rPr>
        <w:t>Timeframes</w:t>
      </w:r>
      <w:r>
        <w:t xml:space="preserve"> (e.g. </w:t>
      </w:r>
      <w:r>
        <w:rPr>
          <w:i/>
        </w:rPr>
        <w:t>within, days, monthly, quarterly</w:t>
      </w:r>
      <w:r>
        <w:t xml:space="preserve">): </w:t>
      </w:r>
      <w:r>
        <w:rPr>
          <w:i/>
          <w:color w:val="114477"/>
        </w:rPr>
        <w:t>\ge 2</w:t>
      </w:r>
      <w:r>
        <w:t xml:space="preserve"> hits = full points.</w:t>
      </w:r>
    </w:p>
    <w:p>
      <w:r>
        <w:t xml:space="preserve">2. </w:t>
      </w:r>
      <w:r>
        <w:rPr>
          <w:b/>
        </w:rPr>
        <w:t>Coverage (25 pts)</w:t>
      </w:r>
      <w:r>
        <w:t>: Calculates query keyword overlap. To prevent minor word mismatches from ruining scores, a sub-linear square-root transformation is applied:</w:t>
      </w:r>
    </w:p>
    <w:p>
      <w:r>
        <w:rPr>
          <w:i/>
          <w:color w:val="114477"/>
        </w:rPr>
        <w:t>\text{Coverage Score} = (\text{Coverage Ratio})^{0.6} \times 25.0</w:t>
      </w:r>
    </w:p>
    <w:p>
      <w:r>
        <w:t xml:space="preserve">3. </w:t>
      </w:r>
      <w:r>
        <w:rPr>
          <w:b/>
        </w:rPr>
        <w:t>Depth (20 pts)</w:t>
      </w:r>
      <w:r>
        <w:t>: Rewards comprehensive writing by checking document character length (weighted at 60%) and the presence of extractable evidence snippets (weighted at 40%).</w:t>
      </w:r>
    </w:p>
    <w:p>
      <w:r>
        <w:t xml:space="preserve">4. </w:t>
      </w:r>
      <w:r>
        <w:rPr>
          <w:b/>
        </w:rPr>
        <w:t>Structure (10 pts)</w:t>
      </w:r>
      <w:r>
        <w:t>: Analyzes document formatting (e.g., numbered lists, section headers).</w:t>
      </w:r>
    </w:p>
    <w:p>
      <w:r>
        <w:t xml:space="preserve">5. </w:t>
      </w:r>
      <w:r>
        <w:rPr>
          <w:b/>
        </w:rPr>
        <w:t>Snippet Quality (5 pts)</w:t>
      </w:r>
      <w:r>
        <w:t>: Evaluates the density of strong contextual evidence blocks matching the query.</w:t>
      </w:r>
    </w:p>
    <w:p>
      <w:pPr>
        <w:pStyle w:val="Heading2"/>
      </w:pPr>
      <w:r>
        <w:rPr>
          <w:rFonts w:ascii="Arial" w:hAnsi="Arial"/>
          <w:color w:val="006699"/>
        </w:rPr>
        <w:t>Relevance Gates (Score Slashes)</w:t>
      </w:r>
    </w:p>
    <w:p>
      <w:r>
        <w:t>To prevent generic business documents from matching compliance language by accident, the raw score is passed through multiplicative relevance gates:</w:t>
      </w:r>
    </w:p>
    <w:p>
      <w:pPr>
        <w:pStyle w:val="ListBullet"/>
      </w:pPr>
      <w:r>
        <w:rPr>
          <w:b/>
        </w:rPr>
        <w:t>Domain Anchor Gate</w:t>
      </w:r>
      <w:r>
        <w:t xml:space="preserve">: Checks for 22 core compliance words (e.g., </w:t>
      </w:r>
      <w:r>
        <w:rPr>
          <w:i/>
        </w:rPr>
        <w:t>ndis, participant, consent, safeguard</w:t>
      </w:r>
      <w:r>
        <w:t>).</w:t>
      </w:r>
    </w:p>
    <w:p>
      <w:r>
        <w:rPr>
          <w:i/>
          <w:color w:val="114477"/>
        </w:rPr>
        <w:t>\text{Multiplier} = \begin{cases} 0.55 \text{ (45\% slash)} &amp; \text{if anchors} \le 1 \\ 0.78 \text{ (22\% slash)} &amp; \text{if anchors} \le 3 \\ 1.00 &amp; \text{if anchors} \ge 4 \end{cases}</w:t>
      </w:r>
    </w:p>
    <w:p>
      <w:pPr>
        <w:pStyle w:val="ListBullet"/>
      </w:pPr>
      <w:r>
        <w:rPr>
          <w:b/>
        </w:rPr>
        <w:t>Coverage Gate</w:t>
      </w:r>
      <w:r>
        <w:t xml:space="preserve">: If the document covers less than 20% of the query terms, a </w:t>
      </w:r>
      <w:r>
        <w:rPr>
          <w:i/>
          <w:color w:val="114477"/>
        </w:rPr>
        <w:t>20\%</w:t>
      </w:r>
      <w:r>
        <w:t xml:space="preserve"> slash is applied (</w:t>
      </w:r>
      <w:r>
        <w:rPr>
          <w:rFonts w:ascii="Consolas" w:hAnsi="Consolas"/>
          <w:color w:val="990033"/>
          <w:sz w:val="20"/>
        </w:rPr>
        <w:t>relevance_gate *= 0.80</w:t>
      </w:r>
      <w:r>
        <w:t>).</w:t>
      </w:r>
    </w:p>
    <w:p>
      <w:pPr>
        <w:pStyle w:val="ListBullet"/>
      </w:pPr>
      <w:r>
        <w:rPr>
          <w:b/>
        </w:rPr>
        <w:t>Irrelevance Penalty</w:t>
      </w:r>
      <w:r>
        <w:t xml:space="preserve">: If the document triggers resume or financial invoice classifiers, the final raw score is hard-capped at </w:t>
      </w:r>
      <w:r>
        <w:rPr>
          <w:i/>
          <w:color w:val="114477"/>
        </w:rPr>
        <w:t>0.22</w:t>
      </w:r>
      <w:r>
        <w:t>.</w:t>
      </w:r>
    </w:p>
    <w:p>
      <w:pPr>
        <w:pStyle w:val="Heading2"/>
      </w:pPr>
      <w:r>
        <w:rPr>
          <w:rFonts w:ascii="Arial" w:hAnsi="Arial"/>
          <w:color w:val="006699"/>
        </w:rPr>
        <w:t>Template Detection &amp; Calibration</w:t>
      </w:r>
    </w:p>
    <w:p>
      <w:r>
        <w:t>The engine scans for indicators of uncompleted documents:</w:t>
      </w:r>
    </w:p>
    <w:p>
      <w:pPr>
        <w:pStyle w:val="ListBullet"/>
      </w:pPr>
      <w:r>
        <w:rPr>
          <w:b/>
        </w:rPr>
        <w:t>Markers</w:t>
      </w:r>
      <w:r>
        <w:t>: Bracketed placeholders (</w:t>
      </w:r>
      <w:r>
        <w:rPr>
          <w:rFonts w:ascii="Consolas" w:hAnsi="Consolas"/>
          <w:color w:val="990033"/>
          <w:sz w:val="20"/>
        </w:rPr>
        <w:t>[...]</w:t>
      </w:r>
      <w:r>
        <w:t xml:space="preserve">, </w:t>
      </w:r>
      <w:r>
        <w:rPr>
          <w:rFonts w:ascii="Consolas" w:hAnsi="Consolas"/>
          <w:color w:val="990033"/>
          <w:sz w:val="20"/>
        </w:rPr>
        <w:t>&lt;...&gt;</w:t>
      </w:r>
      <w:r>
        <w:t xml:space="preserve">, </w:t>
      </w:r>
      <w:r>
        <w:rPr>
          <w:rFonts w:ascii="Consolas" w:hAnsi="Consolas"/>
          <w:color w:val="990033"/>
          <w:sz w:val="20"/>
        </w:rPr>
        <w:t>{...}</w:t>
      </w:r>
      <w:r>
        <w:t>), blank lines (</w:t>
      </w:r>
      <w:r>
        <w:rPr>
          <w:rFonts w:ascii="Consolas" w:hAnsi="Consolas"/>
          <w:color w:val="990033"/>
          <w:sz w:val="20"/>
        </w:rPr>
        <w:t>____</w:t>
      </w:r>
      <w:r>
        <w:t xml:space="preserve">, </w:t>
      </w:r>
      <w:r>
        <w:rPr>
          <w:rFonts w:ascii="Consolas" w:hAnsi="Consolas"/>
          <w:color w:val="990033"/>
          <w:sz w:val="20"/>
        </w:rPr>
        <w:t>....</w:t>
      </w:r>
      <w:r>
        <w:t>), and unfilled labels (</w:t>
      </w:r>
      <w:r>
        <w:rPr>
          <w:rFonts w:ascii="Consolas" w:hAnsi="Consolas"/>
          <w:color w:val="990033"/>
          <w:sz w:val="20"/>
        </w:rPr>
        <w:t>Name:</w:t>
      </w:r>
      <w:r>
        <w:t xml:space="preserve">, </w:t>
      </w:r>
      <w:r>
        <w:rPr>
          <w:rFonts w:ascii="Consolas" w:hAnsi="Consolas"/>
          <w:color w:val="990033"/>
          <w:sz w:val="20"/>
        </w:rPr>
        <w:t>Date:</w:t>
      </w:r>
      <w:r>
        <w:t>).</w:t>
      </w:r>
    </w:p>
    <w:p>
      <w:pPr>
        <w:pStyle w:val="ListBullet"/>
      </w:pPr>
      <w:r>
        <w:rPr>
          <w:b/>
        </w:rPr>
        <w:t>Triggers</w:t>
      </w:r>
      <w:r>
        <w:t xml:space="preserve">: A template is flagged if there are </w:t>
      </w:r>
      <w:r>
        <w:rPr>
          <w:i/>
          <w:color w:val="114477"/>
        </w:rPr>
        <w:t>\ge 12</w:t>
      </w:r>
      <w:r>
        <w:t xml:space="preserve"> total markers, if the word-to-marker ratio is </w:t>
      </w:r>
      <w:r>
        <w:rPr>
          <w:i/>
          <w:color w:val="114477"/>
        </w:rPr>
        <w:t>&lt; 40</w:t>
      </w:r>
      <w:r>
        <w:t>, or if the document is short (</w:t>
      </w:r>
      <w:r>
        <w:rPr>
          <w:i/>
          <w:color w:val="114477"/>
        </w:rPr>
        <w:t>&lt; 300</w:t>
      </w:r>
      <w:r>
        <w:t xml:space="preserve"> words) and has </w:t>
      </w:r>
      <w:r>
        <w:rPr>
          <w:i/>
          <w:color w:val="114477"/>
        </w:rPr>
        <w:t>\ge 4</w:t>
      </w:r>
      <w:r>
        <w:t xml:space="preserve"> markers.</w:t>
      </w:r>
    </w:p>
    <w:p>
      <w:pPr>
        <w:pStyle w:val="ListBullet"/>
      </w:pPr>
      <w:r>
        <w:rPr>
          <w:b/>
        </w:rPr>
        <w:t>Calibration Impact</w:t>
      </w:r>
      <w:r>
        <w:t>:</w:t>
      </w:r>
    </w:p>
    <w:p>
      <w:pPr>
        <w:pStyle w:val="ListBullet"/>
      </w:pPr>
      <w:r>
        <w:t xml:space="preserve">Down-grades </w:t>
      </w:r>
      <w:r>
        <w:rPr>
          <w:rFonts w:ascii="Consolas" w:hAnsi="Consolas"/>
          <w:color w:val="990033"/>
          <w:sz w:val="20"/>
        </w:rPr>
        <w:t>Mature</w:t>
      </w:r>
      <w:r>
        <w:t xml:space="preserve"> or </w:t>
      </w:r>
      <w:r>
        <w:rPr>
          <w:rFonts w:ascii="Consolas" w:hAnsi="Consolas"/>
          <w:color w:val="990033"/>
          <w:sz w:val="20"/>
        </w:rPr>
        <w:t>OK</w:t>
      </w:r>
      <w:r>
        <w:t xml:space="preserve"> to </w:t>
      </w:r>
      <w:r>
        <w:rPr>
          <w:rFonts w:ascii="Consolas" w:hAnsi="Consolas"/>
          <w:color w:val="990033"/>
          <w:sz w:val="20"/>
        </w:rPr>
        <w:t>High risk gap</w:t>
      </w:r>
      <w:r>
        <w:t>.</w:t>
      </w:r>
    </w:p>
    <w:p>
      <w:pPr>
        <w:pStyle w:val="ListBullet"/>
      </w:pPr>
      <w:r>
        <w:t xml:space="preserve">Caps </w:t>
      </w:r>
      <w:r>
        <w:rPr>
          <w:rFonts w:ascii="Consolas" w:hAnsi="Consolas"/>
          <w:color w:val="990033"/>
          <w:sz w:val="20"/>
        </w:rPr>
        <w:t>Mature</w:t>
      </w:r>
      <w:r>
        <w:t xml:space="preserve"> confidence at </w:t>
      </w:r>
      <w:r>
        <w:rPr>
          <w:i/>
          <w:color w:val="114477"/>
        </w:rPr>
        <w:t>0.52</w:t>
      </w:r>
      <w:r>
        <w:t>.</w:t>
      </w:r>
    </w:p>
    <w:p>
      <w:pPr>
        <w:pStyle w:val="ListBullet"/>
      </w:pPr>
      <w:r>
        <w:t xml:space="preserve">Caps </w:t>
      </w:r>
      <w:r>
        <w:rPr>
          <w:rFonts w:ascii="Consolas" w:hAnsi="Consolas"/>
          <w:color w:val="990033"/>
          <w:sz w:val="20"/>
        </w:rPr>
        <w:t>OK</w:t>
      </w:r>
      <w:r>
        <w:t xml:space="preserve"> confidence at </w:t>
      </w:r>
      <w:r>
        <w:rPr>
          <w:i/>
          <w:color w:val="114477"/>
        </w:rPr>
        <w:t>0.50</w:t>
      </w:r>
      <w:r>
        <w:t>.</w:t>
      </w:r>
    </w:p>
    <w:p>
      <w:pPr>
        <w:pStyle w:val="ListBullet"/>
      </w:pPr>
      <w:r>
        <w:t xml:space="preserve">Adds a citation alignment bonus of </w:t>
      </w:r>
      <w:r>
        <w:rPr>
          <w:i/>
          <w:color w:val="114477"/>
        </w:rPr>
        <w:t>+0.04</w:t>
      </w:r>
      <w:r>
        <w:t xml:space="preserve"> confidence if </w:t>
      </w:r>
      <w:r>
        <w:rPr>
          <w:i/>
          <w:color w:val="114477"/>
        </w:rPr>
        <w:t>\ge 2</w:t>
      </w:r>
      <w:r>
        <w:t xml:space="preserve"> NDIS RAG citations are retrieved.</w:t>
      </w:r>
    </w:p>
    <w:p>
      <w:r>
        <w:t>---</w:t>
      </w:r>
    </w:p>
    <w:p>
      <w:pPr>
        <w:pStyle w:val="Heading1"/>
      </w:pPr>
      <w:r>
        <w:rPr>
          <w:rFonts w:ascii="Arial" w:hAnsi="Arial"/>
          <w:color w:val="004488"/>
        </w:rPr>
        <w:t>6. LLM Summary Generation (OpenRouter API)</w:t>
      </w:r>
    </w:p>
    <w:p>
      <w:r>
        <w:t>Once status and confidence are calculated, the engine calls the OpenRouter API to draft an auditor-friendly narrative summary.</w:t>
      </w:r>
    </w:p>
    <w:p>
      <w:pPr>
        <w:pStyle w:val="Heading2"/>
      </w:pPr>
      <w:r>
        <w:rPr>
          <w:rFonts w:ascii="Arial" w:hAnsi="Arial"/>
          <w:color w:val="006699"/>
        </w:rPr>
        <w:t>API Call Strategy &amp; Resilience</w:t>
      </w:r>
    </w:p>
    <w:p>
      <w:pPr>
        <w:pStyle w:val="ListBullet"/>
      </w:pPr>
      <w:r>
        <w:rPr>
          <w:b/>
        </w:rPr>
        <w:t>System Prompt</w:t>
      </w:r>
      <w:r>
        <w:t xml:space="preserve">: </w:t>
      </w:r>
      <w:r>
        <w:rPr>
          <w:rFonts w:ascii="Consolas" w:hAnsi="Consolas"/>
          <w:color w:val="990033"/>
          <w:sz w:val="20"/>
        </w:rPr>
        <w:t>"Be practical, precise, and avoid legal conclusions."</w:t>
      </w:r>
    </w:p>
    <w:p>
      <w:pPr>
        <w:pStyle w:val="ListBullet"/>
      </w:pPr>
      <w:r>
        <w:rPr>
          <w:b/>
        </w:rPr>
        <w:t>Temperature</w:t>
      </w:r>
      <w:r>
        <w:t xml:space="preserve">: </w:t>
      </w:r>
      <w:r>
        <w:rPr>
          <w:rFonts w:ascii="Consolas" w:hAnsi="Consolas"/>
          <w:color w:val="990033"/>
          <w:sz w:val="20"/>
        </w:rPr>
        <w:t>0.1</w:t>
      </w:r>
      <w:r>
        <w:t xml:space="preserve"> (low temperature to enforce deterministic, grounded text extraction summaries).</w:t>
      </w:r>
    </w:p>
    <w:p>
      <w:pPr>
        <w:pStyle w:val="ListBullet"/>
      </w:pPr>
      <w:r>
        <w:rPr>
          <w:b/>
        </w:rPr>
        <w:t>API Fallbacks</w:t>
      </w:r>
      <w:r>
        <w:t xml:space="preserve">: The system attempts completions using the configured OpenRouter model (defaulting to </w:t>
      </w:r>
      <w:r>
        <w:rPr>
          <w:rFonts w:ascii="Consolas" w:hAnsi="Consolas"/>
          <w:color w:val="990033"/>
          <w:sz w:val="20"/>
        </w:rPr>
        <w:t>mistralai/mistral-7b-instruct:free</w:t>
      </w:r>
      <w:r>
        <w:t xml:space="preserve">) and fallbacks to </w:t>
      </w:r>
      <w:r>
        <w:rPr>
          <w:rFonts w:ascii="Consolas" w:hAnsi="Consolas"/>
          <w:color w:val="990033"/>
          <w:sz w:val="20"/>
        </w:rPr>
        <w:t>openrouter/auto</w:t>
      </w:r>
      <w:r>
        <w:t>.</w:t>
      </w:r>
    </w:p>
    <w:p>
      <w:pPr>
        <w:pStyle w:val="ListBullet"/>
      </w:pPr>
      <w:r>
        <w:rPr>
          <w:b/>
        </w:rPr>
        <w:t>Token Budgets</w:t>
      </w:r>
      <w:r>
        <w:t>: If requests fail or time out, the engine automatically retries with smaller token window limits (</w:t>
      </w:r>
      <w:r>
        <w:rPr>
          <w:i/>
          <w:color w:val="114477"/>
        </w:rPr>
        <w:t>700 \rightarrow 350 \rightarrow 180</w:t>
      </w:r>
      <w:r>
        <w:t xml:space="preserve"> tokens) to minimize latency and ensure response completion.</w:t>
      </w:r>
    </w:p>
    <w:p>
      <w:pPr>
        <w:pStyle w:val="ListBullet"/>
      </w:pPr>
      <w:r>
        <w:rPr>
          <w:b/>
        </w:rPr>
        <w:t>Sentence Extraction</w:t>
      </w:r>
      <w:r>
        <w:t>: If OpenRouter fails, the engine falls back to a deterministic template using localized string interpolation of the top-matching evidence snippets and NDIS standards.</w:t>
      </w:r>
    </w:p>
    <w:p>
      <w:r>
        <w:t>---</w:t>
      </w:r>
    </w:p>
    <w:p>
      <w:pPr>
        <w:pStyle w:val="Heading1"/>
      </w:pPr>
      <w:r>
        <w:rPr>
          <w:rFonts w:ascii="Arial" w:hAnsi="Arial"/>
          <w:color w:val="004488"/>
        </w:rPr>
        <w:t>7. Performance &amp; Latency Profile</w:t>
      </w:r>
    </w:p>
    <w:p>
      <w:r>
        <w:t>The system runs on the following execution latency breakdown: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222222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