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8" w:space="6"/>
        </w:pBdr>
        <w:spacing w:after="200" w:before="1200"/>
        <w:jc w:val="left"/>
      </w:pPr>
      <w:r>
        <w:rPr>
          <w:rFonts w:ascii="Vodafone Rg" w:cs="Vodafone Rg" w:eastAsia="Vodafone Rg" w:hAnsi="Vodafone Rg"/>
          <w:b/>
          <w:bCs/>
          <w:color w:val="E60000"/>
          <w:sz w:val="52"/>
          <w:szCs w:val="52"/>
        </w:rPr>
        <w:t xml:space="preserve">HR Insights Platform</w:t>
      </w:r>
    </w:p>
    <w:p>
      <w:pPr>
        <w:spacing w:after="120"/>
      </w:pPr>
      <w:r>
        <w:rPr>
          <w:rFonts w:ascii="Vodafone Rg" w:cs="Vodafone Rg" w:eastAsia="Vodafone Rg" w:hAnsi="Vodafone Rg"/>
          <w:b/>
          <w:bCs/>
          <w:color w:val="1A1A1A"/>
          <w:sz w:val="34"/>
          <w:szCs w:val="34"/>
        </w:rPr>
        <w:t xml:space="preserve">High-Level Design (HLD)</w:t>
      </w:r>
    </w:p>
    <w:p>
      <w:pPr>
        <w:spacing w:after="400"/>
      </w:pPr>
      <w:r>
        <w:rPr>
          <w:rFonts w:ascii="Vodafone Rg" w:cs="Vodafone Rg" w:eastAsia="Vodafone Rg" w:hAnsi="Vodafone Rg"/>
          <w:color w:val="666666"/>
          <w:sz w:val="24"/>
          <w:szCs w:val="24"/>
        </w:rPr>
        <w:t xml:space="preserve">Version 3.0  |  11 September 2026</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426"/>
      </w:tblGrid>
      <w:tr>
        <w:trPr>
          <w:tblHeader/>
        </w:trPr>
        <w:tc>
          <w:tcPr>
            <w:tcW w:type="dxa" w:w="26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Document attribute</w:t>
            </w:r>
          </w:p>
        </w:tc>
        <w:tc>
          <w:tcPr>
            <w:tcW w:type="dxa" w:w="64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Value</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w:t>
            </w:r>
          </w:p>
        </w:tc>
        <w:tc>
          <w:tcPr>
            <w:tcW w:type="dxa" w:w="6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HR Insights Platform</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Submission intent</w:t>
            </w:r>
          </w:p>
        </w:tc>
        <w:tc>
          <w:tcPr>
            <w:tcW w:type="dxa" w:w="6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Vodafone Architecture Review, Security Review, SPDA / C3 and Production Readiness</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Status</w:t>
            </w:r>
          </w:p>
        </w:tc>
        <w:tc>
          <w:tcPr>
            <w:tcW w:type="dxa" w:w="6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Draft for review</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Confidentiality</w:t>
            </w:r>
          </w:p>
        </w:tc>
        <w:tc>
          <w:tcPr>
            <w:tcW w:type="dxa" w:w="6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C3 (final classification to be confirmed by the Information Owner)</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AI scope</w:t>
            </w:r>
          </w:p>
        </w:tc>
        <w:tc>
          <w:tcPr>
            <w:tcW w:type="dxa" w:w="6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Out of Phase 1 scope; planned as a Phase 2 future enhancement (see Future Roadmap)</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Document owner</w:t>
            </w:r>
          </w:p>
        </w:tc>
        <w:tc>
          <w:tcPr>
            <w:tcW w:type="dxa" w:w="6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SPDA demand</w:t>
            </w:r>
          </w:p>
        </w:tc>
        <w:tc>
          <w:tcPr>
            <w:tcW w:type="dxa" w:w="6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Design Authority demand</w:t>
            </w:r>
          </w:p>
        </w:tc>
        <w:tc>
          <w:tcPr>
            <w:tcW w:type="dxa" w:w="6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Project phase</w:t>
            </w:r>
          </w:p>
        </w:tc>
        <w:tc>
          <w:tcPr>
            <w:tcW w:type="dxa" w:w="6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Development phase design and approval</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Master location</w:t>
            </w:r>
          </w:p>
        </w:tc>
        <w:tc>
          <w:tcPr>
            <w:tcW w:type="dxa" w:w="6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SharePoint location (TBC)</w:t>
            </w:r>
          </w:p>
        </w:tc>
      </w:tr>
    </w:tbl>
    <w:p>
      <w:r>
        <w:br w:type="page"/>
      </w:r>
    </w:p>
    <w:p>
      <w:pPr>
        <w:spacing w:after="160"/>
      </w:pPr>
      <w:r>
        <w:rPr>
          <w:rFonts w:ascii="Vodafone Rg" w:cs="Vodafone Rg" w:eastAsia="Vodafone Rg" w:hAnsi="Vodafone Rg"/>
          <w:b/>
          <w:bCs/>
          <w:color w:val="E60000"/>
          <w:sz w:val="30"/>
          <w:szCs w:val="30"/>
        </w:rPr>
        <w:t xml:space="preserve">Table of Contents</w:t>
      </w:r>
    </w:p>
    <w:sdt>
      <w:sdtPr>
        <w:alias w:val="Table of Contents"/>
      </w:sdtPr>
      <w:sdtContent>
        <w:p>
          <w:r>
            <w:fldChar w:fldCharType="begin" w:dirty="true"/>
            <w:instrText xml:space="preserve">TOC \h \o "1-2"</w:instrText>
            <w:fldChar w:fldCharType="separate"/>
          </w:r>
        </w:p>
        <w:p>
          <w:pPr>
            <w:pStyle w:val="TOC1"/>
            <w:tabs>
              <w:tab w:val="right" w:leader="dot" w:pos="9026"/>
            </w:tabs>
            <w:rPr>
              <w:noProof/>
            </w:rPr>
          </w:pPr>
          <w:r>
            <w:rPr>
              <w:noProof/>
            </w:rPr>
            <w:t xml:space="preserve">1. Document Control and Governance</w:t>
          </w:r>
          <w:r>
            <w:rPr>
              <w:noProof/>
            </w:rPr>
            <w:tab/>
            <w:t>4</w:t>
          </w:r>
        </w:p>
        <w:p>
          <w:pPr>
            <w:pStyle w:val="TOC2"/>
            <w:tabs>
              <w:tab w:val="right" w:leader="dot" w:pos="9026"/>
            </w:tabs>
            <w:rPr>
              <w:noProof/>
            </w:rPr>
          </w:pPr>
          <w:r>
            <w:rPr>
              <w:noProof/>
            </w:rPr>
            <w:t xml:space="preserve">1.1 Revision History</w:t>
          </w:r>
          <w:r>
            <w:rPr>
              <w:noProof/>
            </w:rPr>
            <w:tab/>
            <w:t>4</w:t>
          </w:r>
        </w:p>
        <w:p>
          <w:pPr>
            <w:pStyle w:val="TOC2"/>
            <w:tabs>
              <w:tab w:val="right" w:leader="dot" w:pos="9026"/>
            </w:tabs>
            <w:rPr>
              <w:noProof/>
            </w:rPr>
          </w:pPr>
          <w:r>
            <w:rPr>
              <w:noProof/>
            </w:rPr>
            <w:t xml:space="preserve">1.2 Reviewers, Approvers and Distribution</w:t>
          </w:r>
          <w:r>
            <w:rPr>
              <w:noProof/>
            </w:rPr>
            <w:tab/>
            <w:t>4</w:t>
          </w:r>
        </w:p>
        <w:p>
          <w:pPr>
            <w:pStyle w:val="TOC1"/>
            <w:tabs>
              <w:tab w:val="right" w:leader="dot" w:pos="9026"/>
            </w:tabs>
            <w:rPr>
              <w:noProof/>
            </w:rPr>
          </w:pPr>
          <w:r>
            <w:rPr>
              <w:noProof/>
            </w:rPr>
            <w:t xml:space="preserve">2. Executive Summary</w:t>
          </w:r>
          <w:r>
            <w:rPr>
              <w:noProof/>
            </w:rPr>
            <w:tab/>
            <w:t>4</w:t>
          </w:r>
        </w:p>
        <w:p>
          <w:pPr>
            <w:pStyle w:val="TOC1"/>
            <w:tabs>
              <w:tab w:val="right" w:leader="dot" w:pos="9026"/>
            </w:tabs>
            <w:rPr>
              <w:noProof/>
            </w:rPr>
          </w:pPr>
          <w:r>
            <w:rPr>
              <w:noProof/>
            </w:rPr>
            <w:t xml:space="preserve">3. Business Context and Scope</w:t>
          </w:r>
          <w:r>
            <w:rPr>
              <w:noProof/>
            </w:rPr>
            <w:tab/>
            <w:t>5</w:t>
          </w:r>
        </w:p>
        <w:p>
          <w:pPr>
            <w:pStyle w:val="TOC2"/>
            <w:tabs>
              <w:tab w:val="right" w:leader="dot" w:pos="9026"/>
            </w:tabs>
            <w:rPr>
              <w:noProof/>
            </w:rPr>
          </w:pPr>
          <w:r>
            <w:rPr>
              <w:noProof/>
            </w:rPr>
            <w:t xml:space="preserve">3.1 Business Need</w:t>
          </w:r>
          <w:r>
            <w:rPr>
              <w:noProof/>
            </w:rPr>
            <w:tab/>
            <w:t>5</w:t>
          </w:r>
        </w:p>
        <w:p>
          <w:pPr>
            <w:pStyle w:val="TOC2"/>
            <w:tabs>
              <w:tab w:val="right" w:leader="dot" w:pos="9026"/>
            </w:tabs>
            <w:rPr>
              <w:noProof/>
            </w:rPr>
          </w:pPr>
          <w:r>
            <w:rPr>
              <w:noProof/>
            </w:rPr>
            <w:t xml:space="preserve">3.2 In Scope</w:t>
          </w:r>
          <w:r>
            <w:rPr>
              <w:noProof/>
            </w:rPr>
            <w:tab/>
            <w:t>5</w:t>
          </w:r>
        </w:p>
        <w:p>
          <w:pPr>
            <w:pStyle w:val="TOC2"/>
            <w:tabs>
              <w:tab w:val="right" w:leader="dot" w:pos="9026"/>
            </w:tabs>
            <w:rPr>
              <w:noProof/>
            </w:rPr>
          </w:pPr>
          <w:r>
            <w:rPr>
              <w:noProof/>
            </w:rPr>
            <w:t xml:space="preserve">3.3 Out of Scope</w:t>
          </w:r>
          <w:r>
            <w:rPr>
              <w:noProof/>
            </w:rPr>
            <w:tab/>
            <w:t>5</w:t>
          </w:r>
        </w:p>
        <w:p>
          <w:pPr>
            <w:pStyle w:val="TOC2"/>
            <w:tabs>
              <w:tab w:val="right" w:leader="dot" w:pos="9026"/>
            </w:tabs>
            <w:rPr>
              <w:noProof/>
            </w:rPr>
          </w:pPr>
          <w:r>
            <w:rPr>
              <w:noProof/>
            </w:rPr>
            <w:t xml:space="preserve">3.4 Assumptions, Dependencies and Constraints</w:t>
          </w:r>
          <w:r>
            <w:rPr>
              <w:noProof/>
            </w:rPr>
            <w:tab/>
            <w:t>6</w:t>
          </w:r>
        </w:p>
        <w:p>
          <w:pPr>
            <w:pStyle w:val="TOC1"/>
            <w:tabs>
              <w:tab w:val="right" w:leader="dot" w:pos="9026"/>
            </w:tabs>
            <w:rPr>
              <w:noProof/>
            </w:rPr>
          </w:pPr>
          <w:r>
            <w:rPr>
              <w:noProof/>
            </w:rPr>
            <w:t xml:space="preserve">4. Requirements and Architecture Principles</w:t>
          </w:r>
          <w:r>
            <w:rPr>
              <w:noProof/>
            </w:rPr>
            <w:tab/>
            <w:t>6</w:t>
          </w:r>
        </w:p>
        <w:p>
          <w:pPr>
            <w:pStyle w:val="TOC2"/>
            <w:tabs>
              <w:tab w:val="right" w:leader="dot" w:pos="9026"/>
            </w:tabs>
            <w:rPr>
              <w:noProof/>
            </w:rPr>
          </w:pPr>
          <w:r>
            <w:rPr>
              <w:noProof/>
            </w:rPr>
            <w:t xml:space="preserve">4.1 Functional Requirements</w:t>
          </w:r>
          <w:r>
            <w:rPr>
              <w:noProof/>
            </w:rPr>
            <w:tab/>
            <w:t>6</w:t>
          </w:r>
        </w:p>
        <w:p>
          <w:pPr>
            <w:pStyle w:val="TOC2"/>
            <w:tabs>
              <w:tab w:val="right" w:leader="dot" w:pos="9026"/>
            </w:tabs>
            <w:rPr>
              <w:noProof/>
            </w:rPr>
          </w:pPr>
          <w:r>
            <w:rPr>
              <w:noProof/>
            </w:rPr>
            <w:t xml:space="preserve">4.2 Non-Functional Requirements</w:t>
          </w:r>
          <w:r>
            <w:rPr>
              <w:noProof/>
            </w:rPr>
            <w:tab/>
            <w:t>6</w:t>
          </w:r>
        </w:p>
        <w:p>
          <w:pPr>
            <w:pStyle w:val="TOC2"/>
            <w:tabs>
              <w:tab w:val="right" w:leader="dot" w:pos="9026"/>
            </w:tabs>
            <w:rPr>
              <w:noProof/>
            </w:rPr>
          </w:pPr>
          <w:r>
            <w:rPr>
              <w:noProof/>
            </w:rPr>
            <w:t xml:space="preserve">4.3 Architecture Principles</w:t>
          </w:r>
          <w:r>
            <w:rPr>
              <w:noProof/>
            </w:rPr>
            <w:tab/>
            <w:t>7</w:t>
          </w:r>
        </w:p>
        <w:p>
          <w:pPr>
            <w:pStyle w:val="TOC1"/>
            <w:tabs>
              <w:tab w:val="right" w:leader="dot" w:pos="9026"/>
            </w:tabs>
            <w:rPr>
              <w:noProof/>
            </w:rPr>
          </w:pPr>
          <w:r>
            <w:rPr>
              <w:noProof/>
            </w:rPr>
            <w:t xml:space="preserve">5. Solution Overview and Target Architecture</w:t>
          </w:r>
          <w:r>
            <w:rPr>
              <w:noProof/>
            </w:rPr>
            <w:tab/>
            <w:t>7</w:t>
          </w:r>
        </w:p>
        <w:p>
          <w:pPr>
            <w:pStyle w:val="TOC2"/>
            <w:tabs>
              <w:tab w:val="right" w:leader="dot" w:pos="9026"/>
            </w:tabs>
            <w:rPr>
              <w:noProof/>
            </w:rPr>
          </w:pPr>
          <w:r>
            <w:rPr>
              <w:noProof/>
            </w:rPr>
            <w:t xml:space="preserve">5.1 Architecture Diagram and Tools</w:t>
          </w:r>
          <w:r>
            <w:rPr>
              <w:noProof/>
            </w:rPr>
            <w:tab/>
            <w:t>7</w:t>
          </w:r>
        </w:p>
        <w:p>
          <w:pPr>
            <w:pStyle w:val="TOC2"/>
            <w:tabs>
              <w:tab w:val="right" w:leader="dot" w:pos="9026"/>
            </w:tabs>
            <w:rPr>
              <w:noProof/>
            </w:rPr>
          </w:pPr>
          <w:r>
            <w:rPr>
              <w:noProof/>
            </w:rPr>
            <w:t xml:space="preserve">5.2 Architecture Flow</w:t>
          </w:r>
          <w:r>
            <w:rPr>
              <w:noProof/>
            </w:rPr>
            <w:tab/>
            <w:t>8</w:t>
          </w:r>
        </w:p>
        <w:p>
          <w:pPr>
            <w:pStyle w:val="TOC2"/>
            <w:tabs>
              <w:tab w:val="right" w:leader="dot" w:pos="9026"/>
            </w:tabs>
            <w:rPr>
              <w:noProof/>
            </w:rPr>
          </w:pPr>
          <w:r>
            <w:rPr>
              <w:noProof/>
            </w:rPr>
            <w:t xml:space="preserve">5.3 Environment Model</w:t>
          </w:r>
          <w:r>
            <w:rPr>
              <w:noProof/>
            </w:rPr>
            <w:tab/>
            <w:t>9</w:t>
          </w:r>
        </w:p>
        <w:p>
          <w:pPr>
            <w:pStyle w:val="TOC1"/>
            <w:tabs>
              <w:tab w:val="right" w:leader="dot" w:pos="9026"/>
            </w:tabs>
            <w:rPr>
              <w:noProof/>
            </w:rPr>
          </w:pPr>
          <w:r>
            <w:rPr>
              <w:noProof/>
            </w:rPr>
            <w:t xml:space="preserve">6. Detailed Application and Integration Design</w:t>
          </w:r>
          <w:r>
            <w:rPr>
              <w:noProof/>
            </w:rPr>
            <w:tab/>
            <w:t>9</w:t>
          </w:r>
        </w:p>
        <w:p>
          <w:pPr>
            <w:pStyle w:val="TOC2"/>
            <w:tabs>
              <w:tab w:val="right" w:leader="dot" w:pos="9026"/>
            </w:tabs>
            <w:rPr>
              <w:noProof/>
            </w:rPr>
          </w:pPr>
          <w:r>
            <w:rPr>
              <w:noProof/>
            </w:rPr>
            <w:t xml:space="preserve">6.1 Frontend</w:t>
          </w:r>
          <w:r>
            <w:rPr>
              <w:noProof/>
            </w:rPr>
            <w:tab/>
            <w:t>9</w:t>
          </w:r>
        </w:p>
        <w:p>
          <w:pPr>
            <w:pStyle w:val="TOC2"/>
            <w:tabs>
              <w:tab w:val="right" w:leader="dot" w:pos="9026"/>
            </w:tabs>
            <w:rPr>
              <w:noProof/>
            </w:rPr>
          </w:pPr>
          <w:r>
            <w:rPr>
              <w:noProof/>
            </w:rPr>
            <w:t xml:space="preserve">6.2 Integration / Messaging Contract</w:t>
          </w:r>
          <w:r>
            <w:rPr>
              <w:noProof/>
            </w:rPr>
            <w:tab/>
            <w:t>9</w:t>
          </w:r>
        </w:p>
        <w:p>
          <w:pPr>
            <w:pStyle w:val="TOC2"/>
            <w:tabs>
              <w:tab w:val="right" w:leader="dot" w:pos="9026"/>
            </w:tabs>
            <w:rPr>
              <w:noProof/>
            </w:rPr>
          </w:pPr>
          <w:r>
            <w:rPr>
              <w:noProof/>
            </w:rPr>
            <w:t xml:space="preserve">6.3 Frontend Dependencies</w:t>
          </w:r>
          <w:r>
            <w:rPr>
              <w:noProof/>
            </w:rPr>
            <w:tab/>
            <w:t>10</w:t>
          </w:r>
        </w:p>
        <w:p>
          <w:pPr>
            <w:pStyle w:val="TOC2"/>
            <w:tabs>
              <w:tab w:val="right" w:leader="dot" w:pos="9026"/>
            </w:tabs>
            <w:rPr>
              <w:noProof/>
            </w:rPr>
          </w:pPr>
          <w:r>
            <w:rPr>
              <w:noProof/>
            </w:rPr>
            <w:t xml:space="preserve">6.4 Backend API Contract</w:t>
          </w:r>
          <w:r>
            <w:rPr>
              <w:noProof/>
            </w:rPr>
            <w:tab/>
            <w:t>10</w:t>
          </w:r>
        </w:p>
        <w:p>
          <w:pPr>
            <w:pStyle w:val="TOC2"/>
            <w:tabs>
              <w:tab w:val="right" w:leader="dot" w:pos="9026"/>
            </w:tabs>
            <w:rPr>
              <w:noProof/>
            </w:rPr>
          </w:pPr>
          <w:r>
            <w:rPr>
              <w:noProof/>
            </w:rPr>
            <w:t xml:space="preserve">6.5 Backend Dependencies</w:t>
          </w:r>
          <w:r>
            <w:rPr>
              <w:noProof/>
            </w:rPr>
            <w:tab/>
            <w:t>11</w:t>
          </w:r>
        </w:p>
        <w:p>
          <w:pPr>
            <w:pStyle w:val="TOC2"/>
            <w:tabs>
              <w:tab w:val="right" w:leader="dot" w:pos="9026"/>
            </w:tabs>
            <w:rPr>
              <w:noProof/>
            </w:rPr>
          </w:pPr>
          <w:r>
            <w:rPr>
              <w:noProof/>
            </w:rPr>
            <w:t xml:space="preserve">6.6 Read Sequence</w:t>
          </w:r>
          <w:r>
            <w:rPr>
              <w:noProof/>
            </w:rPr>
            <w:tab/>
            <w:t>11</w:t>
          </w:r>
        </w:p>
        <w:p>
          <w:pPr>
            <w:pStyle w:val="TOC2"/>
            <w:tabs>
              <w:tab w:val="right" w:leader="dot" w:pos="9026"/>
            </w:tabs>
            <w:rPr>
              <w:noProof/>
            </w:rPr>
          </w:pPr>
          <w:r>
            <w:rPr>
              <w:noProof/>
            </w:rPr>
            <w:t xml:space="preserve">6.7 Write Sequence</w:t>
          </w:r>
          <w:r>
            <w:rPr>
              <w:noProof/>
            </w:rPr>
            <w:tab/>
            <w:t>12</w:t>
          </w:r>
        </w:p>
        <w:p>
          <w:pPr>
            <w:pStyle w:val="TOC2"/>
            <w:tabs>
              <w:tab w:val="right" w:leader="dot" w:pos="9026"/>
            </w:tabs>
            <w:rPr>
              <w:noProof/>
            </w:rPr>
          </w:pPr>
          <w:r>
            <w:rPr>
              <w:noProof/>
            </w:rPr>
            <w:t xml:space="preserve">6.8 Future / Phase 2 AI Sequence</w:t>
          </w:r>
          <w:r>
            <w:rPr>
              <w:noProof/>
            </w:rPr>
            <w:tab/>
            <w:t>12</w:t>
          </w:r>
        </w:p>
        <w:p>
          <w:pPr>
            <w:pStyle w:val="TOC1"/>
            <w:tabs>
              <w:tab w:val="right" w:leader="dot" w:pos="9026"/>
            </w:tabs>
            <w:rPr>
              <w:noProof/>
            </w:rPr>
          </w:pPr>
          <w:r>
            <w:rPr>
              <w:noProof/>
            </w:rPr>
            <w:t xml:space="preserve">7. Data Architecture and BigQuery Design</w:t>
          </w:r>
          <w:r>
            <w:rPr>
              <w:noProof/>
            </w:rPr>
            <w:tab/>
            <w:t>12</w:t>
          </w:r>
        </w:p>
        <w:p>
          <w:pPr>
            <w:pStyle w:val="TOC2"/>
            <w:tabs>
              <w:tab w:val="right" w:leader="dot" w:pos="9026"/>
            </w:tabs>
            <w:rPr>
              <w:noProof/>
            </w:rPr>
          </w:pPr>
          <w:r>
            <w:rPr>
              <w:noProof/>
            </w:rPr>
            <w:t xml:space="preserve">7.1 Data Ownership and Minimization</w:t>
          </w:r>
          <w:r>
            <w:rPr>
              <w:noProof/>
            </w:rPr>
            <w:tab/>
            <w:t>12</w:t>
          </w:r>
        </w:p>
        <w:p>
          <w:pPr>
            <w:pStyle w:val="TOC2"/>
            <w:tabs>
              <w:tab w:val="right" w:leader="dot" w:pos="9026"/>
            </w:tabs>
            <w:rPr>
              <w:noProof/>
            </w:rPr>
          </w:pPr>
          <w:r>
            <w:rPr>
              <w:noProof/>
            </w:rPr>
            <w:t xml:space="preserve">7.2 Datasets and Views</w:t>
          </w:r>
          <w:r>
            <w:rPr>
              <w:noProof/>
            </w:rPr>
            <w:tab/>
            <w:t>12</w:t>
          </w:r>
        </w:p>
        <w:p>
          <w:pPr>
            <w:pStyle w:val="TOC2"/>
            <w:tabs>
              <w:tab w:val="right" w:leader="dot" w:pos="9026"/>
            </w:tabs>
            <w:rPr>
              <w:noProof/>
            </w:rPr>
          </w:pPr>
          <w:r>
            <w:rPr>
              <w:noProof/>
            </w:rPr>
            <w:t xml:space="preserve">7.3 Partitioning, Clustering and Lifecycle</w:t>
          </w:r>
          <w:r>
            <w:rPr>
              <w:noProof/>
            </w:rPr>
            <w:tab/>
            <w:t>12</w:t>
          </w:r>
        </w:p>
        <w:p>
          <w:pPr>
            <w:pStyle w:val="TOC1"/>
            <w:tabs>
              <w:tab w:val="right" w:leader="dot" w:pos="9026"/>
            </w:tabs>
            <w:rPr>
              <w:noProof/>
            </w:rPr>
          </w:pPr>
          <w:r>
            <w:rPr>
              <w:noProof/>
            </w:rPr>
            <w:t xml:space="preserve">8. Identity, Authentication and Authorization</w:t>
          </w:r>
          <w:r>
            <w:rPr>
              <w:noProof/>
            </w:rPr>
            <w:tab/>
            <w:t>12</w:t>
          </w:r>
        </w:p>
        <w:p>
          <w:pPr>
            <w:pStyle w:val="TOC2"/>
            <w:tabs>
              <w:tab w:val="right" w:leader="dot" w:pos="9026"/>
            </w:tabs>
            <w:rPr>
              <w:noProof/>
            </w:rPr>
          </w:pPr>
          <w:r>
            <w:rPr>
              <w:noProof/>
            </w:rPr>
            <w:t xml:space="preserve">8.1 Authentication</w:t>
          </w:r>
          <w:r>
            <w:rPr>
              <w:noProof/>
            </w:rPr>
            <w:tab/>
            <w:t>12</w:t>
          </w:r>
        </w:p>
        <w:p>
          <w:pPr>
            <w:pStyle w:val="TOC2"/>
            <w:tabs>
              <w:tab w:val="right" w:leader="dot" w:pos="9026"/>
            </w:tabs>
            <w:rPr>
              <w:noProof/>
            </w:rPr>
          </w:pPr>
          <w:r>
            <w:rPr>
              <w:noProof/>
            </w:rPr>
            <w:t xml:space="preserve">8.2 Authorization Chain</w:t>
          </w:r>
          <w:r>
            <w:rPr>
              <w:noProof/>
            </w:rPr>
            <w:tab/>
            <w:t>13</w:t>
          </w:r>
        </w:p>
        <w:p>
          <w:pPr>
            <w:pStyle w:val="TOC2"/>
            <w:tabs>
              <w:tab w:val="right" w:leader="dot" w:pos="9026"/>
            </w:tabs>
            <w:rPr>
              <w:noProof/>
            </w:rPr>
          </w:pPr>
          <w:r>
            <w:rPr>
              <w:noProof/>
            </w:rPr>
            <w:t xml:space="preserve">8.3 Role Matrix</w:t>
          </w:r>
          <w:r>
            <w:rPr>
              <w:noProof/>
            </w:rPr>
            <w:tab/>
            <w:t>13</w:t>
          </w:r>
        </w:p>
        <w:p>
          <w:pPr>
            <w:pStyle w:val="TOC2"/>
            <w:tabs>
              <w:tab w:val="right" w:leader="dot" w:pos="9026"/>
            </w:tabs>
            <w:rPr>
              <w:noProof/>
            </w:rPr>
          </w:pPr>
          <w:r>
            <w:rPr>
              <w:noProof/>
            </w:rPr>
            <w:t xml:space="preserve">8.4 Identity and Service Account Separation</w:t>
          </w:r>
          <w:r>
            <w:rPr>
              <w:noProof/>
            </w:rPr>
            <w:tab/>
            <w:t>13</w:t>
          </w:r>
        </w:p>
        <w:p>
          <w:pPr>
            <w:pStyle w:val="TOC2"/>
            <w:tabs>
              <w:tab w:val="right" w:leader="dot" w:pos="9026"/>
            </w:tabs>
            <w:rPr>
              <w:noProof/>
            </w:rPr>
          </w:pPr>
          <w:r>
            <w:rPr>
              <w:noProof/>
            </w:rPr>
            <w:t xml:space="preserve">8.5 Access Lifecycle</w:t>
          </w:r>
          <w:r>
            <w:rPr>
              <w:noProof/>
            </w:rPr>
            <w:tab/>
            <w:t>14</w:t>
          </w:r>
        </w:p>
        <w:p>
          <w:pPr>
            <w:pStyle w:val="TOC1"/>
            <w:tabs>
              <w:tab w:val="right" w:leader="dot" w:pos="9026"/>
            </w:tabs>
            <w:rPr>
              <w:noProof/>
            </w:rPr>
          </w:pPr>
          <w:r>
            <w:rPr>
              <w:noProof/>
            </w:rPr>
            <w:t xml:space="preserve">9. Security and Compliance</w:t>
          </w:r>
          <w:r>
            <w:rPr>
              <w:noProof/>
            </w:rPr>
            <w:tab/>
            <w:t>14</w:t>
          </w:r>
        </w:p>
        <w:p>
          <w:pPr>
            <w:pStyle w:val="TOC2"/>
            <w:tabs>
              <w:tab w:val="right" w:leader="dot" w:pos="9026"/>
            </w:tabs>
            <w:rPr>
              <w:noProof/>
            </w:rPr>
          </w:pPr>
          <w:r>
            <w:rPr>
              <w:noProof/>
            </w:rPr>
            <w:t xml:space="preserve">9.1 Data Classification and Privacy</w:t>
          </w:r>
          <w:r>
            <w:rPr>
              <w:noProof/>
            </w:rPr>
            <w:tab/>
            <w:t>14</w:t>
          </w:r>
        </w:p>
        <w:p>
          <w:pPr>
            <w:pStyle w:val="TOC2"/>
            <w:tabs>
              <w:tab w:val="right" w:leader="dot" w:pos="9026"/>
            </w:tabs>
            <w:rPr>
              <w:noProof/>
            </w:rPr>
          </w:pPr>
          <w:r>
            <w:rPr>
              <w:noProof/>
            </w:rPr>
            <w:t xml:space="preserve">9.2 PII Handling and Pseudo-anonymization</w:t>
          </w:r>
          <w:r>
            <w:rPr>
              <w:noProof/>
            </w:rPr>
            <w:tab/>
            <w:t>14</w:t>
          </w:r>
        </w:p>
        <w:p>
          <w:pPr>
            <w:pStyle w:val="TOC2"/>
            <w:tabs>
              <w:tab w:val="right" w:leader="dot" w:pos="9026"/>
            </w:tabs>
            <w:rPr>
              <w:noProof/>
            </w:rPr>
          </w:pPr>
          <w:r>
            <w:rPr>
              <w:noProof/>
            </w:rPr>
            <w:t xml:space="preserve">9.3 Immutable Audit and Logging</w:t>
          </w:r>
          <w:r>
            <w:rPr>
              <w:noProof/>
            </w:rPr>
            <w:tab/>
            <w:t>15</w:t>
          </w:r>
        </w:p>
        <w:p>
          <w:pPr>
            <w:pStyle w:val="TOC2"/>
            <w:tabs>
              <w:tab w:val="right" w:leader="dot" w:pos="9026"/>
            </w:tabs>
            <w:rPr>
              <w:noProof/>
            </w:rPr>
          </w:pPr>
          <w:r>
            <w:rPr>
              <w:noProof/>
            </w:rPr>
            <w:t xml:space="preserve">9.4 SPDA Compliance Mapping</w:t>
          </w:r>
          <w:r>
            <w:rPr>
              <w:noProof/>
            </w:rPr>
            <w:tab/>
            <w:t>15</w:t>
          </w:r>
        </w:p>
        <w:p>
          <w:pPr>
            <w:pStyle w:val="TOC1"/>
            <w:tabs>
              <w:tab w:val="right" w:leader="dot" w:pos="9026"/>
            </w:tabs>
            <w:rPr>
              <w:noProof/>
            </w:rPr>
          </w:pPr>
          <w:r>
            <w:rPr>
              <w:noProof/>
            </w:rPr>
            <w:t xml:space="preserve">10. Logging, Monitoring and Operational Support</w:t>
          </w:r>
          <w:r>
            <w:rPr>
              <w:noProof/>
            </w:rPr>
            <w:tab/>
            <w:t>16</w:t>
          </w:r>
        </w:p>
        <w:p>
          <w:pPr>
            <w:pStyle w:val="TOC2"/>
            <w:tabs>
              <w:tab w:val="right" w:leader="dot" w:pos="9026"/>
            </w:tabs>
            <w:rPr>
              <w:noProof/>
            </w:rPr>
          </w:pPr>
          <w:r>
            <w:rPr>
              <w:noProof/>
            </w:rPr>
            <w:t xml:space="preserve">10.1 Logging Model</w:t>
          </w:r>
          <w:r>
            <w:rPr>
              <w:noProof/>
            </w:rPr>
            <w:tab/>
            <w:t>16</w:t>
          </w:r>
        </w:p>
        <w:p>
          <w:pPr>
            <w:pStyle w:val="TOC2"/>
            <w:tabs>
              <w:tab w:val="right" w:leader="dot" w:pos="9026"/>
            </w:tabs>
            <w:rPr>
              <w:noProof/>
            </w:rPr>
          </w:pPr>
          <w:r>
            <w:rPr>
              <w:noProof/>
            </w:rPr>
            <w:t xml:space="preserve">10.2 Metrics, SLOs and Alerts</w:t>
          </w:r>
          <w:r>
            <w:rPr>
              <w:noProof/>
            </w:rPr>
            <w:tab/>
            <w:t>16</w:t>
          </w:r>
        </w:p>
        <w:p>
          <w:pPr>
            <w:pStyle w:val="TOC2"/>
            <w:tabs>
              <w:tab w:val="right" w:leader="dot" w:pos="9026"/>
            </w:tabs>
            <w:rPr>
              <w:noProof/>
            </w:rPr>
          </w:pPr>
          <w:r>
            <w:rPr>
              <w:noProof/>
            </w:rPr>
            <w:t xml:space="preserve">10.3 Support Model and RACI</w:t>
          </w:r>
          <w:r>
            <w:rPr>
              <w:noProof/>
            </w:rPr>
            <w:tab/>
            <w:t>16</w:t>
          </w:r>
        </w:p>
        <w:p>
          <w:pPr>
            <w:pStyle w:val="TOC2"/>
            <w:tabs>
              <w:tab w:val="right" w:leader="dot" w:pos="9026"/>
            </w:tabs>
            <w:rPr>
              <w:noProof/>
            </w:rPr>
          </w:pPr>
          <w:r>
            <w:rPr>
              <w:noProof/>
            </w:rPr>
            <w:t xml:space="preserve">10.4 Runbooks Required</w:t>
          </w:r>
          <w:r>
            <w:rPr>
              <w:noProof/>
            </w:rPr>
            <w:tab/>
            <w:t>17</w:t>
          </w:r>
        </w:p>
        <w:p>
          <w:pPr>
            <w:pStyle w:val="TOC1"/>
            <w:tabs>
              <w:tab w:val="right" w:leader="dot" w:pos="9026"/>
            </w:tabs>
            <w:rPr>
              <w:noProof/>
            </w:rPr>
          </w:pPr>
          <w:r>
            <w:rPr>
              <w:noProof/>
            </w:rPr>
            <w:t xml:space="preserve">11. CI/CD and DevSecOps</w:t>
          </w:r>
          <w:r>
            <w:rPr>
              <w:noProof/>
            </w:rPr>
            <w:tab/>
            <w:t>17</w:t>
          </w:r>
        </w:p>
        <w:p>
          <w:pPr>
            <w:pStyle w:val="TOC2"/>
            <w:tabs>
              <w:tab w:val="right" w:leader="dot" w:pos="9026"/>
            </w:tabs>
            <w:rPr>
              <w:noProof/>
            </w:rPr>
          </w:pPr>
          <w:r>
            <w:rPr>
              <w:noProof/>
            </w:rPr>
            <w:t xml:space="preserve">11.1 Target Pipeline</w:t>
          </w:r>
          <w:r>
            <w:rPr>
              <w:noProof/>
            </w:rPr>
            <w:tab/>
            <w:t>17</w:t>
          </w:r>
        </w:p>
        <w:p>
          <w:pPr>
            <w:pStyle w:val="TOC2"/>
            <w:tabs>
              <w:tab w:val="right" w:leader="dot" w:pos="9026"/>
            </w:tabs>
            <w:rPr>
              <w:noProof/>
            </w:rPr>
          </w:pPr>
          <w:r>
            <w:rPr>
              <w:noProof/>
            </w:rPr>
            <w:t xml:space="preserve">11.2 Required Gates</w:t>
          </w:r>
          <w:r>
            <w:rPr>
              <w:noProof/>
            </w:rPr>
            <w:tab/>
            <w:t>17</w:t>
          </w:r>
        </w:p>
        <w:p>
          <w:pPr>
            <w:pStyle w:val="TOC2"/>
            <w:tabs>
              <w:tab w:val="right" w:leader="dot" w:pos="9026"/>
            </w:tabs>
            <w:rPr>
              <w:noProof/>
            </w:rPr>
          </w:pPr>
          <w:r>
            <w:rPr>
              <w:noProof/>
            </w:rPr>
            <w:t xml:space="preserve">11.3 Patch and Dependency Management</w:t>
          </w:r>
          <w:r>
            <w:rPr>
              <w:noProof/>
            </w:rPr>
            <w:tab/>
            <w:t>18</w:t>
          </w:r>
        </w:p>
        <w:p>
          <w:pPr>
            <w:pStyle w:val="TOC1"/>
            <w:tabs>
              <w:tab w:val="right" w:leader="dot" w:pos="9026"/>
            </w:tabs>
            <w:rPr>
              <w:noProof/>
            </w:rPr>
          </w:pPr>
          <w:r>
            <w:rPr>
              <w:noProof/>
            </w:rPr>
            <w:t xml:space="preserve">12. Future Roadmap</w:t>
          </w:r>
          <w:r>
            <w:rPr>
              <w:noProof/>
            </w:rPr>
            <w:tab/>
            <w:t>18</w:t>
          </w:r>
        </w:p>
        <w:p>
          <w:pPr>
            <w:pStyle w:val="TOC1"/>
            <w:tabs>
              <w:tab w:val="right" w:leader="dot" w:pos="9026"/>
            </w:tabs>
            <w:rPr>
              <w:noProof/>
            </w:rPr>
          </w:pPr>
          <w:r>
            <w:rPr>
              <w:noProof/>
            </w:rPr>
            <w:t xml:space="preserve">13. Appendices</w:t>
          </w:r>
          <w:r>
            <w:rPr>
              <w:noProof/>
            </w:rPr>
            <w:tab/>
            <w:t>18</w:t>
          </w:r>
        </w:p>
        <w:p>
          <w:pPr>
            <w:pStyle w:val="TOC2"/>
            <w:tabs>
              <w:tab w:val="right" w:leader="dot" w:pos="9026"/>
            </w:tabs>
            <w:rPr>
              <w:noProof/>
            </w:rPr>
          </w:pPr>
          <w:r>
            <w:rPr>
              <w:noProof/>
            </w:rPr>
            <w:t xml:space="preserve">Appendix A – Glossary</w:t>
          </w:r>
          <w:r>
            <w:rPr>
              <w:noProof/>
            </w:rPr>
            <w:tab/>
            <w:t>18</w:t>
          </w:r>
        </w:p>
        <w:p>
          <w:pPr>
            <w:pStyle w:val="TOC2"/>
            <w:tabs>
              <w:tab w:val="right" w:leader="dot" w:pos="9026"/>
            </w:tabs>
            <w:rPr>
              <w:noProof/>
            </w:rPr>
          </w:pPr>
          <w:r>
            <w:rPr>
              <w:noProof/>
            </w:rPr>
            <w:t xml:space="preserve">Appendix B – Source Register</w:t>
          </w:r>
          <w:r>
            <w:rPr>
              <w:noProof/>
            </w:rPr>
            <w:tab/>
            <w:t>19</w:t>
          </w:r>
        </w:p>
        <w:p>
          <w:r>
            <w:fldChar w:fldCharType="end"/>
          </w:r>
        </w:p>
      </w:sdtContent>
    </w:sdt>
    <w:p>
      <w:pPr>
        <w:spacing w:before="120"/>
      </w:pPr>
      <w:r>
        <w:rPr>
          <w:rFonts w:ascii="Vodafone Rg" w:cs="Vodafone Rg" w:eastAsia="Vodafone Rg" w:hAnsi="Vodafone Rg"/>
          <w:i/>
          <w:iCs/>
          <w:color w:val="666666"/>
          <w:sz w:val="18"/>
          <w:szCs w:val="18"/>
        </w:rPr>
        <w:t xml:space="preserve">Page numbers populate automatically when this document is opened in Word. If prompted, choose “Update entire table”; otherwise select the table and press F9.</w:t>
      </w:r>
    </w:p>
    <w:p>
      <w:r>
        <w:br w:type="page"/>
      </w:r>
    </w:p>
    <w:p>
      <w:pPr>
        <w:pStyle w:val="Heading1"/>
        <w:spacing w:after="140" w:before="320"/>
      </w:pPr>
      <w:r>
        <w:rPr>
          <w:rFonts w:ascii="Vodafone Rg" w:cs="Vodafone Rg" w:eastAsia="Vodafone Rg" w:hAnsi="Vodafone Rg"/>
          <w:b/>
          <w:bCs/>
          <w:color w:val="E60000"/>
          <w:sz w:val="30"/>
          <w:szCs w:val="30"/>
        </w:rPr>
        <w:t xml:space="preserve">1. Document Control and Governance</w:t>
      </w:r>
    </w:p>
    <w:p>
      <w:pPr>
        <w:pStyle w:val="Heading2"/>
        <w:spacing w:after="100" w:before="220"/>
      </w:pPr>
      <w:r>
        <w:rPr>
          <w:rFonts w:ascii="Vodafone Rg" w:cs="Vodafone Rg" w:eastAsia="Vodafone Rg" w:hAnsi="Vodafone Rg"/>
          <w:b/>
          <w:bCs/>
          <w:color w:val="007C92"/>
          <w:sz w:val="25"/>
          <w:szCs w:val="25"/>
        </w:rPr>
        <w:t xml:space="preserve">1.1 Revision History</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820"/>
        <w:gridCol w:w="1120"/>
        <w:gridCol w:w="1300"/>
        <w:gridCol w:w="4236"/>
        <w:gridCol w:w="1550"/>
      </w:tblGrid>
      <w:tr>
        <w:trPr>
          <w:tblHeader/>
        </w:trPr>
        <w:tc>
          <w:tcPr>
            <w:tcW w:type="dxa" w:w="82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Version</w:t>
            </w:r>
          </w:p>
        </w:tc>
        <w:tc>
          <w:tcPr>
            <w:tcW w:type="dxa" w:w="112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Date</w:t>
            </w:r>
          </w:p>
        </w:tc>
        <w:tc>
          <w:tcPr>
            <w:tcW w:type="dxa" w:w="13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Status</w:t>
            </w:r>
          </w:p>
        </w:tc>
        <w:tc>
          <w:tcPr>
            <w:tcW w:type="dxa" w:w="423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Change</w:t>
            </w:r>
          </w:p>
        </w:tc>
        <w:tc>
          <w:tcPr>
            <w:tcW w:type="dxa" w:w="155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Owner</w:t>
            </w:r>
          </w:p>
        </w:tc>
      </w:tr>
      <w:tr>
        <w:tc>
          <w:tcPr>
            <w:tcW w:type="dxa" w:w="82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1.0</w:t>
            </w:r>
          </w:p>
        </w:tc>
        <w:tc>
          <w:tcPr>
            <w:tcW w:type="dxa" w:w="112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12 Aug 2026</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Initial</w:t>
            </w:r>
          </w:p>
        </w:tc>
        <w:tc>
          <w:tcPr>
            <w:tcW w:type="dxa" w:w="423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Core HLD baseline covering dashboard, analytics consumption and controlled data access.</w:t>
            </w:r>
          </w:p>
        </w:tc>
        <w:tc>
          <w:tcPr>
            <w:tcW w:type="dxa" w:w="15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r>
        <w:tc>
          <w:tcPr>
            <w:tcW w:type="dxa" w:w="82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1.1</w:t>
            </w:r>
          </w:p>
        </w:tc>
        <w:tc>
          <w:tcPr>
            <w:tcW w:type="dxa" w:w="112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08 Sep 2026</w:t>
            </w:r>
          </w:p>
        </w:tc>
        <w:tc>
          <w:tcPr>
            <w:tcW w:type="dxa" w:w="1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Draft</w:t>
            </w:r>
          </w:p>
        </w:tc>
        <w:tc>
          <w:tcPr>
            <w:tcW w:type="dxa" w:w="423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Restructured into the Vodafone approval-readiness HLD format.</w:t>
            </w:r>
          </w:p>
        </w:tc>
        <w:tc>
          <w:tcPr>
            <w:tcW w:type="dxa" w:w="15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r>
        <w:tc>
          <w:tcPr>
            <w:tcW w:type="dxa" w:w="82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3.0</w:t>
            </w:r>
          </w:p>
        </w:tc>
        <w:tc>
          <w:tcPr>
            <w:tcW w:type="dxa" w:w="112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11 Sep 2026</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Draft for review</w:t>
            </w:r>
          </w:p>
        </w:tc>
        <w:tc>
          <w:tcPr>
            <w:tcW w:type="dxa" w:w="423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Revised as HR Insights Platform: reclassified to C3; adopted the latest solution architecture; removed AI from Phase 1 (retained as a Phase 2 roadmap item); tabulated the environment model; incorporated BigQuery Row-Level and Column-Level Security into the authorization chain; added the Admin role; replaced application-data encryption with pseudo-anonymization; and rationalised sections.</w:t>
            </w:r>
          </w:p>
        </w:tc>
        <w:tc>
          <w:tcPr>
            <w:tcW w:type="dxa" w:w="15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r>
    </w:tbl>
    <w:p>
      <w:pPr>
        <w:pStyle w:val="Heading2"/>
        <w:spacing w:after="100" w:before="220"/>
      </w:pPr>
      <w:r>
        <w:rPr>
          <w:rFonts w:ascii="Vodafone Rg" w:cs="Vodafone Rg" w:eastAsia="Vodafone Rg" w:hAnsi="Vodafone Rg"/>
          <w:b/>
          <w:bCs/>
          <w:color w:val="007C92"/>
          <w:sz w:val="25"/>
          <w:szCs w:val="25"/>
        </w:rPr>
        <w:t xml:space="preserve">1.2 Reviewers, Approvers and Distribution</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100"/>
        <w:gridCol w:w="3226"/>
        <w:gridCol w:w="1300"/>
      </w:tblGrid>
      <w:tr>
        <w:trPr>
          <w:tblHeader/>
        </w:trPr>
        <w:tc>
          <w:tcPr>
            <w:tcW w:type="dxa" w:w="24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Role</w:t>
            </w:r>
          </w:p>
        </w:tc>
        <w:tc>
          <w:tcPr>
            <w:tcW w:type="dxa" w:w="21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Name / team</w:t>
            </w:r>
          </w:p>
        </w:tc>
        <w:tc>
          <w:tcPr>
            <w:tcW w:type="dxa" w:w="32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Decision / responsibility</w:t>
            </w:r>
          </w:p>
        </w:tc>
        <w:tc>
          <w:tcPr>
            <w:tcW w:type="dxa" w:w="13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Status</w:t>
            </w:r>
          </w:p>
        </w:tc>
      </w:tr>
      <w:tr>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Document owner</w:t>
            </w:r>
          </w:p>
        </w:tc>
        <w:tc>
          <w:tcPr>
            <w:tcW w:type="dxa" w:w="2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Accuracy and design ownership</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Drafted</w:t>
            </w:r>
          </w:p>
        </w:tc>
      </w:tr>
      <w:tr>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Business Owner / Sponsor</w:t>
            </w:r>
          </w:p>
        </w:tc>
        <w:tc>
          <w:tcPr>
            <w:tcW w:type="dxa" w:w="2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End-to-end solution</w:t>
            </w:r>
          </w:p>
        </w:tc>
        <w:tc>
          <w:tcPr>
            <w:tcW w:type="dxa" w:w="1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Architecture reviewer</w:t>
            </w:r>
          </w:p>
        </w:tc>
        <w:tc>
          <w:tcPr>
            <w:tcW w:type="dxa" w:w="2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Architecture pattern and delta</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 solution architecture</w:t>
            </w:r>
          </w:p>
        </w:tc>
        <w:tc>
          <w:tcPr>
            <w:tcW w:type="dxa" w:w="2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Design Authority</w:t>
            </w:r>
          </w:p>
        </w:tc>
        <w:tc>
          <w:tcPr>
            <w:tcW w:type="dxa" w:w="3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End-to-end architecture approval</w:t>
            </w:r>
          </w:p>
        </w:tc>
        <w:tc>
          <w:tcPr>
            <w:tcW w:type="dxa" w:w="1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SPDA / Secure by Design</w:t>
            </w:r>
          </w:p>
        </w:tc>
        <w:tc>
          <w:tcPr>
            <w:tcW w:type="dxa" w:w="2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 demand approval</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Privacy / Information Owner</w:t>
            </w:r>
          </w:p>
        </w:tc>
        <w:tc>
          <w:tcPr>
            <w:tcW w:type="dxa" w:w="2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Classification, purpose, retention and PII</w:t>
            </w:r>
          </w:p>
        </w:tc>
        <w:tc>
          <w:tcPr>
            <w:tcW w:type="dxa" w:w="1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PCS / GCP platform</w:t>
            </w:r>
          </w:p>
        </w:tc>
        <w:tc>
          <w:tcPr>
            <w:tcW w:type="dxa" w:w="2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C3 hosting, logging and project guardrails</w:t>
            </w:r>
          </w:p>
        </w:tc>
        <w:tc>
          <w:tcPr>
            <w:tcW w:type="dxa" w:w="1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r>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DataHub / Analytics owner</w:t>
            </w:r>
          </w:p>
        </w:tc>
        <w:tc>
          <w:tcPr>
            <w:tcW w:type="dxa" w:w="2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TBC</w:t>
            </w:r>
          </w:p>
        </w:tc>
        <w:tc>
          <w:tcPr>
            <w:tcW w:type="dxa" w:w="3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Datasets, semantic views and access</w:t>
            </w:r>
          </w:p>
        </w:tc>
        <w:tc>
          <w:tcPr>
            <w:tcW w:type="dxa" w:w="1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Pending</w:t>
            </w:r>
          </w:p>
        </w:tc>
      </w:tr>
    </w:tbl>
    <w:p>
      <w:pPr>
        <w:pStyle w:val="Heading1"/>
        <w:spacing w:after="140" w:before="320"/>
      </w:pPr>
      <w:r>
        <w:rPr>
          <w:rFonts w:ascii="Vodafone Rg" w:cs="Vodafone Rg" w:eastAsia="Vodafone Rg" w:hAnsi="Vodafone Rg"/>
          <w:b/>
          <w:bCs/>
          <w:color w:val="E60000"/>
          <w:sz w:val="30"/>
          <w:szCs w:val="30"/>
        </w:rPr>
        <w:t xml:space="preserve">2. Executive Summary</w:t>
      </w:r>
    </w:p>
    <w:p>
      <w:pPr>
        <w:spacing w:after="120" w:line="276"/>
      </w:pPr>
      <w:r>
        <w:rPr>
          <w:rFonts w:ascii="Vodafone Rg" w:cs="Vodafone Rg" w:eastAsia="Vodafone Rg" w:hAnsi="Vodafone Rg"/>
          <w:b w:val="false"/>
          <w:bCs w:val="false"/>
          <w:i w:val="false"/>
          <w:iCs w:val="false"/>
          <w:color w:val="1A1A1A"/>
          <w:sz w:val="21"/>
          <w:szCs w:val="21"/>
        </w:rPr>
        <w:t xml:space="preserve">The HR Insights Platform is a ReactJS and GCP based analytics and insight delivery platform designed to help HR and business users understand the drivers behind top talent nomination across Vodafone markets. It provides a single interface for viewing analytics model outputs, including global predictor insights and market-level driver and barrier analysis.</w:t>
      </w:r>
    </w:p>
    <w:p>
      <w:pPr>
        <w:spacing w:after="120" w:line="276"/>
      </w:pPr>
      <w:r>
        <w:rPr>
          <w:rFonts w:ascii="Vodafone Rg" w:cs="Vodafone Rg" w:eastAsia="Vodafone Rg" w:hAnsi="Vodafone Rg"/>
          <w:b w:val="false"/>
          <w:bCs w:val="false"/>
          <w:i w:val="false"/>
          <w:iCs w:val="false"/>
          <w:color w:val="1A1A1A"/>
          <w:sz w:val="21"/>
          <w:szCs w:val="21"/>
        </w:rPr>
        <w:t xml:space="preserve">The platform is a presentation and query layer only. Analytical modelling is performed upstream by the analytics team, with published outputs consumed from BigQuery. Data access is controlled through authentication and group-based authorization, enforced through the backend and through BigQuery Row-Level and Column-Level Security applied at query time.</w:t>
      </w:r>
    </w:p>
    <w:p>
      <w:pPr>
        <w:pStyle w:val="Heading1"/>
        <w:spacing w:after="140" w:before="320"/>
      </w:pPr>
      <w:r>
        <w:rPr>
          <w:rFonts w:ascii="Vodafone Rg" w:cs="Vodafone Rg" w:eastAsia="Vodafone Rg" w:hAnsi="Vodafone Rg"/>
          <w:b/>
          <w:bCs/>
          <w:color w:val="E60000"/>
          <w:sz w:val="30"/>
          <w:szCs w:val="30"/>
        </w:rPr>
        <w:t xml:space="preserve">3. Business Context and Scope</w:t>
      </w:r>
    </w:p>
    <w:p>
      <w:pPr>
        <w:pStyle w:val="Heading2"/>
        <w:spacing w:after="100" w:before="220"/>
      </w:pPr>
      <w:r>
        <w:rPr>
          <w:rFonts w:ascii="Vodafone Rg" w:cs="Vodafone Rg" w:eastAsia="Vodafone Rg" w:hAnsi="Vodafone Rg"/>
          <w:b/>
          <w:bCs/>
          <w:color w:val="007C92"/>
          <w:sz w:val="25"/>
          <w:szCs w:val="25"/>
        </w:rPr>
        <w:t xml:space="preserve">3.1 Business Need</w:t>
      </w:r>
    </w:p>
    <w:p>
      <w:pPr>
        <w:spacing w:after="120" w:line="276"/>
      </w:pPr>
      <w:r>
        <w:rPr>
          <w:rFonts w:ascii="Vodafone Rg" w:cs="Vodafone Rg" w:eastAsia="Vodafone Rg" w:hAnsi="Vodafone Rg"/>
          <w:b w:val="false"/>
          <w:bCs w:val="false"/>
          <w:i w:val="false"/>
          <w:iCs w:val="false"/>
          <w:color w:val="1A1A1A"/>
          <w:sz w:val="21"/>
          <w:szCs w:val="21"/>
        </w:rPr>
        <w:t xml:space="preserve">The HR Insights Platform gives HR and business users a single, governed place to understand why individuals are nominated as top talent across Vodafone markets. It surfaces published analytics outputs – global predictor insights and market-level driver and barrier analysis – through an interactive dashboard, reducing fragmented and uncontrolled distribution of sensitive HR analytics and supporting consistent, scope-based consumption of insight.</w:t>
      </w:r>
    </w:p>
    <w:p>
      <w:pPr>
        <w:pStyle w:val="Heading2"/>
        <w:spacing w:after="100" w:before="220"/>
      </w:pPr>
      <w:r>
        <w:rPr>
          <w:rFonts w:ascii="Vodafone Rg" w:cs="Vodafone Rg" w:eastAsia="Vodafone Rg" w:hAnsi="Vodafone Rg"/>
          <w:b/>
          <w:bCs/>
          <w:color w:val="007C92"/>
          <w:sz w:val="25"/>
          <w:szCs w:val="25"/>
        </w:rPr>
        <w:t xml:space="preserve">3.2 In Scope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ReactJS single-page dashboard on Cloud Run for HR Insights Platform, including the global predictor view and market-level driver and barrier views.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FastAPI backend on Cloud Run consuming published BigQuery analytics outputs and semantic views.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Application access control through Google Group membership, resolved by Identity-Aware Proxy.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Cloud Load Balancer, Cloud Armor and Identity-Aware Proxy at the edge, with corporate SSO.</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BigQuery Row-Level Security (by market) and Column-Level Security (Policy Tags) enforced at query time.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Central logging, monitoring and audit of application activity.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Separate development (non-live) and production (live) environments on GCP.</w:t>
      </w:r>
    </w:p>
    <w:p>
      <w:pPr>
        <w:pStyle w:val="Heading2"/>
        <w:spacing w:after="100" w:before="220"/>
      </w:pPr>
      <w:r>
        <w:rPr>
          <w:rFonts w:ascii="Vodafone Rg" w:cs="Vodafone Rg" w:eastAsia="Vodafone Rg" w:hAnsi="Vodafone Rg"/>
          <w:b/>
          <w:bCs/>
          <w:color w:val="007C92"/>
          <w:sz w:val="25"/>
          <w:szCs w:val="25"/>
        </w:rPr>
        <w:t xml:space="preserve">3.3 Out of Scope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Analytical and model development, which is performed by upstream analytics teams; the platform is a presentation and query layer only.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Changes to upstream HR data pipelines.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Changes to source HR systems.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Development or ownership of upstream ETL and data-engineering processes.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Redesign of the enterprise data or semantic layer.</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Changes to published analytical outputs.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Uncontrolled, anonymous or external (non-Vodafone) user access.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Any functionality outside the defined HR Insights Platform scope.</w:t>
      </w:r>
    </w:p>
    <w:p>
      <w:pPr>
        <w:pStyle w:val="Heading2"/>
        <w:spacing w:after="100" w:before="220"/>
      </w:pPr>
      <w:r>
        <w:rPr>
          <w:rFonts w:ascii="Vodafone Rg" w:cs="Vodafone Rg" w:eastAsia="Vodafone Rg" w:hAnsi="Vodafone Rg"/>
          <w:b/>
          <w:bCs/>
          <w:color w:val="007C92"/>
          <w:sz w:val="25"/>
          <w:szCs w:val="25"/>
        </w:rPr>
        <w:t xml:space="preserve">3.4 Assumptions, Dependencies and Constraints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800"/>
        <w:gridCol w:w="1500"/>
        <w:gridCol w:w="6726"/>
      </w:tblGrid>
      <w:tr>
        <w:trPr>
          <w:tblHeader/>
        </w:trPr>
        <w:tc>
          <w:tcPr>
            <w:tcW w:type="dxa" w:w="8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ID</w:t>
            </w:r>
          </w:p>
        </w:tc>
        <w:tc>
          <w:tcPr>
            <w:tcW w:type="dxa" w:w="1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Type</w:t>
            </w:r>
          </w:p>
        </w:tc>
        <w:tc>
          <w:tcPr>
            <w:tcW w:type="dxa" w:w="67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Statement</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A01</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Assumption</w:t>
            </w:r>
          </w:p>
        </w:tc>
        <w:tc>
          <w:tcPr>
            <w:tcW w:type="dxa" w:w="67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Analytics model outputs and semantic views are produced and refreshed upstream of the platform in BigQuery.</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A02</w:t>
            </w:r>
          </w:p>
        </w:tc>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Assumption</w:t>
            </w:r>
          </w:p>
        </w:tc>
        <w:tc>
          <w:tcPr>
            <w:tcW w:type="dxa" w:w="67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Corporate identity integration (SSO and Identity-Aware Proxy) is available for the target projects.</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D01</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Dependency</w:t>
            </w:r>
          </w:p>
        </w:tc>
        <w:tc>
          <w:tcPr>
            <w:tcW w:type="dxa" w:w="67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Published BigQuery analytics outputs and semantic views are provisioned and accessible to the backend identity, with Row-Level and Column-Level Security configured.</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D02</w:t>
            </w:r>
          </w:p>
        </w:tc>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Dependency</w:t>
            </w:r>
          </w:p>
        </w:tc>
        <w:tc>
          <w:tcPr>
            <w:tcW w:type="dxa" w:w="67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Armor, IAP and DNS / certificate are provisioned for the target projects.</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D03</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Dependency</w:t>
            </w:r>
          </w:p>
        </w:tc>
        <w:tc>
          <w:tcPr>
            <w:tcW w:type="dxa" w:w="67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 Groups map users to their permitted market scope.</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C01</w:t>
            </w:r>
          </w:p>
        </w:tc>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Constraint</w:t>
            </w:r>
          </w:p>
        </w:tc>
        <w:tc>
          <w:tcPr>
            <w:tcW w:type="dxa" w:w="67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HR analytics data must remain within approved Vodafone projects and regions.</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C02</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Constraint</w:t>
            </w:r>
          </w:p>
        </w:tc>
        <w:tc>
          <w:tcPr>
            <w:tcW w:type="dxa" w:w="67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The platform consumes published outputs only and does not change the underlying HR data pipelines.</w:t>
            </w:r>
          </w:p>
        </w:tc>
      </w:tr>
    </w:tbl>
    <w:p>
      <w:pPr>
        <w:pStyle w:val="Heading1"/>
        <w:spacing w:after="140" w:before="320"/>
      </w:pPr>
      <w:r>
        <w:rPr>
          <w:rFonts w:ascii="Vodafone Rg" w:cs="Vodafone Rg" w:eastAsia="Vodafone Rg" w:hAnsi="Vodafone Rg"/>
          <w:b/>
          <w:bCs/>
          <w:color w:val="E60000"/>
          <w:sz w:val="30"/>
          <w:szCs w:val="30"/>
        </w:rPr>
        <w:t xml:space="preserve">4. Requirements and Architecture Principles</w:t>
      </w:r>
    </w:p>
    <w:p>
      <w:pPr>
        <w:pStyle w:val="Heading2"/>
        <w:spacing w:after="100" w:before="220"/>
      </w:pPr>
      <w:r>
        <w:rPr>
          <w:rFonts w:ascii="Vodafone Rg" w:cs="Vodafone Rg" w:eastAsia="Vodafone Rg" w:hAnsi="Vodafone Rg"/>
          <w:b/>
          <w:bCs/>
          <w:color w:val="007C92"/>
          <w:sz w:val="25"/>
          <w:szCs w:val="25"/>
        </w:rPr>
        <w:t xml:space="preserve">4.1 Functional Requirements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800"/>
        <w:gridCol w:w="6826"/>
        <w:gridCol w:w="1400"/>
      </w:tblGrid>
      <w:tr>
        <w:trPr>
          <w:tblHeader/>
        </w:trPr>
        <w:tc>
          <w:tcPr>
            <w:tcW w:type="dxa" w:w="8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ID</w:t>
            </w:r>
          </w:p>
        </w:tc>
        <w:tc>
          <w:tcPr>
            <w:tcW w:type="dxa" w:w="6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Requirement</w:t>
            </w:r>
          </w:p>
        </w:tc>
        <w:tc>
          <w:tcPr>
            <w:tcW w:type="dxa" w:w="14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Priority</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FR01</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 global predictor insights across Vodafone markets.</w:t>
            </w:r>
          </w:p>
        </w:tc>
        <w:tc>
          <w:tcPr>
            <w:tcW w:type="dxa" w:w="1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Must</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FR02</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 market-level driver and barrier analysis within the permitted scope.</w:t>
            </w:r>
          </w:p>
        </w:tc>
        <w:tc>
          <w:tcPr>
            <w:tcW w:type="dxa" w:w="1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Must</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FR03</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Return only data within the user’s resolved scope, enforced server-side and by BigQuery Row-Level and Column-Level Security.</w:t>
            </w:r>
          </w:p>
        </w:tc>
        <w:tc>
          <w:tcPr>
            <w:tcW w:type="dxa" w:w="1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Must</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FR04</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Authenticate users through corporate SSO and resolve access scope before any data is retrieved.</w:t>
            </w:r>
          </w:p>
        </w:tc>
        <w:tc>
          <w:tcPr>
            <w:tcW w:type="dxa" w:w="1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Must</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FR05</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Provide a simulation view to adjust factors and evaluate relative odds against a baseline (Phase 2).</w:t>
            </w:r>
          </w:p>
        </w:tc>
        <w:tc>
          <w:tcPr>
            <w:tcW w:type="dxa" w:w="1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Should</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FR06</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Provide a consolidated overview page of key metrics and insights (Phase 2).</w:t>
            </w:r>
          </w:p>
        </w:tc>
        <w:tc>
          <w:tcPr>
            <w:tcW w:type="dxa" w:w="1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Should</w:t>
            </w:r>
          </w:p>
        </w:tc>
      </w:tr>
    </w:tbl>
    <w:p>
      <w:pPr>
        <w:pStyle w:val="Heading2"/>
        <w:spacing w:after="100" w:before="220"/>
      </w:pPr>
      <w:r>
        <w:rPr>
          <w:rFonts w:ascii="Vodafone Rg" w:cs="Vodafone Rg" w:eastAsia="Vodafone Rg" w:hAnsi="Vodafone Rg"/>
          <w:b/>
          <w:bCs/>
          <w:color w:val="007C92"/>
          <w:sz w:val="25"/>
          <w:szCs w:val="25"/>
        </w:rPr>
        <w:t xml:space="preserve">4.2 Non-Functional Requirements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800"/>
        <w:gridCol w:w="1700"/>
        <w:gridCol w:w="6526"/>
      </w:tblGrid>
      <w:tr>
        <w:trPr>
          <w:tblHeader/>
        </w:trPr>
        <w:tc>
          <w:tcPr>
            <w:tcW w:type="dxa" w:w="8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ID</w:t>
            </w:r>
          </w:p>
        </w:tc>
        <w:tc>
          <w:tcPr>
            <w:tcW w:type="dxa" w:w="17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Domain</w:t>
            </w:r>
          </w:p>
        </w:tc>
        <w:tc>
          <w:tcPr>
            <w:tcW w:type="dxa" w:w="65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Target / requirement</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NFR01</w:t>
            </w:r>
          </w:p>
        </w:tc>
        <w:tc>
          <w:tcPr>
            <w:tcW w:type="dxa" w:w="17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w:t>
            </w:r>
          </w:p>
        </w:tc>
        <w:tc>
          <w:tcPr>
            <w:tcW w:type="dxa" w:w="6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Authentication and authorization aligned with Vodafone security standards, with backend entitlement enforcement on every request.</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NFR02</w:t>
            </w:r>
          </w:p>
        </w:tc>
        <w:tc>
          <w:tcPr>
            <w:tcW w:type="dxa" w:w="17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w:t>
            </w:r>
          </w:p>
        </w:tc>
        <w:tc>
          <w:tcPr>
            <w:tcW w:type="dxa" w:w="6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Encryption of data in transit (HTTPS / TLS).</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NFR03</w:t>
            </w:r>
          </w:p>
        </w:tc>
        <w:tc>
          <w:tcPr>
            <w:tcW w:type="dxa" w:w="17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w:t>
            </w:r>
          </w:p>
        </w:tc>
        <w:tc>
          <w:tcPr>
            <w:tcW w:type="dxa" w:w="6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Compliance with C3 security and SPDA review requirements.</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NFR04</w:t>
            </w:r>
          </w:p>
        </w:tc>
        <w:tc>
          <w:tcPr>
            <w:tcW w:type="dxa" w:w="17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Scalability</w:t>
            </w:r>
          </w:p>
        </w:tc>
        <w:tc>
          <w:tcPr>
            <w:tcW w:type="dxa" w:w="6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Scalable, cloud-native architecture hosted on GCP services (Cloud Run).</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NFR05</w:t>
            </w:r>
          </w:p>
        </w:tc>
        <w:tc>
          <w:tcPr>
            <w:tcW w:type="dxa" w:w="17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Performance</w:t>
            </w:r>
          </w:p>
        </w:tc>
        <w:tc>
          <w:tcPr>
            <w:tcW w:type="dxa" w:w="6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High availability and reliable API performance for dashboard interactions.</w:t>
            </w:r>
          </w:p>
        </w:tc>
      </w:tr>
      <w:tr>
        <w:tc>
          <w:tcPr>
            <w:tcW w:type="dxa" w:w="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NFR06</w:t>
            </w:r>
          </w:p>
        </w:tc>
        <w:tc>
          <w:tcPr>
            <w:tcW w:type="dxa" w:w="17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w:t>
            </w:r>
          </w:p>
        </w:tc>
        <w:tc>
          <w:tcPr>
            <w:tcW w:type="dxa" w:w="6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Secure CI/CD deployment using Vodafone-approved pipelines.</w:t>
            </w:r>
          </w:p>
        </w:tc>
      </w:tr>
      <w:tr>
        <w:tc>
          <w:tcPr>
            <w:tcW w:type="dxa" w:w="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NFR07</w:t>
            </w:r>
          </w:p>
        </w:tc>
        <w:tc>
          <w:tcPr>
            <w:tcW w:type="dxa" w:w="17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Maintainability</w:t>
            </w:r>
          </w:p>
        </w:tc>
        <w:tc>
          <w:tcPr>
            <w:tcW w:type="dxa" w:w="6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Read-only consumption of published views; the platform holds no local copy of HR data.</w:t>
            </w:r>
          </w:p>
        </w:tc>
      </w:tr>
    </w:tbl>
    <w:p>
      <w:pPr>
        <w:pStyle w:val="Heading2"/>
        <w:spacing w:after="100" w:before="220"/>
      </w:pPr>
      <w:r>
        <w:rPr>
          <w:rFonts w:ascii="Vodafone Rg" w:cs="Vodafone Rg" w:eastAsia="Vodafone Rg" w:hAnsi="Vodafone Rg"/>
          <w:b/>
          <w:bCs/>
          <w:color w:val="007C92"/>
          <w:sz w:val="25"/>
          <w:szCs w:val="25"/>
        </w:rPr>
        <w:t xml:space="preserve">4.3 Architecture Principles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Zero trust between browser, frontend and backend: authenticate and authorize every request.</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Presentation and query layer only; analytical modelling remains upstream.</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backend is the single point of entitlement enforcement; no data-access logic sits in the frontend.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Use approved GCP managed services and existing Vodafone deployment and operations patterns.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Consume published, governed BigQuery outputs; do not duplicate HR data.</w:t>
      </w:r>
    </w:p>
    <w:p>
      <w:pPr>
        <w:pStyle w:val="Heading1"/>
        <w:spacing w:after="140" w:before="320"/>
      </w:pPr>
      <w:r>
        <w:rPr>
          <w:rFonts w:ascii="Vodafone Rg" w:cs="Vodafone Rg" w:eastAsia="Vodafone Rg" w:hAnsi="Vodafone Rg"/>
          <w:b/>
          <w:bCs/>
          <w:color w:val="E60000"/>
          <w:sz w:val="30"/>
          <w:szCs w:val="30"/>
        </w:rPr>
        <w:t xml:space="preserve">5. Solution Overview and Target Architecture</w:t>
      </w:r>
    </w:p>
    <w:p>
      <w:pPr>
        <w:spacing w:after="120" w:line="276"/>
      </w:pPr>
      <w:r>
        <w:rPr>
          <w:rFonts w:ascii="Vodafone Rg" w:cs="Vodafone Rg" w:eastAsia="Vodafone Rg" w:hAnsi="Vodafone Rg"/>
          <w:b w:val="false"/>
          <w:bCs w:val="false"/>
          <w:i w:val="false"/>
          <w:iCs w:val="false"/>
          <w:color w:val="1A1A1A"/>
          <w:sz w:val="21"/>
          <w:szCs w:val="21"/>
        </w:rPr>
        <w:t xml:space="preserve">The HR Insights Platform is deployed on GCP using Cloud Run for the ReactJS frontend and the FastAPI backend. BigQuery serves as the interface between the upstream analytics work and the platform, which reads published views and does not hold its own copy of HR data. Authorization is enforced by the backend and by BigQuery Row-Level and Column-Level Security applied at query time.</w:t>
      </w:r>
    </w:p>
    <w:p>
      <w:pPr>
        <w:pStyle w:val="Heading2"/>
        <w:spacing w:after="100" w:before="220"/>
      </w:pPr>
      <w:r>
        <w:rPr>
          <w:rFonts w:ascii="Vodafone Rg" w:cs="Vodafone Rg" w:eastAsia="Vodafone Rg" w:hAnsi="Vodafone Rg"/>
          <w:b/>
          <w:bCs/>
          <w:color w:val="007C92"/>
          <w:sz w:val="25"/>
          <w:szCs w:val="25"/>
        </w:rPr>
        <w:t xml:space="preserve">5.1 Architecture Diagram and Tools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100"/>
        <w:gridCol w:w="4326"/>
      </w:tblGrid>
      <w:tr>
        <w:trPr>
          <w:tblHeader/>
        </w:trPr>
        <w:tc>
          <w:tcPr>
            <w:tcW w:type="dxa" w:w="16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Zone</w:t>
            </w:r>
          </w:p>
        </w:tc>
        <w:tc>
          <w:tcPr>
            <w:tcW w:type="dxa" w:w="31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Component</w:t>
            </w:r>
          </w:p>
        </w:tc>
        <w:tc>
          <w:tcPr>
            <w:tcW w:type="dxa" w:w="43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Responsibility</w:t>
            </w:r>
          </w:p>
        </w:tc>
      </w:tr>
      <w:tr>
        <w:tc>
          <w:tcPr>
            <w:tcW w:type="dxa" w:w="1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User</w:t>
            </w:r>
          </w:p>
        </w:tc>
        <w:tc>
          <w:tcPr>
            <w:tcW w:type="dxa" w:w="3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HR User (corporate browser)</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Access the platform and authenticate through corporate SSO.</w:t>
            </w:r>
          </w:p>
        </w:tc>
      </w:tr>
      <w:tr>
        <w:tc>
          <w:tcPr>
            <w:tcW w:type="dxa" w:w="1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GCP edge</w:t>
            </w:r>
          </w:p>
        </w:tc>
        <w:tc>
          <w:tcPr>
            <w:tcW w:type="dxa" w:w="3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Load Balancer</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Distribute traffic to the platform over HTTPS.</w:t>
            </w:r>
          </w:p>
        </w:tc>
      </w:tr>
      <w:tr>
        <w:tc>
          <w:tcPr>
            <w:tcW w:type="dxa" w:w="1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GCP edge</w:t>
            </w:r>
          </w:p>
        </w:tc>
        <w:tc>
          <w:tcPr>
            <w:tcW w:type="dxa" w:w="3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Armor</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WAF and attack-shield protection with rate limiting.</w:t>
            </w:r>
          </w:p>
        </w:tc>
      </w:tr>
      <w:tr>
        <w:tc>
          <w:tcPr>
            <w:tcW w:type="dxa" w:w="1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GCP edge</w:t>
            </w:r>
          </w:p>
        </w:tc>
        <w:tc>
          <w:tcPr>
            <w:tcW w:type="dxa" w:w="3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Identity-Aware Proxy (IAP) with Google Groups</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Authenticate the user and resolve Google Group membership (application access control), establishing an authenticated user session.</w:t>
            </w:r>
          </w:p>
        </w:tc>
      </w:tr>
      <w:tr>
        <w:tc>
          <w:tcPr>
            <w:tcW w:type="dxa" w:w="1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Compute</w:t>
            </w:r>
          </w:p>
        </w:tc>
        <w:tc>
          <w:tcPr>
            <w:tcW w:type="dxa" w:w="3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 – Frontend (React app)</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Serve the ReactJS dashboard single-page application.</w:t>
            </w:r>
          </w:p>
        </w:tc>
      </w:tr>
      <w:tr>
        <w:tc>
          <w:tcPr>
            <w:tcW w:type="dxa" w:w="1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Compute</w:t>
            </w:r>
          </w:p>
        </w:tc>
        <w:tc>
          <w:tcPr>
            <w:tcW w:type="dxa" w:w="3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 – Backend (FastAPI)</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Validate REST / JWT requests, apply the authenticated user context, query BigQuery and return responses.</w:t>
            </w:r>
          </w:p>
        </w:tc>
      </w:tr>
      <w:tr>
        <w:tc>
          <w:tcPr>
            <w:tcW w:type="dxa" w:w="1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w:t>
            </w:r>
          </w:p>
        </w:tc>
        <w:tc>
          <w:tcPr>
            <w:tcW w:type="dxa" w:w="3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BigQuery</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Published analytics outputs and semantic views, with Row-Level Security (by market) and Column-Level Security (Policy Tags) enforced at query time; returns authorized, filtered data.</w:t>
            </w:r>
          </w:p>
        </w:tc>
      </w:tr>
      <w:tr>
        <w:tc>
          <w:tcPr>
            <w:tcW w:type="dxa" w:w="1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Operations</w:t>
            </w:r>
          </w:p>
        </w:tc>
        <w:tc>
          <w:tcPr>
            <w:tcW w:type="dxa" w:w="31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Logging</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Collect audit and operational logs.</w:t>
            </w:r>
          </w:p>
        </w:tc>
      </w:tr>
      <w:tr>
        <w:tc>
          <w:tcPr>
            <w:tcW w:type="dxa" w:w="1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Delivery</w:t>
            </w:r>
          </w:p>
        </w:tc>
        <w:tc>
          <w:tcPr>
            <w:tcW w:type="dxa" w:w="31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GitHub, CI/CD, Artifact Registry</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Build, package and deploy immutable container images.</w:t>
            </w:r>
          </w:p>
        </w:tc>
      </w:tr>
    </w:tbl>
    <w:p>
      <w:pPr>
        <w:spacing w:after="80"/>
      </w:pPr>
      <w:r>
        <w:rPr>
          <w:sz w:val="12"/>
          <w:szCs w:val="12"/>
        </w:rPr>
        <w:t xml:space="preserve"/>
      </w:r>
    </w:p>
    <w:p>
      <w:pPr>
        <w:spacing w:after="60" w:before="120"/>
      </w:pPr>
      <w:r>
        <w:rPr>
          <w:rFonts w:ascii="Vodafone Rg" w:cs="Vodafone Rg" w:eastAsia="Vodafone Rg" w:hAnsi="Vodafone Rg"/>
          <w:b/>
          <w:bCs/>
          <w:color w:val="666666"/>
          <w:sz w:val="20"/>
          <w:szCs w:val="20"/>
        </w:rPr>
        <w:t xml:space="preserve">Figure 1. HR Insights Platform – Solution Architecture</w:t>
      </w:r>
    </w:p>
    <w:p>
      <w:pPr>
        <w:spacing w:after="200"/>
        <w:jc w:val="center"/>
      </w:pPr>
      <w:r>
        <w:drawing>
          <wp:inline distT="0" distB="0" distL="0" distR="0">
            <wp:extent cx="54864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4029075"/>
                    </a:xfrm>
                    <a:prstGeom prst="rect">
                      <a:avLst/>
                    </a:prstGeom>
                  </pic:spPr>
                </pic:pic>
              </a:graphicData>
            </a:graphic>
          </wp:inline>
        </w:drawing>
      </w:r>
    </w:p>
    <w:p>
      <w:pPr>
        <w:pStyle w:val="Heading2"/>
        <w:spacing w:after="100" w:before="220"/>
      </w:pPr>
      <w:r>
        <w:rPr>
          <w:rFonts w:ascii="Vodafone Rg" w:cs="Vodafone Rg" w:eastAsia="Vodafone Rg" w:hAnsi="Vodafone Rg"/>
          <w:b/>
          <w:bCs/>
          <w:color w:val="007C92"/>
          <w:sz w:val="25"/>
          <w:szCs w:val="25"/>
        </w:rPr>
        <w:t xml:space="preserve">5.2 Architecture Flow</w:t>
      </w:r>
    </w:p>
    <w:p>
      <w:pPr>
        <w:pStyle w:val="ListParagraph"/>
        <w:numPr>
          <w:ilvl w:val="0"/>
          <w:numId w:val="3"/>
        </w:numPr>
        <w:spacing w:after="60" w:line="268"/>
      </w:pPr>
      <w:r>
        <w:rPr>
          <w:rFonts w:ascii="Vodafone Rg" w:cs="Vodafone Rg" w:eastAsia="Vodafone Rg" w:hAnsi="Vodafone Rg"/>
          <w:color w:val="1A1A1A"/>
          <w:sz w:val="21"/>
          <w:szCs w:val="21"/>
        </w:rPr>
        <w:t xml:space="preserve">The HR user sends an HTTPS request to the platform; Cloud Load Balancer distributes the traffic.</w:t>
      </w:r>
    </w:p>
    <w:p>
      <w:pPr>
        <w:pStyle w:val="ListParagraph"/>
        <w:numPr>
          <w:ilvl w:val="0"/>
          <w:numId w:val="3"/>
        </w:numPr>
        <w:spacing w:after="60" w:line="268"/>
      </w:pPr>
      <w:r>
        <w:rPr>
          <w:rFonts w:ascii="Vodafone Rg" w:cs="Vodafone Rg" w:eastAsia="Vodafone Rg" w:hAnsi="Vodafone Rg"/>
          <w:color w:val="1A1A1A"/>
          <w:sz w:val="21"/>
          <w:szCs w:val="21"/>
        </w:rPr>
        <w:t xml:space="preserve">Cloud Armor applies WAF and attack-shield policies with rate limiting.</w:t>
      </w:r>
    </w:p>
    <w:p>
      <w:pPr>
        <w:pStyle w:val="ListParagraph"/>
        <w:numPr>
          <w:ilvl w:val="0"/>
          <w:numId w:val="3"/>
        </w:numPr>
        <w:spacing w:after="60" w:line="268"/>
      </w:pPr>
      <w:r>
        <w:rPr>
          <w:rFonts w:ascii="Vodafone Rg" w:cs="Vodafone Rg" w:eastAsia="Vodafone Rg" w:hAnsi="Vodafone Rg"/>
          <w:color w:val="1A1A1A"/>
          <w:sz w:val="21"/>
          <w:szCs w:val="21"/>
        </w:rPr>
        <w:t xml:space="preserve">Identity-Aware Proxy authenticates the user and resolves Google Group membership (application access control), establishing an authenticated user session.</w:t>
      </w:r>
    </w:p>
    <w:p>
      <w:pPr>
        <w:pStyle w:val="ListParagraph"/>
        <w:numPr>
          <w:ilvl w:val="0"/>
          <w:numId w:val="3"/>
        </w:numPr>
        <w:spacing w:after="60" w:line="268"/>
      </w:pPr>
      <w:r>
        <w:rPr>
          <w:rFonts w:ascii="Vodafone Rg" w:cs="Vodafone Rg" w:eastAsia="Vodafone Rg" w:hAnsi="Vodafone Rg"/>
          <w:color w:val="1A1A1A"/>
          <w:sz w:val="21"/>
          <w:szCs w:val="21"/>
        </w:rPr>
        <w:t xml:space="preserve">The ReactJS frontend (Cloud Run) receives the authenticated session and issues a REST API request, carrying JWT context, to the FastAPI backend (Cloud Run).</w:t>
      </w:r>
    </w:p>
    <w:p>
      <w:pPr>
        <w:pStyle w:val="ListParagraph"/>
        <w:numPr>
          <w:ilvl w:val="0"/>
          <w:numId w:val="3"/>
        </w:numPr>
        <w:spacing w:after="60" w:line="268"/>
      </w:pPr>
      <w:r>
        <w:rPr>
          <w:rFonts w:ascii="Vodafone Rg" w:cs="Vodafone Rg" w:eastAsia="Vodafone Rg" w:hAnsi="Vodafone Rg"/>
          <w:color w:val="1A1A1A"/>
          <w:sz w:val="21"/>
          <w:szCs w:val="21"/>
        </w:rPr>
        <w:t xml:space="preserve">The backend validates the request and queries BigQuery using the authenticated user context.</w:t>
      </w:r>
    </w:p>
    <w:p>
      <w:pPr>
        <w:pStyle w:val="ListParagraph"/>
        <w:numPr>
          <w:ilvl w:val="0"/>
          <w:numId w:val="3"/>
        </w:numPr>
        <w:spacing w:after="60" w:line="268"/>
      </w:pPr>
      <w:r>
        <w:rPr>
          <w:rFonts w:ascii="Vodafone Rg" w:cs="Vodafone Rg" w:eastAsia="Vodafone Rg" w:hAnsi="Vodafone Rg"/>
          <w:color w:val="1A1A1A"/>
          <w:sz w:val="21"/>
          <w:szCs w:val="21"/>
        </w:rPr>
        <w:t xml:space="preserve">BigQuery enforces Row-Level Security (by market) and Column-Level Security (via Policy Tags) at query time and returns authorized, filtered data.</w:t>
      </w:r>
    </w:p>
    <w:p>
      <w:pPr>
        <w:pStyle w:val="ListParagraph"/>
        <w:numPr>
          <w:ilvl w:val="0"/>
          <w:numId w:val="3"/>
        </w:numPr>
        <w:spacing w:after="60" w:line="268"/>
      </w:pPr>
      <w:r>
        <w:rPr>
          <w:rFonts w:ascii="Vodafone Rg" w:cs="Vodafone Rg" w:eastAsia="Vodafone Rg" w:hAnsi="Vodafone Rg"/>
          <w:color w:val="1A1A1A"/>
          <w:sz w:val="21"/>
          <w:szCs w:val="21"/>
        </w:rPr>
        <w:t xml:space="preserve">The backend returns the response to the frontend, which renders the insight visualizations.</w:t>
      </w:r>
    </w:p>
    <w:p>
      <w:pPr>
        <w:pStyle w:val="ListParagraph"/>
        <w:numPr>
          <w:ilvl w:val="0"/>
          <w:numId w:val="3"/>
        </w:numPr>
        <w:spacing w:after="60" w:line="268"/>
      </w:pPr>
      <w:r>
        <w:rPr>
          <w:rFonts w:ascii="Vodafone Rg" w:cs="Vodafone Rg" w:eastAsia="Vodafone Rg" w:hAnsi="Vodafone Rg"/>
          <w:color w:val="1A1A1A"/>
          <w:sz w:val="21"/>
          <w:szCs w:val="21"/>
        </w:rPr>
        <w:t xml:space="preserve">The backend writes audit and operational logs to Cloud Logging.</w:t>
      </w:r>
    </w:p>
    <w:p>
      <w:pPr>
        <w:pStyle w:val="Heading2"/>
        <w:spacing w:after="100" w:before="220"/>
      </w:pPr>
      <w:r>
        <w:rPr>
          <w:rFonts w:ascii="Vodafone Rg" w:cs="Vodafone Rg" w:eastAsia="Vodafone Rg" w:hAnsi="Vodafone Rg"/>
          <w:b/>
          <w:bCs/>
          <w:color w:val="007C92"/>
          <w:sz w:val="25"/>
          <w:szCs w:val="25"/>
        </w:rPr>
        <w:t xml:space="preserve">5.3 Environment Model</w:t>
      </w:r>
    </w:p>
    <w:p>
      <w:pPr>
        <w:spacing w:after="120" w:line="276"/>
      </w:pPr>
      <w:r>
        <w:rPr>
          <w:rFonts w:ascii="Vodafone Rg" w:cs="Vodafone Rg" w:eastAsia="Vodafone Rg" w:hAnsi="Vodafone Rg"/>
          <w:b w:val="false"/>
          <w:bCs w:val="false"/>
          <w:i w:val="false"/>
          <w:iCs w:val="false"/>
          <w:color w:val="1A1A1A"/>
          <w:sz w:val="21"/>
          <w:szCs w:val="21"/>
        </w:rPr>
        <w:t xml:space="preserve">The HR Insights Platform follows Vodafone’s GCP governance model, with separate non-live and live environments. Application services (the ReactJS frontend and the FastAPI backend) are deployed on Cloud Run. Monitoring, logging and audit are centrally managed using Google Cloud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2200"/>
        <w:gridCol w:w="1800"/>
        <w:gridCol w:w="2826"/>
      </w:tblGrid>
      <w:tr>
        <w:trPr>
          <w:tblHeader/>
        </w:trPr>
        <w:tc>
          <w:tcPr>
            <w:tcW w:type="dxa" w:w="2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Environment</w:t>
            </w:r>
          </w:p>
        </w:tc>
        <w:tc>
          <w:tcPr>
            <w:tcW w:type="dxa" w:w="2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Project / Platform</w:t>
            </w:r>
          </w:p>
        </w:tc>
        <w:tc>
          <w:tcPr>
            <w:tcW w:type="dxa" w:w="18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Purpose</w:t>
            </w:r>
          </w:p>
        </w:tc>
        <w:tc>
          <w:tcPr>
            <w:tcW w:type="dxa" w:w="2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Key Characteristics</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Non-Live / Development</w:t>
            </w:r>
          </w:p>
        </w:tc>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vf-cip-ca-nonlive</w:t>
            </w:r>
          </w:p>
        </w:tc>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Development and testing</w:t>
            </w:r>
          </w:p>
        </w:tc>
        <w:tc>
          <w:tcPr>
            <w:tcW w:type="dxa" w:w="2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Used for application development, integration testing and validation.</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Live / Production</w:t>
            </w:r>
          </w:p>
        </w:tc>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vf-cip-datahub</w:t>
            </w:r>
          </w:p>
        </w:tc>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Production</w:t>
            </w:r>
          </w:p>
        </w:tc>
        <w:tc>
          <w:tcPr>
            <w:tcW w:type="dxa" w:w="2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Production environment for approved HR Insights Platform users.</w:t>
            </w:r>
          </w:p>
        </w:tc>
      </w:tr>
    </w:tbl>
    <w:p>
      <w:pPr>
        <w:pStyle w:val="Heading1"/>
        <w:spacing w:after="140" w:before="320"/>
      </w:pPr>
      <w:r>
        <w:rPr>
          <w:rFonts w:ascii="Vodafone Rg" w:cs="Vodafone Rg" w:eastAsia="Vodafone Rg" w:hAnsi="Vodafone Rg"/>
          <w:b/>
          <w:bCs/>
          <w:color w:val="E60000"/>
          <w:sz w:val="30"/>
          <w:szCs w:val="30"/>
        </w:rPr>
        <w:t xml:space="preserve">6. Detailed Application and Integration Design</w:t>
      </w:r>
    </w:p>
    <w:p>
      <w:pPr>
        <w:pStyle w:val="Heading2"/>
        <w:spacing w:after="100" w:before="220"/>
      </w:pPr>
      <w:r>
        <w:rPr>
          <w:rFonts w:ascii="Vodafone Rg" w:cs="Vodafone Rg" w:eastAsia="Vodafone Rg" w:hAnsi="Vodafone Rg"/>
          <w:b/>
          <w:bCs/>
          <w:color w:val="007C92"/>
          <w:sz w:val="25"/>
          <w:szCs w:val="25"/>
        </w:rPr>
        <w:t xml:space="preserve">6.1 Frontend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ReactJS single-page application hosted on Cloud Run, providing interactive dashboard views for HR Insights Platform.</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Serves display and user-interaction logic only; does not hold authorization policy or direct BigQuery credentials.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Renders the insight visualizations using scoped results returned by the backend API.</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Uses same-origin /api calls where possible to simplify CORS and IAP behavior.</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Renders returned data as text; any HTML is rejected or sanitized using an approved library, and output is encoded.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Applies a restrictive Content-Security-Policy (including object-src none and base-uri none, with an explicit connect-src) and disallows embedding of the application.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Does not access BigQuery directly and does not persist identity tokens, roles or scoped results in browser storage.</w:t>
      </w:r>
    </w:p>
    <w:p>
      <w:pPr>
        <w:pStyle w:val="Heading2"/>
        <w:spacing w:after="100" w:before="220"/>
      </w:pPr>
      <w:r>
        <w:rPr>
          <w:rFonts w:ascii="Vodafone Rg" w:cs="Vodafone Rg" w:eastAsia="Vodafone Rg" w:hAnsi="Vodafone Rg"/>
          <w:b/>
          <w:bCs/>
          <w:color w:val="007C92"/>
          <w:sz w:val="25"/>
          <w:szCs w:val="25"/>
        </w:rPr>
        <w:t xml:space="preserve">6.2 Integration / Messaging Contract</w:t>
      </w:r>
    </w:p>
    <w:p>
      <w:pPr>
        <w:spacing w:after="80" w:line="276"/>
      </w:pPr>
      <w:r>
        <w:rPr>
          <w:rFonts w:ascii="Vodafone Rg" w:cs="Vodafone Rg" w:eastAsia="Vodafone Rg" w:hAnsi="Vodafone Rg"/>
          <w:b w:val="false"/>
          <w:bCs w:val="false"/>
          <w:i w:val="false"/>
          <w:iCs w:val="false"/>
          <w:color w:val="1A1A1A"/>
          <w:sz w:val="21"/>
          <w:szCs w:val="21"/>
        </w:rPr>
        <w:t xml:space="preserve">The frontend integrates with the backend exclusively over authenticated HTTPS REST APIs, with JSON request and response payloads. There is no direct frontend-to-BigQuery integration and no client-side data-access path. The contract is governed by the following rules: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6826"/>
      </w:tblGrid>
      <w:tr>
        <w:trPr>
          <w:tblHeader/>
        </w:trPr>
        <w:tc>
          <w:tcPr>
            <w:tcW w:type="dxa" w:w="2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Field</w:t>
            </w:r>
          </w:p>
        </w:tc>
        <w:tc>
          <w:tcPr>
            <w:tcW w:type="dxa" w:w="6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Rule</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Origin / CORS</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Exact environment-specific origin allowlist for the frontend; never use “*” for allowed origins.</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Transport</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HTTPS / TLS only; each request carries the authenticated user context established by Identity-Aware Proxy, propagated as JWT between the Cloud Run frontend and backend.</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Request validation</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 length, character and key allowlists; reject unknown keys, excessive nesting and over-size payloads.</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Trust</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Any identity, role or scope values supplied by the client are ignored for security decisions; the backend re-derives identity and scope from the verified IAP / JWT context.</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Correlation</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Each request carries a correlation identifier for tracing and consistent handling.</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Errors</w:t>
            </w:r>
          </w:p>
        </w:tc>
        <w:tc>
          <w:tcPr>
            <w:tcW w:type="dxa" w:w="6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Generic error responses; internal details are not exposed to the client.</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Logging</w:t>
            </w:r>
          </w:p>
        </w:tc>
        <w:tc>
          <w:tcPr>
            <w:tcW w:type="dxa" w:w="6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Record the rejection reason and correlation ID without values that expose C3 content.</w:t>
            </w:r>
          </w:p>
        </w:tc>
      </w:tr>
    </w:tbl>
    <w:p>
      <w:pPr>
        <w:pStyle w:val="Heading2"/>
        <w:spacing w:after="100" w:before="220"/>
      </w:pPr>
      <w:r>
        <w:rPr>
          <w:rFonts w:ascii="Vodafone Rg" w:cs="Vodafone Rg" w:eastAsia="Vodafone Rg" w:hAnsi="Vodafone Rg"/>
          <w:b/>
          <w:bCs/>
          <w:color w:val="007C92"/>
          <w:sz w:val="25"/>
          <w:szCs w:val="25"/>
        </w:rPr>
        <w:t xml:space="preserve">6.3 Frontend Dependencies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526"/>
        <w:gridCol w:w="2250"/>
        <w:gridCol w:w="2250"/>
      </w:tblGrid>
      <w:tr>
        <w:trPr>
          <w:tblHeader/>
        </w:trPr>
        <w:tc>
          <w:tcPr>
            <w:tcW w:type="dxa" w:w="45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Package</w:t>
            </w:r>
          </w:p>
        </w:tc>
        <w:tc>
          <w:tcPr>
            <w:tcW w:type="dxa" w:w="225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Version</w:t>
            </w:r>
          </w:p>
        </w:tc>
        <w:tc>
          <w:tcPr>
            <w:tcW w:type="dxa" w:w="225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Type</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react</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19.2.6</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react-dom</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19.2.6</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@eslint/js</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10.0.1</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@types/node</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24.12.3</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@types/react</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19.2.14</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@types/react-dom</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19.2.3</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@vitejs/plugin-react</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6.0.1</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eslint</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10.3.0</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eslint-plugin-react-hooks</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7.1.1</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eslint-plugin-react-refresh</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0.5.2</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globals</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17.6.0</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typescript</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6.0.2</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typescript-eslint</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8.59.2</w:t>
            </w:r>
          </w:p>
        </w:tc>
        <w:tc>
          <w:tcPr>
            <w:tcW w:type="dxa" w:w="22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r>
        <w:tc>
          <w:tcPr>
            <w:tcW w:type="dxa" w:w="4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vite</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8.0.12</w:t>
            </w:r>
          </w:p>
        </w:tc>
        <w:tc>
          <w:tcPr>
            <w:tcW w:type="dxa" w:w="22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 Dependency</w:t>
            </w:r>
          </w:p>
        </w:tc>
      </w:tr>
    </w:tbl>
    <w:p>
      <w:pPr>
        <w:pStyle w:val="Heading2"/>
        <w:spacing w:after="100" w:before="220"/>
      </w:pPr>
      <w:r>
        <w:rPr>
          <w:rFonts w:ascii="Vodafone Rg" w:cs="Vodafone Rg" w:eastAsia="Vodafone Rg" w:hAnsi="Vodafone Rg"/>
          <w:b/>
          <w:bCs/>
          <w:color w:val="007C92"/>
          <w:sz w:val="25"/>
          <w:szCs w:val="25"/>
        </w:rPr>
        <w:t xml:space="preserve">6.4 Backend API Contract</w:t>
      </w:r>
    </w:p>
    <w:p>
      <w:pPr>
        <w:spacing w:after="120" w:line="276"/>
      </w:pPr>
      <w:r>
        <w:rPr>
          <w:rFonts w:ascii="Vodafone Rg" w:cs="Vodafone Rg" w:eastAsia="Vodafone Rg" w:hAnsi="Vodafone Rg"/>
          <w:b w:val="false"/>
          <w:bCs w:val="false"/>
          <w:i w:val="false"/>
          <w:iCs w:val="false"/>
          <w:color w:val="1A1A1A"/>
          <w:sz w:val="21"/>
          <w:szCs w:val="21"/>
        </w:rPr>
        <w:t xml:space="preserve">The backend API layer runs on Cloud Run and is built with FastAPI. It validates incoming requests, applies the authenticated user context, queries BigQuery, and returns scoped results to the frontend. It is the controlled processing boundary between the frontend and the BigQuery datasets, and it is the authoritative point of entitlement enforcement.</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2050"/>
        <w:gridCol w:w="1650"/>
        <w:gridCol w:w="2826"/>
      </w:tblGrid>
      <w:tr>
        <w:trPr>
          <w:tblHeader/>
        </w:trPr>
        <w:tc>
          <w:tcPr>
            <w:tcW w:type="dxa" w:w="2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Method / endpoint</w:t>
            </w:r>
          </w:p>
        </w:tc>
        <w:tc>
          <w:tcPr>
            <w:tcW w:type="dxa" w:w="205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Purpose</w:t>
            </w:r>
          </w:p>
        </w:tc>
        <w:tc>
          <w:tcPr>
            <w:tcW w:type="dxa" w:w="165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Role</w:t>
            </w:r>
          </w:p>
        </w:tc>
        <w:tc>
          <w:tcPr>
            <w:tcW w:type="dxa" w:w="2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Security behavior</w:t>
            </w:r>
          </w:p>
        </w:tc>
      </w:tr>
      <w:tr>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GET /healthz</w:t>
            </w:r>
          </w:p>
        </w:tc>
        <w:tc>
          <w:tcPr>
            <w:tcW w:type="dxa" w:w="20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Runtime health</w:t>
            </w:r>
          </w:p>
        </w:tc>
        <w:tc>
          <w:tcPr>
            <w:tcW w:type="dxa" w:w="16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Platform</w:t>
            </w:r>
          </w:p>
        </w:tc>
        <w:tc>
          <w:tcPr>
            <w:tcW w:type="dxa" w:w="2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No sensitive dependency details.</w:t>
            </w:r>
          </w:p>
        </w:tc>
      </w:tr>
      <w:tr>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GET /api/v1/insights/global</w:t>
            </w:r>
          </w:p>
        </w:tc>
        <w:tc>
          <w:tcPr>
            <w:tcW w:type="dxa" w:w="20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Global predictor insights</w:t>
            </w:r>
          </w:p>
        </w:tc>
        <w:tc>
          <w:tcPr>
            <w:tcW w:type="dxa" w:w="165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Authenticated (scoped)</w:t>
            </w:r>
          </w:p>
        </w:tc>
        <w:tc>
          <w:tcPr>
            <w:tcW w:type="dxa" w:w="2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Verify identity and scope; query BigQuery with Row-Level and Column-Level Security enforced at query time.</w:t>
            </w:r>
          </w:p>
        </w:tc>
      </w:tr>
      <w:tr>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GET /api/v1/insights/market</w:t>
            </w:r>
          </w:p>
        </w:tc>
        <w:tc>
          <w:tcPr>
            <w:tcW w:type="dxa" w:w="20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Market-level driver and barrier insights</w:t>
            </w:r>
          </w:p>
        </w:tc>
        <w:tc>
          <w:tcPr>
            <w:tcW w:type="dxa" w:w="165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Authenticated (scoped)</w:t>
            </w:r>
          </w:p>
        </w:tc>
        <w:tc>
          <w:tcPr>
            <w:tcW w:type="dxa" w:w="2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Verify identity and scope; Row-Level Security restricts results to the permitted market(s).</w:t>
            </w:r>
          </w:p>
        </w:tc>
      </w:tr>
    </w:tbl>
    <w:p>
      <w:pPr>
        <w:spacing w:after="100" w:line="276"/>
      </w:pPr>
      <w:r>
        <w:rPr>
          <w:rFonts w:ascii="Vodafone Rg" w:cs="Vodafone Rg" w:eastAsia="Vodafone Rg" w:hAnsi="Vodafone Rg"/>
          <w:b w:val="false"/>
          <w:bCs w:val="false"/>
          <w:i w:val="false"/>
          <w:iCs w:val="false"/>
          <w:color w:val="1A1A1A"/>
          <w:sz w:val="21"/>
          <w:szCs w:val="21"/>
        </w:rPr>
        <w:t xml:space="preserve">All read methods verify the authenticated user context, resolve scope before querying, use parameterized queries, apply output encoding and return generic error responses. Dynamic SQL and client-supplied authorization predicates are prohibited.</w:t>
      </w:r>
    </w:p>
    <w:p>
      <w:pPr>
        <w:pStyle w:val="Heading2"/>
        <w:spacing w:after="100" w:before="220"/>
      </w:pPr>
      <w:r>
        <w:rPr>
          <w:rFonts w:ascii="Vodafone Rg" w:cs="Vodafone Rg" w:eastAsia="Vodafone Rg" w:hAnsi="Vodafone Rg"/>
          <w:b/>
          <w:bCs/>
          <w:color w:val="007C92"/>
          <w:sz w:val="25"/>
          <w:szCs w:val="25"/>
        </w:rPr>
        <w:t xml:space="preserve">6.5 Backend Dependencies</w:t>
      </w:r>
    </w:p>
    <w:p>
      <w:pPr>
        <w:spacing w:after="80" w:line="276"/>
      </w:pPr>
      <w:r>
        <w:rPr>
          <w:rFonts w:ascii="Vodafone Rg" w:cs="Vodafone Rg" w:eastAsia="Vodafone Rg" w:hAnsi="Vodafone Rg"/>
          <w:b w:val="false"/>
          <w:bCs w:val="false"/>
          <w:i w:val="false"/>
          <w:iCs w:val="false"/>
          <w:color w:val="1A1A1A"/>
          <w:sz w:val="21"/>
          <w:szCs w:val="21"/>
        </w:rPr>
        <w:t xml:space="preserve">The backend is a FastAPI (Python) service. Its core dependencies are governed by the repository manifest; the principal components are listed below.</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5826"/>
      </w:tblGrid>
      <w:tr>
        <w:trPr>
          <w:tblHeader/>
        </w:trPr>
        <w:tc>
          <w:tcPr>
            <w:tcW w:type="dxa" w:w="3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Capability</w:t>
            </w:r>
          </w:p>
        </w:tc>
        <w:tc>
          <w:tcPr>
            <w:tcW w:type="dxa" w:w="5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Component</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Web framework</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FastAPI</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ASGI server</w:t>
            </w:r>
          </w:p>
        </w:tc>
        <w:tc>
          <w:tcPr>
            <w:tcW w:type="dxa" w:w="5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Uvicorn</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BigQuery access</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google-cloud-bigquery (Python client)</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Identity / JWT handling</w:t>
            </w:r>
          </w:p>
        </w:tc>
        <w:tc>
          <w:tcPr>
            <w:tcW w:type="dxa" w:w="5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Verification of Identity-Aware Proxy signed assertions (JWT)</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Logging</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 Cloud Logging client</w:t>
            </w:r>
          </w:p>
        </w:tc>
      </w:tr>
    </w:tbl>
    <w:p>
      <w:pPr>
        <w:spacing w:after="100" w:line="276"/>
      </w:pPr>
      <w:r>
        <w:rPr>
          <w:rFonts w:ascii="Vodafone Rg" w:cs="Vodafone Rg" w:eastAsia="Vodafone Rg" w:hAnsi="Vodafone Rg"/>
          <w:b w:val="false"/>
          <w:bCs w:val="false"/>
          <w:i/>
          <w:iCs/>
          <w:color w:val="1A1A1A"/>
          <w:sz w:val="21"/>
          <w:szCs w:val="21"/>
        </w:rPr>
        <w:t xml:space="preserve">Specific dependency versions are maintained in the repository manifest and are governed by the patch and dependency-management process.</w:t>
      </w:r>
    </w:p>
    <w:p>
      <w:pPr>
        <w:pStyle w:val="Heading2"/>
        <w:spacing w:after="100" w:before="220"/>
      </w:pPr>
      <w:r>
        <w:rPr>
          <w:rFonts w:ascii="Vodafone Rg" w:cs="Vodafone Rg" w:eastAsia="Vodafone Rg" w:hAnsi="Vodafone Rg"/>
          <w:b/>
          <w:bCs/>
          <w:color w:val="007C92"/>
          <w:sz w:val="25"/>
          <w:szCs w:val="25"/>
        </w:rPr>
        <w:t xml:space="preserve">6.6 Read Sequence</w:t>
      </w:r>
    </w:p>
    <w:p>
      <w:pPr>
        <w:pStyle w:val="ListParagraph"/>
        <w:numPr>
          <w:ilvl w:val="0"/>
          <w:numId w:val="4"/>
        </w:numPr>
        <w:spacing w:after="60" w:line="268"/>
      </w:pPr>
      <w:r>
        <w:rPr>
          <w:rFonts w:ascii="Vodafone Rg" w:cs="Vodafone Rg" w:eastAsia="Vodafone Rg" w:hAnsi="Vodafone Rg"/>
          <w:color w:val="1A1A1A"/>
          <w:sz w:val="21"/>
          <w:szCs w:val="21"/>
        </w:rPr>
        <w:t xml:space="preserve">The HR user sends an HTTPS request; Cloud Load Balancer distributes it and Cloud Armor applies WAF and attack-shield policies.</w:t>
      </w:r>
    </w:p>
    <w:p>
      <w:pPr>
        <w:pStyle w:val="ListParagraph"/>
        <w:numPr>
          <w:ilvl w:val="0"/>
          <w:numId w:val="4"/>
        </w:numPr>
        <w:spacing w:after="60" w:line="268"/>
      </w:pPr>
      <w:r>
        <w:rPr>
          <w:rFonts w:ascii="Vodafone Rg" w:cs="Vodafone Rg" w:eastAsia="Vodafone Rg" w:hAnsi="Vodafone Rg"/>
          <w:color w:val="1A1A1A"/>
          <w:sz w:val="21"/>
          <w:szCs w:val="21"/>
        </w:rPr>
        <w:t xml:space="preserve">Identity-Aware Proxy authenticates the user and resolves Google Group membership, establishing an authenticated user session.</w:t>
      </w:r>
    </w:p>
    <w:p>
      <w:pPr>
        <w:pStyle w:val="ListParagraph"/>
        <w:numPr>
          <w:ilvl w:val="0"/>
          <w:numId w:val="4"/>
        </w:numPr>
        <w:spacing w:after="60" w:line="268"/>
      </w:pPr>
      <w:r>
        <w:rPr>
          <w:rFonts w:ascii="Vodafone Rg" w:cs="Vodafone Rg" w:eastAsia="Vodafone Rg" w:hAnsi="Vodafone Rg"/>
          <w:color w:val="1A1A1A"/>
          <w:sz w:val="21"/>
          <w:szCs w:val="21"/>
        </w:rPr>
        <w:t xml:space="preserve">The ReactJS frontend (Cloud Run) issues a REST API request, with JWT context, to the FastAPI backend (Cloud Run).</w:t>
      </w:r>
    </w:p>
    <w:p>
      <w:pPr>
        <w:pStyle w:val="ListParagraph"/>
        <w:numPr>
          <w:ilvl w:val="0"/>
          <w:numId w:val="4"/>
        </w:numPr>
        <w:spacing w:after="60" w:line="268"/>
      </w:pPr>
      <w:r>
        <w:rPr>
          <w:rFonts w:ascii="Vodafone Rg" w:cs="Vodafone Rg" w:eastAsia="Vodafone Rg" w:hAnsi="Vodafone Rg"/>
          <w:color w:val="1A1A1A"/>
          <w:sz w:val="21"/>
          <w:szCs w:val="21"/>
        </w:rPr>
        <w:t xml:space="preserve">The backend validates the request and queries BigQuery using the authenticated user context.</w:t>
      </w:r>
    </w:p>
    <w:p>
      <w:pPr>
        <w:pStyle w:val="ListParagraph"/>
        <w:numPr>
          <w:ilvl w:val="0"/>
          <w:numId w:val="4"/>
        </w:numPr>
        <w:spacing w:after="60" w:line="268"/>
      </w:pPr>
      <w:r>
        <w:rPr>
          <w:rFonts w:ascii="Vodafone Rg" w:cs="Vodafone Rg" w:eastAsia="Vodafone Rg" w:hAnsi="Vodafone Rg"/>
          <w:color w:val="1A1A1A"/>
          <w:sz w:val="21"/>
          <w:szCs w:val="21"/>
        </w:rPr>
        <w:t xml:space="preserve">BigQuery enforces Row-Level Security (by market) and Column-Level Security (Policy Tags) at query time and returns authorized, filtered data.</w:t>
      </w:r>
    </w:p>
    <w:p>
      <w:pPr>
        <w:pStyle w:val="ListParagraph"/>
        <w:numPr>
          <w:ilvl w:val="0"/>
          <w:numId w:val="4"/>
        </w:numPr>
        <w:spacing w:after="60" w:line="268"/>
      </w:pPr>
      <w:r>
        <w:rPr>
          <w:rFonts w:ascii="Vodafone Rg" w:cs="Vodafone Rg" w:eastAsia="Vodafone Rg" w:hAnsi="Vodafone Rg"/>
          <w:color w:val="1A1A1A"/>
          <w:sz w:val="21"/>
          <w:szCs w:val="21"/>
        </w:rPr>
        <w:t xml:space="preserve">The backend returns the response to the frontend, which renders the insight visualizations.</w:t>
      </w:r>
    </w:p>
    <w:p>
      <w:pPr>
        <w:pStyle w:val="ListParagraph"/>
        <w:numPr>
          <w:ilvl w:val="0"/>
          <w:numId w:val="4"/>
        </w:numPr>
        <w:spacing w:after="60" w:line="268"/>
      </w:pPr>
      <w:r>
        <w:rPr>
          <w:rFonts w:ascii="Vodafone Rg" w:cs="Vodafone Rg" w:eastAsia="Vodafone Rg" w:hAnsi="Vodafone Rg"/>
          <w:color w:val="1A1A1A"/>
          <w:sz w:val="21"/>
          <w:szCs w:val="21"/>
        </w:rPr>
        <w:t xml:space="preserve">The backend writes audit and operational logs to Cloud Logging.</w:t>
      </w:r>
    </w:p>
    <w:p>
      <w:pPr>
        <w:pStyle w:val="Heading2"/>
        <w:spacing w:after="100" w:before="220"/>
      </w:pPr>
      <w:r>
        <w:rPr>
          <w:rFonts w:ascii="Vodafone Rg" w:cs="Vodafone Rg" w:eastAsia="Vodafone Rg" w:hAnsi="Vodafone Rg"/>
          <w:b/>
          <w:bCs/>
          <w:color w:val="007C92"/>
          <w:sz w:val="25"/>
          <w:szCs w:val="25"/>
        </w:rPr>
        <w:t xml:space="preserve">6.7 Write Sequence</w:t>
      </w:r>
    </w:p>
    <w:p>
      <w:pPr>
        <w:spacing w:after="120" w:line="276"/>
      </w:pPr>
      <w:r>
        <w:rPr>
          <w:rFonts w:ascii="Vodafone Rg" w:cs="Vodafone Rg" w:eastAsia="Vodafone Rg" w:hAnsi="Vodafone Rg"/>
          <w:b w:val="false"/>
          <w:bCs w:val="false"/>
          <w:i w:val="false"/>
          <w:iCs w:val="false"/>
          <w:color w:val="1A1A1A"/>
          <w:sz w:val="21"/>
          <w:szCs w:val="21"/>
        </w:rPr>
        <w:t xml:space="preserve">Not applicable. The HR Insights Platform is a read-only consumer of published BigQuery outputs; it performs no write-back to HR data or source systems. No write sequence exists in the Phase 1 architecture.</w:t>
      </w:r>
    </w:p>
    <w:p>
      <w:pPr>
        <w:pStyle w:val="Heading2"/>
        <w:spacing w:after="100" w:before="220"/>
      </w:pPr>
      <w:r>
        <w:rPr>
          <w:rFonts w:ascii="Vodafone Rg" w:cs="Vodafone Rg" w:eastAsia="Vodafone Rg" w:hAnsi="Vodafone Rg"/>
          <w:b/>
          <w:bCs/>
          <w:color w:val="007C92"/>
          <w:sz w:val="25"/>
          <w:szCs w:val="25"/>
        </w:rPr>
        <w:t xml:space="preserve">6.8 Future / Phase 2 AI Sequence</w:t>
      </w:r>
    </w:p>
    <w:p>
      <w:pPr>
        <w:spacing w:after="120" w:line="276"/>
      </w:pPr>
      <w:r>
        <w:rPr>
          <w:rFonts w:ascii="Vodafone Rg" w:cs="Vodafone Rg" w:eastAsia="Vodafone Rg" w:hAnsi="Vodafone Rg"/>
          <w:b w:val="false"/>
          <w:bCs w:val="false"/>
          <w:i w:val="false"/>
          <w:iCs w:val="false"/>
          <w:color w:val="1A1A1A"/>
          <w:sz w:val="21"/>
          <w:szCs w:val="21"/>
        </w:rPr>
        <w:t xml:space="preserve">AI-assisted natural-language interaction (for example, an in-dashboard chatbot) is a Phase 2 future enhancement and is not part of the Phase 1 architecture. No AI component, agent or model-serving path exists in the current design. Any future AI capability will be designed and reviewed separately before implementation.</w:t>
      </w:r>
    </w:p>
    <w:p>
      <w:pPr>
        <w:pStyle w:val="Heading1"/>
        <w:spacing w:after="140" w:before="320"/>
      </w:pPr>
      <w:r>
        <w:rPr>
          <w:rFonts w:ascii="Vodafone Rg" w:cs="Vodafone Rg" w:eastAsia="Vodafone Rg" w:hAnsi="Vodafone Rg"/>
          <w:b/>
          <w:bCs/>
          <w:color w:val="E60000"/>
          <w:sz w:val="30"/>
          <w:szCs w:val="30"/>
        </w:rPr>
        <w:t xml:space="preserve">7. Data Architecture and BigQuery Design</w:t>
      </w:r>
    </w:p>
    <w:p>
      <w:pPr>
        <w:pStyle w:val="Heading2"/>
        <w:spacing w:after="100" w:before="220"/>
      </w:pPr>
      <w:r>
        <w:rPr>
          <w:rFonts w:ascii="Vodafone Rg" w:cs="Vodafone Rg" w:eastAsia="Vodafone Rg" w:hAnsi="Vodafone Rg"/>
          <w:b/>
          <w:bCs/>
          <w:color w:val="007C92"/>
          <w:sz w:val="25"/>
          <w:szCs w:val="25"/>
        </w:rPr>
        <w:t xml:space="preserve">7.1 Data Ownership and Minimization</w:t>
      </w:r>
    </w:p>
    <w:p>
      <w:pPr>
        <w:spacing w:after="120" w:line="276"/>
      </w:pPr>
      <w:r>
        <w:rPr>
          <w:rFonts w:ascii="Vodafone Rg" w:cs="Vodafone Rg" w:eastAsia="Vodafone Rg" w:hAnsi="Vodafone Rg"/>
          <w:b w:val="false"/>
          <w:bCs w:val="false"/>
          <w:i w:val="false"/>
          <w:iCs w:val="false"/>
          <w:color w:val="1A1A1A"/>
          <w:sz w:val="21"/>
          <w:szCs w:val="21"/>
        </w:rPr>
        <w:t xml:space="preserve">The platform consumes published analytics outputs and semantic views stored in BigQuery. Analytical modelling is performed and refreshed upstream by the analytics team. The platform reads published views read-only and does not hold its own copy of HR data or change the underlying HR data pipelines.</w:t>
      </w:r>
    </w:p>
    <w:p>
      <w:pPr>
        <w:pStyle w:val="Heading2"/>
        <w:spacing w:after="100" w:before="220"/>
      </w:pPr>
      <w:r>
        <w:rPr>
          <w:rFonts w:ascii="Vodafone Rg" w:cs="Vodafone Rg" w:eastAsia="Vodafone Rg" w:hAnsi="Vodafone Rg"/>
          <w:b/>
          <w:bCs/>
          <w:color w:val="007C92"/>
          <w:sz w:val="25"/>
          <w:szCs w:val="25"/>
        </w:rPr>
        <w:t xml:space="preserve">7.2 Datasets and Views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3400"/>
        <w:gridCol w:w="2426"/>
      </w:tblGrid>
      <w:tr>
        <w:trPr>
          <w:tblHeader/>
        </w:trPr>
        <w:tc>
          <w:tcPr>
            <w:tcW w:type="dxa" w:w="3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Project / dataset</w:t>
            </w:r>
          </w:p>
        </w:tc>
        <w:tc>
          <w:tcPr>
            <w:tcW w:type="dxa" w:w="34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Views</w:t>
            </w:r>
          </w:p>
        </w:tc>
        <w:tc>
          <w:tcPr>
            <w:tcW w:type="dxa" w:w="24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Purpose</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bCs/>
                <w:color w:val="1A1A1A"/>
                <w:sz w:val="20"/>
                <w:szCs w:val="20"/>
              </w:rPr>
              <w:t xml:space="preserve">vf-cip-ca-nonlive</w:t>
            </w:r>
          </w:p>
          <w:p>
            <w:pPr>
              <w:spacing w:after="20" w:line="252"/>
            </w:pPr>
            <w:r>
              <w:rPr>
                <w:rFonts w:ascii="Vodafone Rg" w:cs="Vodafone Rg" w:eastAsia="Vodafone Rg" w:hAnsi="Vodafone Rg"/>
                <w:b w:val="false"/>
                <w:bCs w:val="false"/>
                <w:color w:val="1A1A1A"/>
                <w:sz w:val="20"/>
                <w:szCs w:val="20"/>
              </w:rPr>
              <w:t xml:space="preserve">vfcip_lake_all_hrdata_sf_semantic_analytics_processed_s</w:t>
            </w:r>
          </w:p>
        </w:tc>
        <w:tc>
          <w:tcPr>
            <w:tcW w:type="dxa" w:w="3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top_talent_analytics</w:t>
            </w:r>
          </w:p>
          <w:p>
            <w:pPr>
              <w:spacing w:after="20" w:line="252"/>
            </w:pPr>
            <w:r>
              <w:rPr>
                <w:rFonts w:ascii="Vodafone Rg" w:cs="Vodafone Rg" w:eastAsia="Vodafone Rg" w:hAnsi="Vodafone Rg"/>
                <w:b w:val="false"/>
                <w:bCs w:val="false"/>
                <w:color w:val="1A1A1A"/>
                <w:sz w:val="20"/>
                <w:szCs w:val="20"/>
              </w:rPr>
              <w:t xml:space="preserve">top_talent_descriptive_stats</w:t>
            </w:r>
          </w:p>
          <w:p>
            <w:pPr>
              <w:spacing w:after="20" w:line="252"/>
            </w:pPr>
            <w:r>
              <w:rPr>
                <w:rFonts w:ascii="Vodafone Rg" w:cs="Vodafone Rg" w:eastAsia="Vodafone Rg" w:hAnsi="Vodafone Rg"/>
                <w:b w:val="false"/>
                <w:bCs w:val="false"/>
                <w:color w:val="1A1A1A"/>
                <w:sz w:val="20"/>
                <w:szCs w:val="20"/>
              </w:rPr>
              <w:t xml:space="preserve">top_talent_prevalance_summary</w:t>
            </w:r>
          </w:p>
        </w:tc>
        <w:tc>
          <w:tcPr>
            <w:tcW w:type="dxa" w:w="24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Published analytics outputs consumed by the dashboard.</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bCs/>
                <w:color w:val="1A1A1A"/>
                <w:sz w:val="20"/>
                <w:szCs w:val="20"/>
              </w:rPr>
              <w:t xml:space="preserve">vf-cip-datahub</w:t>
            </w:r>
          </w:p>
          <w:p>
            <w:pPr>
              <w:spacing w:after="20" w:line="252"/>
            </w:pPr>
            <w:r>
              <w:rPr>
                <w:rFonts w:ascii="Vodafone Rg" w:cs="Vodafone Rg" w:eastAsia="Vodafone Rg" w:hAnsi="Vodafone Rg"/>
                <w:b w:val="false"/>
                <w:bCs w:val="false"/>
                <w:color w:val="1A1A1A"/>
                <w:sz w:val="20"/>
                <w:szCs w:val="20"/>
              </w:rPr>
              <w:t xml:space="preserve">vfcip_dh_lake_all_hrdata_sf_semantic_processed_s</w:t>
            </w:r>
          </w:p>
        </w:tc>
        <w:tc>
          <w:tcPr>
            <w:tcW w:type="dxa" w:w="3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ViewAppHRBPMonthly</w:t>
            </w:r>
          </w:p>
          <w:p>
            <w:pPr>
              <w:spacing w:after="20" w:line="252"/>
            </w:pPr>
            <w:r>
              <w:rPr>
                <w:rFonts w:ascii="Vodafone Rg" w:cs="Vodafone Rg" w:eastAsia="Vodafone Rg" w:hAnsi="Vodafone Rg"/>
                <w:b w:val="false"/>
                <w:bCs w:val="false"/>
                <w:color w:val="1A1A1A"/>
                <w:sz w:val="20"/>
                <w:szCs w:val="20"/>
              </w:rPr>
              <w:t xml:space="preserve">ViewAppHRBPTalentKPI</w:t>
            </w:r>
          </w:p>
          <w:p>
            <w:pPr>
              <w:spacing w:after="20" w:line="252"/>
            </w:pPr>
            <w:r>
              <w:rPr>
                <w:rFonts w:ascii="Vodafone Rg" w:cs="Vodafone Rg" w:eastAsia="Vodafone Rg" w:hAnsi="Vodafone Rg"/>
                <w:b w:val="false"/>
                <w:bCs w:val="false"/>
                <w:color w:val="1A1A1A"/>
                <w:sz w:val="20"/>
                <w:szCs w:val="20"/>
              </w:rPr>
              <w:t xml:space="preserve">ViewEmployeeInfoDataAnalytics</w:t>
            </w:r>
          </w:p>
          <w:p>
            <w:pPr>
              <w:spacing w:after="20" w:line="252"/>
            </w:pPr>
            <w:r>
              <w:rPr>
                <w:rFonts w:ascii="Vodafone Rg" w:cs="Vodafone Rg" w:eastAsia="Vodafone Rg" w:hAnsi="Vodafone Rg"/>
                <w:b w:val="false"/>
                <w:bCs w:val="false"/>
                <w:color w:val="1A1A1A"/>
                <w:sz w:val="20"/>
                <w:szCs w:val="20"/>
              </w:rPr>
              <w:t xml:space="preserve">ViewVLOLearningDashboard</w:t>
            </w:r>
          </w:p>
        </w:tc>
        <w:tc>
          <w:tcPr>
            <w:tcW w:type="dxa" w:w="24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Supporting semantic views providing HR and talent context.</w:t>
            </w:r>
          </w:p>
        </w:tc>
      </w:tr>
    </w:tbl>
    <w:p>
      <w:pPr>
        <w:pStyle w:val="Heading2"/>
        <w:spacing w:after="100" w:before="220"/>
      </w:pPr>
      <w:r>
        <w:rPr>
          <w:rFonts w:ascii="Vodafone Rg" w:cs="Vodafone Rg" w:eastAsia="Vodafone Rg" w:hAnsi="Vodafone Rg"/>
          <w:b/>
          <w:bCs/>
          <w:color w:val="007C92"/>
          <w:sz w:val="25"/>
          <w:szCs w:val="25"/>
        </w:rPr>
        <w:t xml:space="preserve">7.3 Partitioning, Clustering and Lifecycle</w:t>
      </w:r>
    </w:p>
    <w:p>
      <w:pPr>
        <w:spacing w:after="120" w:line="276"/>
      </w:pPr>
      <w:r>
        <w:rPr>
          <w:rFonts w:ascii="Vodafone Rg" w:cs="Vodafone Rg" w:eastAsia="Vodafone Rg" w:hAnsi="Vodafone Rg"/>
          <w:b w:val="false"/>
          <w:bCs w:val="false"/>
          <w:i w:val="false"/>
          <w:iCs w:val="false"/>
          <w:color w:val="1A1A1A"/>
          <w:sz w:val="21"/>
          <w:szCs w:val="21"/>
        </w:rPr>
        <w:t xml:space="preserve">The platform consumes published views; partitioning, clustering and lifecycle of the underlying analytics and semantic datasets are governed upstream by the analytics and DataHub teams.</w:t>
      </w:r>
    </w:p>
    <w:p>
      <w:pPr>
        <w:spacing w:after="120" w:line="276"/>
      </w:pPr>
      <w:r>
        <w:rPr>
          <w:rFonts w:ascii="Vodafone Rg" w:cs="Vodafone Rg" w:eastAsia="Vodafone Rg" w:hAnsi="Vodafone Rg"/>
          <w:b/>
          <w:bCs/>
          <w:color w:val="E60000"/>
          <w:sz w:val="21"/>
          <w:szCs w:val="21"/>
        </w:rPr>
        <w:t xml:space="preserve">APPROVAL DECISION / TBC: </w:t>
      </w:r>
      <w:r>
        <w:rPr>
          <w:rFonts w:ascii="Vodafone Rg" w:cs="Vodafone Rg" w:eastAsia="Vodafone Rg" w:hAnsi="Vodafone Rg"/>
          <w:i/>
          <w:iCs/>
          <w:color w:val="1A1A1A"/>
          <w:sz w:val="21"/>
          <w:szCs w:val="21"/>
        </w:rPr>
        <w:t xml:space="preserve">Retention of application-side logs and audit data, and confirmation of the upstream dataset lifecycle relevant to this platform, are to be confirmed with the DataHub / Analytics owner.</w:t>
      </w:r>
    </w:p>
    <w:p>
      <w:pPr>
        <w:pStyle w:val="Heading1"/>
        <w:spacing w:after="140" w:before="320"/>
      </w:pPr>
      <w:r>
        <w:rPr>
          <w:rFonts w:ascii="Vodafone Rg" w:cs="Vodafone Rg" w:eastAsia="Vodafone Rg" w:hAnsi="Vodafone Rg"/>
          <w:b/>
          <w:bCs/>
          <w:color w:val="E60000"/>
          <w:sz w:val="30"/>
          <w:szCs w:val="30"/>
        </w:rPr>
        <w:t xml:space="preserve">8. Identity, Authentication and Authorization</w:t>
      </w:r>
    </w:p>
    <w:p>
      <w:pPr>
        <w:pStyle w:val="Heading2"/>
        <w:spacing w:after="100" w:before="220"/>
      </w:pPr>
      <w:r>
        <w:rPr>
          <w:rFonts w:ascii="Vodafone Rg" w:cs="Vodafone Rg" w:eastAsia="Vodafone Rg" w:hAnsi="Vodafone Rg"/>
          <w:b/>
          <w:bCs/>
          <w:color w:val="007C92"/>
          <w:sz w:val="25"/>
          <w:szCs w:val="25"/>
        </w:rPr>
        <w:t xml:space="preserve">8.1 Authentication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Users reach the platform through Cloud Load Balancer, Cloud Armor and Identity-Aware Proxy.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Authentication uses corporate SSO, resolved through Identity-Aware Proxy.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Google Group membership provides application access control and is resolved at the edge before the request reaches the application.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Application-level entitlement checks are enforced by the backend before data access is granted.</w:t>
      </w:r>
    </w:p>
    <w:p>
      <w:pPr>
        <w:pStyle w:val="Heading2"/>
        <w:spacing w:after="100" w:before="220"/>
      </w:pPr>
      <w:r>
        <w:rPr>
          <w:rFonts w:ascii="Vodafone Rg" w:cs="Vodafone Rg" w:eastAsia="Vodafone Rg" w:hAnsi="Vodafone Rg"/>
          <w:b/>
          <w:bCs/>
          <w:color w:val="007C92"/>
          <w:sz w:val="25"/>
          <w:szCs w:val="25"/>
        </w:rPr>
        <w:t xml:space="preserve">8.2 Authorization Chain</w:t>
      </w:r>
    </w:p>
    <w:p>
      <w:pPr>
        <w:spacing w:after="120" w:line="276"/>
      </w:pPr>
      <w:r>
        <w:rPr>
          <w:rFonts w:ascii="Vodafone Rg" w:cs="Vodafone Rg" w:eastAsia="Vodafone Rg" w:hAnsi="Vodafone Rg"/>
          <w:b w:val="false"/>
          <w:bCs w:val="false"/>
          <w:i w:val="false"/>
          <w:iCs w:val="false"/>
          <w:color w:val="1A1A1A"/>
          <w:sz w:val="21"/>
          <w:szCs w:val="21"/>
        </w:rPr>
        <w:t xml:space="preserve">Verified IAP / SSO subject → corporate identity → Google Group membership (application access control, mapped to permitted market scope) → backend (FastAPI) entitlement enforcement with the authenticated user context → BigQuery query with Row-Level Security (by market) and Column-Level Security (via Policy Tags) enforced at query time → authorized, filtered result. Each hop is default-deny, testable and auditable.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BigQuery base data is accessed only by the backend service identity, not by the frontend or end users; the frontend never queries BigQuery directly.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backend applies the authenticated user context; BigQuery Row-Level Security restricts rows to the user’s permitted market(s) and Column-Level Security (Policy Tags) restricts sensitive columns, both enforced at query time.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Access is read-only against published views; the platform does not write to HR data.</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backend remains the authoritative enforcement point; users cannot widen their scope by manipulating frontend parameters.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BigQuery Data Access audit logs are enabled and retained as required by the central logging standard.</w:t>
      </w:r>
    </w:p>
    <w:p>
      <w:pPr>
        <w:pStyle w:val="Heading2"/>
        <w:spacing w:after="100" w:before="220"/>
      </w:pPr>
      <w:r>
        <w:rPr>
          <w:rFonts w:ascii="Vodafone Rg" w:cs="Vodafone Rg" w:eastAsia="Vodafone Rg" w:hAnsi="Vodafone Rg"/>
          <w:b/>
          <w:bCs/>
          <w:color w:val="007C92"/>
          <w:sz w:val="25"/>
          <w:szCs w:val="25"/>
        </w:rPr>
        <w:t xml:space="preserve">8.3 Role Matrix</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926"/>
        <w:gridCol w:w="1500"/>
        <w:gridCol w:w="2300"/>
        <w:gridCol w:w="2300"/>
      </w:tblGrid>
      <w:tr>
        <w:trPr>
          <w:tblHeader/>
        </w:trPr>
        <w:tc>
          <w:tcPr>
            <w:tcW w:type="dxa" w:w="29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Capability</w:t>
            </w:r>
          </w:p>
        </w:tc>
        <w:tc>
          <w:tcPr>
            <w:tcW w:type="dxa" w:w="1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Admin</w:t>
            </w:r>
          </w:p>
        </w:tc>
        <w:tc>
          <w:tcPr>
            <w:tcW w:type="dxa" w:w="23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Vodafone Group scope</w:t>
            </w:r>
          </w:p>
        </w:tc>
        <w:tc>
          <w:tcPr>
            <w:tcW w:type="dxa" w:w="23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Local Market scope</w:t>
            </w:r>
          </w:p>
        </w:tc>
      </w:tr>
      <w:tr>
        <w:tc>
          <w:tcPr>
            <w:tcW w:type="dxa" w:w="29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 global predictor insights</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Full access</w:t>
            </w:r>
          </w:p>
        </w:tc>
        <w:tc>
          <w:tcPr>
            <w:tcW w:type="dxa" w:w="2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Yes</w:t>
            </w:r>
          </w:p>
        </w:tc>
        <w:tc>
          <w:tcPr>
            <w:tcW w:type="dxa" w:w="2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Limited to permitted markets</w:t>
            </w:r>
          </w:p>
        </w:tc>
      </w:tr>
      <w:tr>
        <w:tc>
          <w:tcPr>
            <w:tcW w:type="dxa" w:w="29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 market-level driver and barrier analysis</w:t>
            </w:r>
          </w:p>
        </w:tc>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Full access</w:t>
            </w:r>
          </w:p>
        </w:tc>
        <w:tc>
          <w:tcPr>
            <w:tcW w:type="dxa" w:w="2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All markets</w:t>
            </w:r>
          </w:p>
        </w:tc>
        <w:tc>
          <w:tcPr>
            <w:tcW w:type="dxa" w:w="2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Assigned market(s) only</w:t>
            </w:r>
          </w:p>
        </w:tc>
      </w:tr>
      <w:tr>
        <w:tc>
          <w:tcPr>
            <w:tcW w:type="dxa" w:w="29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View location-level detail</w:t>
            </w:r>
          </w:p>
        </w:tc>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Full access</w:t>
            </w:r>
          </w:p>
        </w:tc>
        <w:tc>
          <w:tcPr>
            <w:tcW w:type="dxa" w:w="2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Per assigned scope</w:t>
            </w:r>
          </w:p>
        </w:tc>
        <w:tc>
          <w:tcPr>
            <w:tcW w:type="dxa" w:w="23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Only the assigned location within the market</w:t>
            </w:r>
          </w:p>
        </w:tc>
      </w:tr>
      <w:tr>
        <w:tc>
          <w:tcPr>
            <w:tcW w:type="dxa" w:w="29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Access application functionality</w:t>
            </w:r>
          </w:p>
        </w:tc>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Full access</w:t>
            </w:r>
          </w:p>
        </w:tc>
        <w:tc>
          <w:tcPr>
            <w:tcW w:type="dxa" w:w="2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According to role / scope</w:t>
            </w:r>
          </w:p>
        </w:tc>
        <w:tc>
          <w:tcPr>
            <w:tcW w:type="dxa" w:w="23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According to role / scope</w:t>
            </w:r>
          </w:p>
        </w:tc>
      </w:tr>
    </w:tbl>
    <w:p>
      <w:pPr>
        <w:spacing w:after="100" w:line="276"/>
      </w:pPr>
      <w:r>
        <w:rPr>
          <w:rFonts w:ascii="Vodafone Rg" w:cs="Vodafone Rg" w:eastAsia="Vodafone Rg" w:hAnsi="Vodafone Rg"/>
          <w:b w:val="false"/>
          <w:bCs w:val="false"/>
          <w:i w:val="false"/>
          <w:iCs w:val="false"/>
          <w:color w:val="1A1A1A"/>
          <w:sz w:val="21"/>
          <w:szCs w:val="21"/>
        </w:rPr>
        <w:t xml:space="preserve">Admin has full access across all markets and capabilities. The same scope is enforced independently in BigQuery through Row-Level and Column-Level Security at query time.</w:t>
      </w:r>
    </w:p>
    <w:p>
      <w:pPr>
        <w:pStyle w:val="Heading2"/>
        <w:spacing w:after="100" w:before="220"/>
      </w:pPr>
      <w:r>
        <w:rPr>
          <w:rFonts w:ascii="Vodafone Rg" w:cs="Vodafone Rg" w:eastAsia="Vodafone Rg" w:hAnsi="Vodafone Rg"/>
          <w:b/>
          <w:bCs/>
          <w:color w:val="007C92"/>
          <w:sz w:val="25"/>
          <w:szCs w:val="25"/>
        </w:rPr>
        <w:t xml:space="preserve">8.4 Identity and Service Account Separation</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2900"/>
        <w:gridCol w:w="3526"/>
      </w:tblGrid>
      <w:tr>
        <w:trPr>
          <w:tblHeader/>
        </w:trPr>
        <w:tc>
          <w:tcPr>
            <w:tcW w:type="dxa" w:w="26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Identity</w:t>
            </w:r>
          </w:p>
        </w:tc>
        <w:tc>
          <w:tcPr>
            <w:tcW w:type="dxa" w:w="29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Account details</w:t>
            </w:r>
          </w:p>
        </w:tc>
        <w:tc>
          <w:tcPr>
            <w:tcW w:type="dxa" w:w="35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Permitted</w:t>
            </w:r>
          </w:p>
        </w:tc>
      </w:tr>
      <w:tr>
        <w:tc>
          <w:tcPr>
            <w:tcW w:type="dxa" w:w="26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User account</w:t>
            </w:r>
          </w:p>
        </w:tc>
        <w:tc>
          <w:tcPr>
            <w:tcW w:type="dxa" w:w="29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Corporate SSO credentials, resolved through IAP</w:t>
            </w:r>
          </w:p>
        </w:tc>
        <w:tc>
          <w:tcPr>
            <w:tcW w:type="dxa" w:w="35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Access the platform; scoped reads through the backend.</w:t>
            </w:r>
          </w:p>
        </w:tc>
      </w:tr>
      <w:tr>
        <w:tc>
          <w:tcPr>
            <w:tcW w:type="dxa" w:w="26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Backend service account</w:t>
            </w:r>
          </w:p>
        </w:tc>
        <w:tc>
          <w:tcPr>
            <w:tcW w:type="dxa" w:w="29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 backend SA (TBC)</w:t>
            </w:r>
          </w:p>
        </w:tc>
        <w:tc>
          <w:tcPr>
            <w:tcW w:type="dxa" w:w="35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Query BigQuery published views (Row-Level and Column-Level Security enforced at query time); write application and audit logs.</w:t>
            </w:r>
          </w:p>
        </w:tc>
      </w:tr>
    </w:tbl>
    <w:p>
      <w:pPr>
        <w:pStyle w:val="Heading2"/>
        <w:spacing w:after="100" w:before="220"/>
      </w:pPr>
      <w:r>
        <w:rPr>
          <w:rFonts w:ascii="Vodafone Rg" w:cs="Vodafone Rg" w:eastAsia="Vodafone Rg" w:hAnsi="Vodafone Rg"/>
          <w:b/>
          <w:bCs/>
          <w:color w:val="007C92"/>
          <w:sz w:val="25"/>
          <w:szCs w:val="25"/>
        </w:rPr>
        <w:t xml:space="preserve">8.5 Access Lifecycle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Access requested through the approved UAM process and Google Group ownership.</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Manager / data-owner approval according to classification.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Automatic revocation on leaver or role change where supported.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Periodic role and privileged-access recertification; frequency to be confirmed by the UAM team.</w:t>
      </w:r>
    </w:p>
    <w:p>
      <w:pPr>
        <w:pStyle w:val="Heading1"/>
        <w:spacing w:after="140" w:before="320"/>
      </w:pPr>
      <w:r>
        <w:rPr>
          <w:rFonts w:ascii="Vodafone Rg" w:cs="Vodafone Rg" w:eastAsia="Vodafone Rg" w:hAnsi="Vodafone Rg"/>
          <w:b/>
          <w:bCs/>
          <w:color w:val="E60000"/>
          <w:sz w:val="30"/>
          <w:szCs w:val="30"/>
        </w:rPr>
        <w:t xml:space="preserve">9. Security and Compliance</w:t>
      </w:r>
    </w:p>
    <w:p>
      <w:pPr>
        <w:pStyle w:val="Heading2"/>
        <w:spacing w:after="100" w:before="220"/>
      </w:pPr>
      <w:r>
        <w:rPr>
          <w:rFonts w:ascii="Vodafone Rg" w:cs="Vodafone Rg" w:eastAsia="Vodafone Rg" w:hAnsi="Vodafone Rg"/>
          <w:b/>
          <w:bCs/>
          <w:color w:val="007C92"/>
          <w:sz w:val="25"/>
          <w:szCs w:val="25"/>
        </w:rPr>
        <w:t xml:space="preserve">9.1 Data Classification and Privacy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HR Insights Platform handles HR analytics information.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application is classified as C3.</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Data access is controlled based on the authenticated identity and the authorized scope.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Data minimization principles apply; only the information required for the user’s authorized use is exposed.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platform consumes governed, published data and does not unnecessarily duplicate HR data.</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Privacy requirements are considered in the design and operation of the platform, and all communication between the browser, the platform and backend services uses HTTPS / TLS.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Appropriate classification and privacy controls are maintained throughout the application lifecycle; formal classification and privacy assessments remain mandatory evidence and are not replaced by this HLD.</w:t>
      </w:r>
    </w:p>
    <w:p>
      <w:pPr>
        <w:pStyle w:val="Heading2"/>
        <w:spacing w:after="100" w:before="220"/>
      </w:pPr>
      <w:r>
        <w:rPr>
          <w:rFonts w:ascii="Vodafone Rg" w:cs="Vodafone Rg" w:eastAsia="Vodafone Rg" w:hAnsi="Vodafone Rg"/>
          <w:b/>
          <w:bCs/>
          <w:color w:val="007C92"/>
          <w:sz w:val="25"/>
          <w:szCs w:val="25"/>
        </w:rPr>
        <w:t xml:space="preserve">9.2 PII Handling and Pseudo-anonymization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Sensitive and PII-related columns are pseudo-anonymized where required, using BigQuery Column-Level Security and Policy Tags applied at query time.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platform receives the appropriately protected (pseudo-anonymized) representation of these columns and does not receive the raw sensitive values where pseudo-anonymization applies.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The frontend only receives the information necessary for the user’s authorized use.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Backend filtering, together with BigQuery Row-Level and Column-Level Security, remains the authoritative control; users cannot bypass backend scope controls by manipulating frontend parameters.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Pseudo-anonymization is part of the data-protection approach for the applicable columns.</w:t>
      </w:r>
    </w:p>
    <w:p>
      <w:pPr>
        <w:spacing w:after="120" w:line="276"/>
      </w:pPr>
      <w:r>
        <w:rPr>
          <w:rFonts w:ascii="Vodafone Rg" w:cs="Vodafone Rg" w:eastAsia="Vodafone Rg" w:hAnsi="Vodafone Rg"/>
          <w:b/>
          <w:bCs/>
          <w:color w:val="E60000"/>
          <w:sz w:val="21"/>
          <w:szCs w:val="21"/>
        </w:rPr>
        <w:t xml:space="preserve">APPROVAL DECISION / TBC: </w:t>
      </w:r>
      <w:r>
        <w:rPr>
          <w:rFonts w:ascii="Vodafone Rg" w:cs="Vodafone Rg" w:eastAsia="Vodafone Rg" w:hAnsi="Vodafone Rg"/>
          <w:i/>
          <w:iCs/>
          <w:color w:val="1A1A1A"/>
          <w:sz w:val="21"/>
          <w:szCs w:val="21"/>
        </w:rPr>
        <w:t xml:space="preserve">The specific columns requiring pseudo-anonymization, and the exact transformation applied to each, are to be listed here from the approved data-protection specification.</w:t>
      </w:r>
    </w:p>
    <w:p>
      <w:pPr>
        <w:pStyle w:val="Heading2"/>
        <w:spacing w:after="100" w:before="220"/>
      </w:pPr>
      <w:r>
        <w:rPr>
          <w:rFonts w:ascii="Vodafone Rg" w:cs="Vodafone Rg" w:eastAsia="Vodafone Rg" w:hAnsi="Vodafone Rg"/>
          <w:b/>
          <w:bCs/>
          <w:color w:val="007C92"/>
          <w:sz w:val="25"/>
          <w:szCs w:val="25"/>
        </w:rPr>
        <w:t xml:space="preserve">9.3 Immutable Audit and Logging</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Logging and audit of application activity are in scope for Phase 1.</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Operational logs and monitoring cover application activity, authorization denials, API failures and BigQuery usage or failures.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Application and infrastructure logs are collected through Google Cloud’s managed logging; Cloud Run logs are used for troubleshooting, operational monitoring and error analysis.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Audit records exclude sensitive plaintext.</w:t>
      </w:r>
    </w:p>
    <w:p>
      <w:pPr>
        <w:pStyle w:val="Heading2"/>
        <w:spacing w:after="100" w:before="220"/>
      </w:pPr>
      <w:r>
        <w:rPr>
          <w:rFonts w:ascii="Vodafone Rg" w:cs="Vodafone Rg" w:eastAsia="Vodafone Rg" w:hAnsi="Vodafone Rg"/>
          <w:b/>
          <w:bCs/>
          <w:color w:val="007C92"/>
          <w:sz w:val="25"/>
          <w:szCs w:val="25"/>
        </w:rPr>
        <w:t xml:space="preserve">9.4 SPDA Compliance Mapping</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2500"/>
        <w:gridCol w:w="2000"/>
        <w:gridCol w:w="1826"/>
        <w:gridCol w:w="1200"/>
      </w:tblGrid>
      <w:tr>
        <w:trPr>
          <w:tblHeader/>
        </w:trPr>
        <w:tc>
          <w:tcPr>
            <w:tcW w:type="dxa" w:w="1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Control area</w:t>
            </w:r>
          </w:p>
        </w:tc>
        <w:tc>
          <w:tcPr>
            <w:tcW w:type="dxa" w:w="2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Requirement / implementation</w:t>
            </w:r>
          </w:p>
        </w:tc>
        <w:tc>
          <w:tcPr>
            <w:tcW w:type="dxa" w:w="20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Expected evidence</w:t>
            </w:r>
          </w:p>
        </w:tc>
        <w:tc>
          <w:tcPr>
            <w:tcW w:type="dxa" w:w="1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Owner / approver</w:t>
            </w:r>
          </w:p>
        </w:tc>
        <w:tc>
          <w:tcPr>
            <w:tcW w:type="dxa" w:w="1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Residual risk</w:t>
            </w:r>
          </w:p>
        </w:tc>
      </w:tr>
      <w:tr>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Governance</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Active SPDA demand; approved C3 scope.</w:t>
            </w:r>
          </w:p>
        </w:tc>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Demand reference, decisions, signed HLD.</w:t>
            </w:r>
          </w:p>
        </w:tc>
        <w:tc>
          <w:tcPr>
            <w:tcW w:type="dxa" w:w="1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 / SPDA</w:t>
            </w:r>
          </w:p>
        </w:tc>
        <w:tc>
          <w:tcPr>
            <w:tcW w:type="dxa" w:w="1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 until approval.</w:t>
            </w:r>
          </w:p>
        </w:tc>
      </w:tr>
      <w:tr>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Identity</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SSO / IAP verification; no trusted browser identity.</w:t>
            </w:r>
          </w:p>
        </w:tc>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Config export, code / test evidence.</w:t>
            </w:r>
          </w:p>
        </w:tc>
        <w:tc>
          <w:tcPr>
            <w:tcW w:type="dxa" w:w="1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 / Security</w:t>
            </w:r>
          </w:p>
        </w:tc>
        <w:tc>
          <w:tcPr>
            <w:tcW w:type="dxa" w:w="1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w:t>
            </w:r>
          </w:p>
        </w:tc>
      </w:tr>
      <w:tr>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Authorization</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Server-side enforcement plus BigQuery Row-Level and Column-Level Security at query time, independent of client parameters.</w:t>
            </w:r>
          </w:p>
        </w:tc>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Role / scope design, negative tests.</w:t>
            </w:r>
          </w:p>
        </w:tc>
        <w:tc>
          <w:tcPr>
            <w:tcW w:type="dxa" w:w="1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 / UAM / Security</w:t>
            </w:r>
          </w:p>
        </w:tc>
        <w:tc>
          <w:tcPr>
            <w:tcW w:type="dxa" w:w="1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 until scope source confirmed.</w:t>
            </w:r>
          </w:p>
        </w:tc>
      </w:tr>
      <w:tr>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 protection</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HTTPS / TLS in transit; pseudo-anonymization of applicable columns via BigQuery Column-Level Security and Policy Tags.</w:t>
            </w:r>
          </w:p>
        </w:tc>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Policy-tag inventory, column mapping, tests.</w:t>
            </w:r>
          </w:p>
        </w:tc>
        <w:tc>
          <w:tcPr>
            <w:tcW w:type="dxa" w:w="1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DataHub / Security</w:t>
            </w:r>
          </w:p>
        </w:tc>
        <w:tc>
          <w:tcPr>
            <w:tcW w:type="dxa" w:w="1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 until columns finalized.</w:t>
            </w:r>
          </w:p>
        </w:tc>
      </w:tr>
      <w:tr>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Privacy</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Purpose, minimization, classification (C3) and retention.</w:t>
            </w:r>
          </w:p>
        </w:tc>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Privacy assessment and Information Owner signoff.</w:t>
            </w:r>
          </w:p>
        </w:tc>
        <w:tc>
          <w:tcPr>
            <w:tcW w:type="dxa" w:w="1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Privacy / Information Owner</w:t>
            </w:r>
          </w:p>
        </w:tc>
        <w:tc>
          <w:tcPr>
            <w:tcW w:type="dxa" w:w="1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w:t>
            </w:r>
          </w:p>
        </w:tc>
      </w:tr>
      <w:tr>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Network</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LB / Armor / IAP path; direct URL blocked.</w:t>
            </w:r>
          </w:p>
        </w:tc>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IaC / config and penetration result.</w:t>
            </w:r>
          </w:p>
        </w:tc>
        <w:tc>
          <w:tcPr>
            <w:tcW w:type="dxa" w:w="1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PCS / Security</w:t>
            </w:r>
          </w:p>
        </w:tc>
        <w:tc>
          <w:tcPr>
            <w:tcW w:type="dxa" w:w="1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w:t>
            </w:r>
          </w:p>
        </w:tc>
      </w:tr>
      <w:tr>
        <w:tc>
          <w:tcPr>
            <w:tcW w:type="dxa" w:w="1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Logging</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Central logs and application audit.</w:t>
            </w:r>
          </w:p>
        </w:tc>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Sink policy, sample events, access matrix.</w:t>
            </w:r>
          </w:p>
        </w:tc>
        <w:tc>
          <w:tcPr>
            <w:tcW w:type="dxa" w:w="1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PCS / Ops / Security</w:t>
            </w:r>
          </w:p>
        </w:tc>
        <w:tc>
          <w:tcPr>
            <w:tcW w:type="dxa" w:w="1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 until retention approved.</w:t>
            </w:r>
          </w:p>
        </w:tc>
      </w:tr>
      <w:tr>
        <w:tc>
          <w:tcPr>
            <w:tcW w:type="dxa" w:w="1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DevSecOps</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Build scans, image signing and gates.</w:t>
            </w:r>
          </w:p>
        </w:tc>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Pipeline logs and reports.</w:t>
            </w:r>
          </w:p>
        </w:tc>
        <w:tc>
          <w:tcPr>
            <w:tcW w:type="dxa" w:w="1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Engineering / Security</w:t>
            </w:r>
          </w:p>
        </w:tc>
        <w:tc>
          <w:tcPr>
            <w:tcW w:type="dxa" w:w="1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Open.</w:t>
            </w:r>
          </w:p>
        </w:tc>
      </w:tr>
    </w:tbl>
    <w:p>
      <w:pPr>
        <w:pStyle w:val="Heading1"/>
        <w:spacing w:after="140" w:before="320"/>
      </w:pPr>
      <w:r>
        <w:rPr>
          <w:rFonts w:ascii="Vodafone Rg" w:cs="Vodafone Rg" w:eastAsia="Vodafone Rg" w:hAnsi="Vodafone Rg"/>
          <w:b/>
          <w:bCs/>
          <w:color w:val="E60000"/>
          <w:sz w:val="30"/>
          <w:szCs w:val="30"/>
        </w:rPr>
        <w:t xml:space="preserve">10. Logging, Monitoring and Operational Support</w:t>
      </w:r>
    </w:p>
    <w:p>
      <w:pPr>
        <w:pStyle w:val="Heading2"/>
        <w:spacing w:after="100" w:before="220"/>
      </w:pPr>
      <w:r>
        <w:rPr>
          <w:rFonts w:ascii="Vodafone Rg" w:cs="Vodafone Rg" w:eastAsia="Vodafone Rg" w:hAnsi="Vodafone Rg"/>
          <w:b/>
          <w:bCs/>
          <w:color w:val="007C92"/>
          <w:sz w:val="25"/>
          <w:szCs w:val="25"/>
        </w:rPr>
        <w:t xml:space="preserve">10.1 Logging Model</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326"/>
        <w:gridCol w:w="2500"/>
      </w:tblGrid>
      <w:tr>
        <w:trPr>
          <w:tblHeader/>
        </w:trPr>
        <w:tc>
          <w:tcPr>
            <w:tcW w:type="dxa" w:w="2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Log type</w:t>
            </w:r>
          </w:p>
        </w:tc>
        <w:tc>
          <w:tcPr>
            <w:tcW w:type="dxa" w:w="43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Examples</w:t>
            </w:r>
          </w:p>
        </w:tc>
        <w:tc>
          <w:tcPr>
            <w:tcW w:type="dxa" w:w="25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Retention / destination</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operational</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Request outcome, latency, validation failure, BigQuery error, correlation ID.</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Logging and approved operational sink; retention TBC.</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security</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SSO / JWT failure, authorization denial, rate limit, admin action.</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Central security sink / SIEM; retention per security policy.</w:t>
            </w:r>
          </w:p>
        </w:tc>
      </w:tr>
      <w:tr>
        <w:tc>
          <w:tcPr>
            <w:tcW w:type="dxa" w:w="2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Business audit</w:t>
            </w:r>
          </w:p>
        </w:tc>
        <w:tc>
          <w:tcPr>
            <w:tcW w:type="dxa" w:w="43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Access and authorization events with verified actor and context.</w:t>
            </w:r>
          </w:p>
        </w:tc>
        <w:tc>
          <w:tcPr>
            <w:tcW w:type="dxa" w:w="25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Central protected export; retention TBC.</w:t>
            </w:r>
          </w:p>
        </w:tc>
      </w:tr>
      <w:tr>
        <w:tc>
          <w:tcPr>
            <w:tcW w:type="dxa" w:w="2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Platform audit</w:t>
            </w:r>
          </w:p>
        </w:tc>
        <w:tc>
          <w:tcPr>
            <w:tcW w:type="dxa" w:w="43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 IAM, BigQuery Data Access, Artifact Registry and deployment administration.</w:t>
            </w:r>
          </w:p>
        </w:tc>
        <w:tc>
          <w:tcPr>
            <w:tcW w:type="dxa" w:w="25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PCS central logging architecture.</w:t>
            </w:r>
          </w:p>
        </w:tc>
      </w:tr>
    </w:tbl>
    <w:p>
      <w:pPr>
        <w:pStyle w:val="Heading2"/>
        <w:spacing w:after="100" w:before="220"/>
      </w:pPr>
      <w:r>
        <w:rPr>
          <w:rFonts w:ascii="Vodafone Rg" w:cs="Vodafone Rg" w:eastAsia="Vodafone Rg" w:hAnsi="Vodafone Rg"/>
          <w:b/>
          <w:bCs/>
          <w:color w:val="007C92"/>
          <w:sz w:val="25"/>
          <w:szCs w:val="25"/>
        </w:rPr>
        <w:t xml:space="preserve">10.2 Metrics, SLOs and Alerts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4126"/>
        <w:gridCol w:w="3000"/>
      </w:tblGrid>
      <w:tr>
        <w:trPr>
          <w:tblHeader/>
        </w:trPr>
        <w:tc>
          <w:tcPr>
            <w:tcW w:type="dxa" w:w="19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Signal</w:t>
            </w:r>
          </w:p>
        </w:tc>
        <w:tc>
          <w:tcPr>
            <w:tcW w:type="dxa" w:w="41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Metric / alert</w:t>
            </w:r>
          </w:p>
        </w:tc>
        <w:tc>
          <w:tcPr>
            <w:tcW w:type="dxa" w:w="30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Action</w:t>
            </w:r>
          </w:p>
        </w:tc>
      </w:tr>
      <w:tr>
        <w:tc>
          <w:tcPr>
            <w:tcW w:type="dxa" w:w="19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Availability</w:t>
            </w:r>
          </w:p>
        </w:tc>
        <w:tc>
          <w:tcPr>
            <w:tcW w:type="dxa" w:w="41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Uptime check and successful API rate.</w:t>
            </w:r>
          </w:p>
        </w:tc>
        <w:tc>
          <w:tcPr>
            <w:tcW w:type="dxa" w:w="3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Page support when the SLO burn threshold is exceeded.</w:t>
            </w:r>
          </w:p>
        </w:tc>
      </w:tr>
      <w:tr>
        <w:tc>
          <w:tcPr>
            <w:tcW w:type="dxa" w:w="19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Latency</w:t>
            </w:r>
          </w:p>
        </w:tc>
        <w:tc>
          <w:tcPr>
            <w:tcW w:type="dxa" w:w="41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p50 / p95 / p99 API and BigQuery latency by endpoint.</w:t>
            </w:r>
          </w:p>
        </w:tc>
        <w:tc>
          <w:tcPr>
            <w:tcW w:type="dxa" w:w="3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Investigate revision, query and capacity.</w:t>
            </w:r>
          </w:p>
        </w:tc>
      </w:tr>
      <w:tr>
        <w:tc>
          <w:tcPr>
            <w:tcW w:type="dxa" w:w="19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Errors</w:t>
            </w:r>
          </w:p>
        </w:tc>
        <w:tc>
          <w:tcPr>
            <w:tcW w:type="dxa" w:w="41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5xx and read / query failures.</w:t>
            </w:r>
          </w:p>
        </w:tc>
        <w:tc>
          <w:tcPr>
            <w:tcW w:type="dxa" w:w="3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Immediate alert at approved thresholds.</w:t>
            </w:r>
          </w:p>
        </w:tc>
      </w:tr>
      <w:tr>
        <w:tc>
          <w:tcPr>
            <w:tcW w:type="dxa" w:w="19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w:t>
            </w:r>
          </w:p>
        </w:tc>
        <w:tc>
          <w:tcPr>
            <w:tcW w:type="dxa" w:w="41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SSO / JWT failures, 401 / 403 spikes, Cloud Armor blocks.</w:t>
            </w:r>
          </w:p>
        </w:tc>
        <w:tc>
          <w:tcPr>
            <w:tcW w:type="dxa" w:w="3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 / operations triage.</w:t>
            </w:r>
          </w:p>
        </w:tc>
      </w:tr>
      <w:tr>
        <w:tc>
          <w:tcPr>
            <w:tcW w:type="dxa" w:w="19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Capacity / cost</w:t>
            </w:r>
          </w:p>
        </w:tc>
        <w:tc>
          <w:tcPr>
            <w:tcW w:type="dxa" w:w="41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 instances / concurrency, BigQuery bytes / quota.</w:t>
            </w:r>
          </w:p>
        </w:tc>
        <w:tc>
          <w:tcPr>
            <w:tcW w:type="dxa" w:w="3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Scale, config or cost-anomaly response.</w:t>
            </w:r>
          </w:p>
        </w:tc>
      </w:tr>
      <w:tr>
        <w:tc>
          <w:tcPr>
            <w:tcW w:type="dxa" w:w="19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Deployment</w:t>
            </w:r>
          </w:p>
        </w:tc>
        <w:tc>
          <w:tcPr>
            <w:tcW w:type="dxa" w:w="41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Revision change, rollback, failed health check.</w:t>
            </w:r>
          </w:p>
        </w:tc>
        <w:tc>
          <w:tcPr>
            <w:tcW w:type="dxa" w:w="3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Stop promotion and restore last approved digest.</w:t>
            </w:r>
          </w:p>
        </w:tc>
      </w:tr>
    </w:tbl>
    <w:p>
      <w:pPr>
        <w:pStyle w:val="Heading2"/>
        <w:spacing w:after="100" w:before="220"/>
      </w:pPr>
      <w:r>
        <w:rPr>
          <w:rFonts w:ascii="Vodafone Rg" w:cs="Vodafone Rg" w:eastAsia="Vodafone Rg" w:hAnsi="Vodafone Rg"/>
          <w:b/>
          <w:bCs/>
          <w:color w:val="007C92"/>
          <w:sz w:val="25"/>
          <w:szCs w:val="25"/>
        </w:rPr>
        <w:t xml:space="preserve">10.3 Support Model and RACI</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2400"/>
        <w:gridCol w:w="2400"/>
        <w:gridCol w:w="2226"/>
      </w:tblGrid>
      <w:tr>
        <w:trPr>
          <w:tblHeader/>
        </w:trPr>
        <w:tc>
          <w:tcPr>
            <w:tcW w:type="dxa" w:w="20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Activity</w:t>
            </w:r>
          </w:p>
        </w:tc>
        <w:tc>
          <w:tcPr>
            <w:tcW w:type="dxa" w:w="24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Accountable</w:t>
            </w:r>
          </w:p>
        </w:tc>
        <w:tc>
          <w:tcPr>
            <w:tcW w:type="dxa" w:w="24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Responsible</w:t>
            </w:r>
          </w:p>
        </w:tc>
        <w:tc>
          <w:tcPr>
            <w:tcW w:type="dxa" w:w="22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Consulted / informed</w:t>
            </w:r>
          </w:p>
        </w:tc>
      </w:tr>
      <w:tr>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L3</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Service owner (TBC)</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engineering</w:t>
            </w:r>
          </w:p>
        </w:tc>
        <w:tc>
          <w:tcPr>
            <w:tcW w:type="dxa" w:w="2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HR analytics, Security</w:t>
            </w:r>
          </w:p>
        </w:tc>
      </w:tr>
      <w:tr>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Platform incident</w:t>
            </w:r>
          </w:p>
        </w:tc>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PCS platform (TBC)</w:t>
            </w:r>
          </w:p>
        </w:tc>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Platform operations</w:t>
            </w:r>
          </w:p>
        </w:tc>
        <w:tc>
          <w:tcPr>
            <w:tcW w:type="dxa" w:w="2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Application owner</w:t>
            </w:r>
          </w:p>
        </w:tc>
      </w:tr>
      <w:tr>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 / BigQuery</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DataHub / analytics owner (TBC)</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Data engineering</w:t>
            </w:r>
          </w:p>
        </w:tc>
        <w:tc>
          <w:tcPr>
            <w:tcW w:type="dxa" w:w="2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 application</w:t>
            </w:r>
          </w:p>
        </w:tc>
      </w:tr>
      <w:tr>
        <w:tc>
          <w:tcPr>
            <w:tcW w:type="dxa" w:w="20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Security incident</w:t>
            </w:r>
          </w:p>
        </w:tc>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Cyber Security</w:t>
            </w:r>
          </w:p>
        </w:tc>
        <w:tc>
          <w:tcPr>
            <w:tcW w:type="dxa" w:w="24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SOC / IR plus service teams</w:t>
            </w:r>
          </w:p>
        </w:tc>
        <w:tc>
          <w:tcPr>
            <w:tcW w:type="dxa" w:w="2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Privacy / Information Owner</w:t>
            </w:r>
          </w:p>
        </w:tc>
      </w:tr>
      <w:tr>
        <w:tc>
          <w:tcPr>
            <w:tcW w:type="dxa" w:w="20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Release / change</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 / service owner</w:t>
            </w:r>
          </w:p>
        </w:tc>
        <w:tc>
          <w:tcPr>
            <w:tcW w:type="dxa" w:w="24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Engineering via approved pipeline</w:t>
            </w:r>
          </w:p>
        </w:tc>
        <w:tc>
          <w:tcPr>
            <w:tcW w:type="dxa" w:w="2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Operations, DA / SPDA</w:t>
            </w:r>
          </w:p>
        </w:tc>
      </w:tr>
    </w:tbl>
    <w:p>
      <w:pPr>
        <w:pStyle w:val="Heading2"/>
        <w:spacing w:after="100" w:before="220"/>
      </w:pPr>
      <w:r>
        <w:rPr>
          <w:rFonts w:ascii="Vodafone Rg" w:cs="Vodafone Rg" w:eastAsia="Vodafone Rg" w:hAnsi="Vodafone Rg"/>
          <w:b/>
          <w:bCs/>
          <w:color w:val="007C92"/>
          <w:sz w:val="25"/>
          <w:szCs w:val="25"/>
        </w:rPr>
        <w:t xml:space="preserve">10.4 Runbooks Required</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Application unavailable / IAP redirect failure.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Cloud Armor false positive or attack response.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BigQuery read failure or quota exhaustion.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Suspected unauthorized access or scope misconfiguration.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Rollback of a Cloud Run revision.</w:t>
      </w:r>
    </w:p>
    <w:p>
      <w:pPr>
        <w:pStyle w:val="Heading1"/>
        <w:spacing w:after="140" w:before="320"/>
      </w:pPr>
      <w:r>
        <w:rPr>
          <w:rFonts w:ascii="Vodafone Rg" w:cs="Vodafone Rg" w:eastAsia="Vodafone Rg" w:hAnsi="Vodafone Rg"/>
          <w:b/>
          <w:bCs/>
          <w:color w:val="E60000"/>
          <w:sz w:val="30"/>
          <w:szCs w:val="30"/>
        </w:rPr>
        <w:t xml:space="preserve">11. CI/CD and DevSecOps</w:t>
      </w:r>
    </w:p>
    <w:p>
      <w:pPr>
        <w:pStyle w:val="Heading2"/>
        <w:spacing w:after="100" w:before="220"/>
      </w:pPr>
      <w:r>
        <w:rPr>
          <w:rFonts w:ascii="Vodafone Rg" w:cs="Vodafone Rg" w:eastAsia="Vodafone Rg" w:hAnsi="Vodafone Rg"/>
          <w:b/>
          <w:bCs/>
          <w:color w:val="007C92"/>
          <w:sz w:val="25"/>
          <w:szCs w:val="25"/>
        </w:rPr>
        <w:t xml:space="preserve">11.1 Target Pipeline</w:t>
      </w:r>
    </w:p>
    <w:p>
      <w:pPr>
        <w:pStyle w:val="ListParagraph"/>
        <w:numPr>
          <w:ilvl w:val="0"/>
          <w:numId w:val="5"/>
        </w:numPr>
        <w:spacing w:after="60" w:line="268"/>
      </w:pPr>
      <w:r>
        <w:rPr>
          <w:rFonts w:ascii="Vodafone Rg" w:cs="Vodafone Rg" w:eastAsia="Vodafone Rg" w:hAnsi="Vodafone Rg"/>
          <w:color w:val="1A1A1A"/>
          <w:sz w:val="21"/>
          <w:szCs w:val="21"/>
        </w:rPr>
        <w:t xml:space="preserve">Application changes are developed and tested in the non-live environment before promotion to production.</w:t>
      </w:r>
    </w:p>
    <w:p>
      <w:pPr>
        <w:pStyle w:val="ListParagraph"/>
        <w:numPr>
          <w:ilvl w:val="0"/>
          <w:numId w:val="5"/>
        </w:numPr>
        <w:spacing w:after="60" w:line="268"/>
      </w:pPr>
      <w:r>
        <w:rPr>
          <w:rFonts w:ascii="Vodafone Rg" w:cs="Vodafone Rg" w:eastAsia="Vodafone Rg" w:hAnsi="Vodafone Rg"/>
          <w:color w:val="1A1A1A"/>
          <w:sz w:val="21"/>
          <w:szCs w:val="21"/>
        </w:rPr>
        <w:t xml:space="preserve">Source code is managed in GitHub using a branch-based workflow, with changes submitted through pull requests and reviewed before being merged into the main branch.</w:t>
      </w:r>
    </w:p>
    <w:p>
      <w:pPr>
        <w:pStyle w:val="ListParagraph"/>
        <w:numPr>
          <w:ilvl w:val="0"/>
          <w:numId w:val="5"/>
        </w:numPr>
        <w:spacing w:after="60" w:line="268"/>
      </w:pPr>
      <w:r>
        <w:rPr>
          <w:rFonts w:ascii="Vodafone Rg" w:cs="Vodafone Rg" w:eastAsia="Vodafone Rg" w:hAnsi="Vodafone Rg"/>
          <w:color w:val="1A1A1A"/>
          <w:sz w:val="21"/>
          <w:szCs w:val="21"/>
        </w:rPr>
        <w:t xml:space="preserve">The React frontend and the FastAPI backend are packaged as container images during the build process.</w:t>
      </w:r>
    </w:p>
    <w:p>
      <w:pPr>
        <w:pStyle w:val="ListParagraph"/>
        <w:numPr>
          <w:ilvl w:val="0"/>
          <w:numId w:val="5"/>
        </w:numPr>
        <w:spacing w:after="60" w:line="268"/>
      </w:pPr>
      <w:r>
        <w:rPr>
          <w:rFonts w:ascii="Vodafone Rg" w:cs="Vodafone Rg" w:eastAsia="Vodafone Rg" w:hAnsi="Vodafone Rg"/>
          <w:color w:val="1A1A1A"/>
          <w:sz w:val="21"/>
          <w:szCs w:val="21"/>
        </w:rPr>
        <w:t xml:space="preserve">CI/CD pipelines automatically build and validate application changes following code commits and merges in GitHub.</w:t>
      </w:r>
    </w:p>
    <w:p>
      <w:pPr>
        <w:pStyle w:val="ListParagraph"/>
        <w:numPr>
          <w:ilvl w:val="0"/>
          <w:numId w:val="5"/>
        </w:numPr>
        <w:spacing w:after="60" w:line="268"/>
      </w:pPr>
      <w:r>
        <w:rPr>
          <w:rFonts w:ascii="Vodafone Rg" w:cs="Vodafone Rg" w:eastAsia="Vodafone Rg" w:hAnsi="Vodafone Rg"/>
          <w:color w:val="1A1A1A"/>
          <w:sz w:val="21"/>
          <w:szCs w:val="21"/>
        </w:rPr>
        <w:t xml:space="preserve">Production deployments are executed through the Platform Team in accordance with the established release process.</w:t>
      </w:r>
    </w:p>
    <w:p>
      <w:pPr>
        <w:spacing w:after="60"/>
      </w:pPr>
      <w:r>
        <w:rPr>
          <w:sz w:val="12"/>
          <w:szCs w:val="12"/>
        </w:rPr>
        <w:t xml:space="preserve"/>
      </w:r>
    </w:p>
    <w:p>
      <w:pPr>
        <w:spacing w:after="60" w:before="100"/>
      </w:pPr>
      <w:r>
        <w:rPr>
          <w:rFonts w:ascii="Vodafone Rg" w:cs="Vodafone Rg" w:eastAsia="Vodafone Rg" w:hAnsi="Vodafone Rg"/>
          <w:b/>
          <w:bCs/>
          <w:color w:val="666666"/>
          <w:sz w:val="20"/>
          <w:szCs w:val="20"/>
        </w:rPr>
        <w:t xml:space="preserve">Figure 2. CI/CD and DevSecOps Pipeline</w:t>
      </w:r>
    </w:p>
    <w:p>
      <w:pPr>
        <w:spacing w:after="20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24075"/>
                    </a:xfrm>
                    <a:prstGeom prst="rect">
                      <a:avLst/>
                    </a:prstGeom>
                  </pic:spPr>
                </pic:pic>
              </a:graphicData>
            </a:graphic>
          </wp:inline>
        </w:drawing>
      </w:r>
    </w:p>
    <w:p>
      <w:pPr>
        <w:pStyle w:val="Heading2"/>
        <w:spacing w:after="100" w:before="220"/>
      </w:pPr>
      <w:r>
        <w:rPr>
          <w:rFonts w:ascii="Vodafone Rg" w:cs="Vodafone Rg" w:eastAsia="Vodafone Rg" w:hAnsi="Vodafone Rg"/>
          <w:b/>
          <w:bCs/>
          <w:color w:val="007C92"/>
          <w:sz w:val="25"/>
          <w:szCs w:val="25"/>
        </w:rPr>
        <w:t xml:space="preserve">11.2 Required Gates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5826"/>
      </w:tblGrid>
      <w:tr>
        <w:trPr>
          <w:tblHeader/>
        </w:trPr>
        <w:tc>
          <w:tcPr>
            <w:tcW w:type="dxa" w:w="32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Gate</w:t>
            </w:r>
          </w:p>
        </w:tc>
        <w:tc>
          <w:tcPr>
            <w:tcW w:type="dxa" w:w="58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Minimum approval behavior</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Peer review / branch protection</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Required approvals enforced before merge to main.</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SAST / SCA / secrets / container scan</w:t>
            </w:r>
          </w:p>
        </w:tc>
        <w:tc>
          <w:tcPr>
            <w:tcW w:type="dxa" w:w="5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Block on critical / high findings unless an approved, time-bound exception exists.</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Image signing / provenance</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Mandatory artifact evidence before production.</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IaC policy</w:t>
            </w:r>
          </w:p>
        </w:tc>
        <w:tc>
          <w:tcPr>
            <w:tcW w:type="dxa" w:w="5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Block public / unauthenticated ingress and broad IAM.</w:t>
            </w:r>
          </w:p>
        </w:tc>
      </w:tr>
      <w:tr>
        <w:tc>
          <w:tcPr>
            <w:tcW w:type="dxa" w:w="32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Test evidence</w:t>
            </w:r>
          </w:p>
        </w:tc>
        <w:tc>
          <w:tcPr>
            <w:tcW w:type="dxa" w:w="58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Unit, integration, authorization-negative and security tests attached to the release.</w:t>
            </w:r>
          </w:p>
        </w:tc>
      </w:tr>
      <w:tr>
        <w:tc>
          <w:tcPr>
            <w:tcW w:type="dxa" w:w="32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Production approval</w:t>
            </w:r>
          </w:p>
        </w:tc>
        <w:tc>
          <w:tcPr>
            <w:tcW w:type="dxa" w:w="58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Named change approver and operations readiness satisfied.</w:t>
            </w:r>
          </w:p>
        </w:tc>
      </w:tr>
    </w:tbl>
    <w:p>
      <w:pPr>
        <w:pStyle w:val="Heading2"/>
        <w:spacing w:after="100" w:before="220"/>
      </w:pPr>
      <w:r>
        <w:rPr>
          <w:rFonts w:ascii="Vodafone Rg" w:cs="Vodafone Rg" w:eastAsia="Vodafone Rg" w:hAnsi="Vodafone Rg"/>
          <w:b/>
          <w:bCs/>
          <w:color w:val="007C92"/>
          <w:sz w:val="25"/>
          <w:szCs w:val="25"/>
        </w:rPr>
        <w:t xml:space="preserve">11.3 Patch and Dependency Management</w:t>
      </w:r>
    </w:p>
    <w:p>
      <w:pPr>
        <w:spacing w:after="120" w:line="276"/>
      </w:pPr>
      <w:r>
        <w:rPr>
          <w:rFonts w:ascii="Vodafone Rg" w:cs="Vodafone Rg" w:eastAsia="Vodafone Rg" w:hAnsi="Vodafone Rg"/>
          <w:b w:val="false"/>
          <w:bCs w:val="false"/>
          <w:i w:val="false"/>
          <w:iCs w:val="false"/>
          <w:color w:val="1A1A1A"/>
          <w:sz w:val="21"/>
          <w:szCs w:val="21"/>
        </w:rPr>
        <w:t xml:space="preserve">Dependencies and base images are inventoried. Security advisories are triaged against Vodafone remediation timelines. The React / Node build tooling, the Python / FastAPI dependencies and the container base images are upgraded through tested releases. Emergency fixes use the same controlled build / sign / deploy path; manual production modification is prohibited.</w:t>
      </w:r>
    </w:p>
    <w:p>
      <w:pPr>
        <w:pStyle w:val="Heading1"/>
        <w:spacing w:after="140" w:before="320"/>
      </w:pPr>
      <w:r>
        <w:rPr>
          <w:rFonts w:ascii="Vodafone Rg" w:cs="Vodafone Rg" w:eastAsia="Vodafone Rg" w:hAnsi="Vodafone Rg"/>
          <w:b/>
          <w:bCs/>
          <w:color w:val="E60000"/>
          <w:sz w:val="30"/>
          <w:szCs w:val="30"/>
        </w:rPr>
        <w:t xml:space="preserve">12. Future Roadmap</w:t>
      </w:r>
    </w:p>
    <w:p>
      <w:pPr>
        <w:spacing w:after="60" w:before="60"/>
      </w:pPr>
      <w:r>
        <w:rPr>
          <w:rFonts w:ascii="Vodafone Rg" w:cs="Vodafone Rg" w:eastAsia="Vodafone Rg" w:hAnsi="Vodafone Rg"/>
          <w:b/>
          <w:bCs/>
          <w:color w:val="1A1A1A"/>
          <w:sz w:val="22"/>
          <w:szCs w:val="22"/>
        </w:rPr>
        <w:t xml:space="preserve">Phase 1 (Initial Release)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Dashboard with core analytics and driver visualizations.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Google Groups application access control, resolved through Identity-Aware Proxy.</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BigQuery Row-Level Security (by market) and Column-Level Security (Policy Tags) enforced at query time.</w:t>
      </w:r>
    </w:p>
    <w:p>
      <w:pPr>
        <w:spacing w:after="60" w:before="120"/>
      </w:pPr>
      <w:r>
        <w:rPr>
          <w:rFonts w:ascii="Vodafone Rg" w:cs="Vodafone Rg" w:eastAsia="Vodafone Rg" w:hAnsi="Vodafone Rg"/>
          <w:b/>
          <w:bCs/>
          <w:color w:val="1A1A1A"/>
          <w:sz w:val="22"/>
          <w:szCs w:val="22"/>
        </w:rPr>
        <w:t xml:space="preserve">Phase 2 (Future Enhancements)</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AI-powered natural-language interaction – Phase 2 future enhancement.</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In-dashboard chatbot for conversational insight – Phase 2 future enhancement.</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Simulation view allowing users to adjust factors and evaluate relative odds against a baseline.</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Overview page providing a consolidated summary of key metrics and insights.</w:t>
      </w:r>
    </w:p>
    <w:p>
      <w:pPr>
        <w:spacing w:after="100" w:line="276"/>
      </w:pPr>
      <w:r>
        <w:rPr>
          <w:rFonts w:ascii="Vodafone Rg" w:cs="Vodafone Rg" w:eastAsia="Vodafone Rg" w:hAnsi="Vodafone Rg"/>
          <w:b w:val="false"/>
          <w:bCs w:val="false"/>
          <w:i/>
          <w:iCs/>
          <w:color w:val="1A1A1A"/>
          <w:sz w:val="21"/>
          <w:szCs w:val="21"/>
        </w:rPr>
        <w:t xml:space="preserve">The Phase 1 architecture does not depend on any Phase 2 capability. AI capabilities are future enhancements and are not part of the Phase 1 production architecture.</w:t>
      </w:r>
    </w:p>
    <w:p>
      <w:pPr>
        <w:pStyle w:val="Heading1"/>
        <w:spacing w:after="140" w:before="320"/>
      </w:pPr>
      <w:r>
        <w:rPr>
          <w:rFonts w:ascii="Vodafone Rg" w:cs="Vodafone Rg" w:eastAsia="Vodafone Rg" w:hAnsi="Vodafone Rg"/>
          <w:b/>
          <w:bCs/>
          <w:color w:val="E60000"/>
          <w:sz w:val="30"/>
          <w:szCs w:val="30"/>
        </w:rPr>
        <w:t xml:space="preserve">13. Appendices</w:t>
      </w:r>
    </w:p>
    <w:p>
      <w:pPr>
        <w:pStyle w:val="Heading2"/>
        <w:spacing w:after="100" w:before="220"/>
      </w:pPr>
      <w:r>
        <w:rPr>
          <w:rFonts w:ascii="Vodafone Rg" w:cs="Vodafone Rg" w:eastAsia="Vodafone Rg" w:hAnsi="Vodafone Rg"/>
          <w:b/>
          <w:bCs/>
          <w:color w:val="007C92"/>
          <w:sz w:val="25"/>
          <w:szCs w:val="25"/>
        </w:rPr>
        <w:t xml:space="preserve">Appendix A – Glossary</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7226"/>
      </w:tblGrid>
      <w:tr>
        <w:trPr>
          <w:tblHeader/>
        </w:trPr>
        <w:tc>
          <w:tcPr>
            <w:tcW w:type="dxa" w:w="1800"/>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Term</w:t>
            </w:r>
          </w:p>
        </w:tc>
        <w:tc>
          <w:tcPr>
            <w:tcW w:type="dxa" w:w="7226"/>
            <w:shd w:fill="E60000" w:color="auto" w:val="clear"/>
            <w:tcMar>
              <w:top w:type="dxa" w:w="60"/>
              <w:left w:type="dxa" w:w="90"/>
              <w:bottom w:type="dxa" w:w="60"/>
              <w:right w:type="dxa" w:w="90"/>
            </w:tcMar>
          </w:tcPr>
          <w:p>
            <w:pPr>
              <w:spacing w:after="20" w:line="252"/>
            </w:pPr>
            <w:r>
              <w:rPr>
                <w:rFonts w:ascii="Vodafone Rg" w:cs="Vodafone Rg" w:eastAsia="Vodafone Rg" w:hAnsi="Vodafone Rg"/>
                <w:b/>
                <w:bCs/>
                <w:color w:val="FFFFFF"/>
                <w:sz w:val="20"/>
                <w:szCs w:val="20"/>
              </w:rPr>
              <w:t xml:space="preserve">Meaning</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BigQuery</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 Cloud managed data warehouse holding published analytics outputs and semantic views.</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Run</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Serverless container platform hosting the frontend and backend.</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IAP</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 Cloud Identity-Aware Proxy.</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Cloud Armor</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Google Cloud WAF and edge protection.</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SSO</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Corporate single sign-on, resolved through Identity-Aware Proxy.</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RLS</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Row-Level Security in BigQuery, restricting rows by market.</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CLS</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Column-Level Security in BigQuery, restricting sensitive columns.</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Policy Tags</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BigQuery taxonomy tags used to apply Column-Level Security and pseudo-anonymization.</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Pseudo-anonymization</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Protection of applicable columns so that raw sensitive values are not exposed to the application.</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SPDA</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Vodafone security / privacy design assurance process.</w:t>
            </w:r>
          </w:p>
        </w:tc>
      </w:tr>
      <w:tr>
        <w:tc>
          <w:tcPr>
            <w:tcW w:type="dxa" w:w="1800"/>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C3</w:t>
            </w:r>
          </w:p>
        </w:tc>
        <w:tc>
          <w:tcPr>
            <w:tcW w:type="dxa" w:w="7226"/>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Vodafone classification / handling level for the application; final designation by the Information Owner.</w:t>
            </w:r>
          </w:p>
        </w:tc>
      </w:tr>
      <w:tr>
        <w:tc>
          <w:tcPr>
            <w:tcW w:type="dxa" w:w="1800"/>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UAM</w:t>
            </w:r>
          </w:p>
        </w:tc>
        <w:tc>
          <w:tcPr>
            <w:tcW w:type="dxa" w:w="7226"/>
            <w:shd w:fill="F5F5F5" w:color="auto" w:val="clear"/>
            <w:tcMar>
              <w:top w:type="dxa" w:w="50"/>
              <w:left w:type="dxa" w:w="90"/>
              <w:bottom w:type="dxa" w:w="50"/>
              <w:right w:type="dxa" w:w="90"/>
            </w:tcMar>
          </w:tcPr>
          <w:p>
            <w:pPr>
              <w:spacing w:after="20" w:line="252"/>
            </w:pPr>
            <w:r>
              <w:rPr>
                <w:rFonts w:ascii="Vodafone Rg" w:cs="Vodafone Rg" w:eastAsia="Vodafone Rg" w:hAnsi="Vodafone Rg"/>
                <w:b w:val="false"/>
                <w:bCs w:val="false"/>
                <w:color w:val="1A1A1A"/>
                <w:sz w:val="20"/>
                <w:szCs w:val="20"/>
              </w:rPr>
              <w:t xml:space="preserve">User Access Management.</w:t>
            </w:r>
          </w:p>
        </w:tc>
      </w:tr>
    </w:tbl>
    <w:p>
      <w:pPr>
        <w:pStyle w:val="Heading2"/>
        <w:spacing w:after="100" w:before="220"/>
      </w:pPr>
      <w:r>
        <w:rPr>
          <w:rFonts w:ascii="Vodafone Rg" w:cs="Vodafone Rg" w:eastAsia="Vodafone Rg" w:hAnsi="Vodafone Rg"/>
          <w:b/>
          <w:bCs/>
          <w:color w:val="007C92"/>
          <w:sz w:val="25"/>
          <w:szCs w:val="25"/>
        </w:rPr>
        <w:t xml:space="preserve">Appendix B – Source Register</w:t>
      </w:r>
    </w:p>
    <w:p>
      <w:pPr>
        <w:spacing w:after="120" w:line="276"/>
      </w:pPr>
      <w:r>
        <w:rPr>
          <w:rFonts w:ascii="Vodafone Rg" w:cs="Vodafone Rg" w:eastAsia="Vodafone Rg" w:hAnsi="Vodafone Rg"/>
          <w:b w:val="false"/>
          <w:bCs w:val="false"/>
          <w:i w:val="false"/>
          <w:iCs w:val="false"/>
          <w:color w:val="1A1A1A"/>
          <w:sz w:val="21"/>
          <w:szCs w:val="21"/>
        </w:rPr>
        <w:t xml:space="preserve">This HLD was grounded in the following sources. Where it proposes a control or governance detail not explicitly present in these sources, that item is marked TBC and remains subject to Vodafone policy and reviewer confirmation.</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HR Insights Platform baseline HLD – primary baseline for data, access, security and operations content.</w:t>
      </w:r>
    </w:p>
    <w:p>
      <w:pPr>
        <w:pStyle w:val="ListParagraph"/>
        <w:numPr>
          <w:ilvl w:val="0"/>
          <w:numId w:val="2"/>
        </w:numPr>
        <w:spacing w:after="60" w:line="268"/>
      </w:pPr>
      <w:r>
        <w:rPr>
          <w:rFonts w:ascii="Vodafone Rg" w:cs="Vodafone Rg" w:eastAsia="Vodafone Rg" w:hAnsi="Vodafone Rg"/>
          <w:b w:val="false"/>
          <w:bCs w:val="false"/>
          <w:color w:val="1A1A1A"/>
          <w:sz w:val="21"/>
          <w:szCs w:val="21"/>
        </w:rPr>
        <w:t xml:space="preserve">Latest HR Insights Platform solution architecture diagram – authoritative source for the target architecture, components and data 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60000"/>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odafone Rg" w:cs="Vodafone Rg" w:eastAsia="Vodafone Rg" w:hAnsi="Vodafone Rg"/>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40"/>
    </w:pPr>
    <w:rPr>
      <w:rFonts w:ascii="Vodafone Rg" w:cs="Vodafone Rg" w:eastAsia="Vodafone Rg" w:hAnsi="Vodafone Rg"/>
      <w:b w:val="false"/>
      <w:bCs w:val="false"/>
      <w:color w:val="2D2D2D"/>
      <w:sz w:val="18"/>
      <w:szCs w:val="18"/>
    </w:rPr>
  </w:style>
  <w:style w:type="paragraph" w:styleId="TOC2">
    <w:name w:val="TOC 2"/>
    <w:basedOn w:val="Normal"/>
    <w:next w:val="Normal"/>
    <w:pPr>
      <w:spacing w:after="30"/>
      <w:ind w:left="360"/>
    </w:pPr>
    <w:rPr>
      <w:rFonts w:ascii="Vodafone Rg" w:cs="Vodafone Rg" w:eastAsia="Vodafone Rg" w:hAnsi="Vodafone Rg"/>
      <w:b w:val="false"/>
      <w:bCs w:val="false"/>
      <w:color w:val="2D2D2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a40a15700402cec1562a7000123eef82899ddf.png"/><Relationship Id="rId8" Type="http://schemas.openxmlformats.org/officeDocument/2006/relationships/image" Target="media/6405fe449d533facbf6326e3f616974d5d46de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Insights Platform - High-Level Design</dc:title>
  <dc:creator>HR Insights Platform</dc:creator>
  <cp:lastModifiedBy>Un-named</cp:lastModifiedBy>
  <cp:revision>1</cp:revision>
  <dcterms:created xsi:type="dcterms:W3CDTF">2026-09-11T12:08:49.230Z</dcterms:created>
  <dcterms:modified xsi:type="dcterms:W3CDTF">2026-09-11T12:08:49.240Z</dcterms:modified>
</cp:coreProperties>
</file>

<file path=docProps/custom.xml><?xml version="1.0" encoding="utf-8"?>
<Properties xmlns="http://schemas.openxmlformats.org/officeDocument/2006/custom-properties" xmlns:vt="http://schemas.openxmlformats.org/officeDocument/2006/docPropsVTypes"/>
</file>