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Anes Šaruk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Anes Šarukić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Anes Šarukić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ID:ITCamp2022/16.5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