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Araştırma soruları birbirine bağlıdır.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Kırâatlerin aslî kaynağı, telakki ve müşâfehe yoluyla sürdürülen, edâ ve isnadla denetlenen rivâyet geleneğidir.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iki terim, kapsamları farklı olduğu için bağlama göre ayrı kullanılmalıdır.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w:r>
      <w:proofErr w:type="gramStart"/>
      <w:r>
        <w:rPr>
          <w:color w:val="FF0000"/>
        </w:rPr>
        <w:t/>
      </w:r>
      <w:proofErr w:type="gramEnd"/>
      <w:r>
        <w:rPr>
          <w:color w:val="FF0000"/>
        </w:rPr>
        <w:t xml:space="preserve"/>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w:r>
      <w:proofErr w:type="gramStart"/>
      <w:r>
        <w:rPr>
          <w:color w:val="FF0000"/>
        </w:rPr>
        <w:t/>
      </w:r>
      <w:proofErr w:type="gramEnd"/>
      <w:r>
        <w:rPr>
          <w:color w:val="FF0000"/>
        </w:rPr>
        <w:t xml:space="preserve"/>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
      </w:r>
      <w:r w:rsidRPr="00534B75">
        <w:rPr>
          <w:color w:val="FF0000"/>
        </w:rPr>
        <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
      </w:r>
      <w:proofErr w:type="gramEnd"/>
      <w:r>
        <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