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jc w:val="center"/>
      </w:pPr>
      <w:r>
        <w:rPr>
          <w:rFonts w:ascii="Aptos" w:hAnsi="Aptos" w:cs="Aptos" w:eastAsia="Aptos"/>
          <w:b/>
          <w:sz w:val="40"/>
        </w:rPr>
        <w:t>KIRÂATLERİN RİVAYETİNDE</w:t>
        <w:br/>
        <w:t>RESM-İ MUSHAF’IN ETKİSİ</w:t>
      </w:r>
    </w:p>
    <w:p>
      <w:pPr>
        <w:spacing w:before="360"/>
        <w:jc w:val="center"/>
      </w:pPr>
      <w:r>
        <w:rPr>
          <w:rFonts w:ascii="Aptos" w:hAnsi="Aptos" w:cs="Aptos" w:eastAsia="Aptos"/>
          <w:b/>
          <w:sz w:val="30"/>
        </w:rPr>
        <w:t>BİRLEŞİK NİHAİ AKADEMİK, METİNSEL,</w:t>
        <w:br/>
        <w:t>EDİTORYAL VE YAYIN ÖNCESİ DENETİM RAPORU</w:t>
      </w:r>
    </w:p>
    <w:p>
      <w:pPr>
        <w:spacing w:before="480"/>
        <w:jc w:val="center"/>
      </w:pPr>
      <w:r>
        <w:rPr>
          <w:rFonts w:ascii="Aptos" w:hAnsi="Aptos" w:cs="Aptos" w:eastAsia="Aptos"/>
          <w:i/>
          <w:sz w:val="22"/>
        </w:rPr>
        <w:t>Birinci, ikinci ve üçüncü denetim raporlarının tek dosyada bütünleştirilmiş sürümü</w:t>
      </w:r>
    </w:p>
    <w:p>
      <w:pPr>
        <w:spacing w:before="240"/>
        <w:jc w:val="center"/>
      </w:pPr>
      <w:r>
        <w:rPr>
          <w:rFonts w:ascii="Aptos" w:hAnsi="Aptos" w:cs="Aptos" w:eastAsia="Aptos"/>
          <w:sz w:val="20"/>
        </w:rPr>
        <w:t>Dış kaynak kullanılmamıştır. Birleşik rapor yalnız proje dosyaları ve üç önceki denetim raporunun bulgularını içerir.</w:t>
      </w:r>
    </w:p>
    <w:p>
      <w:r>
        <w:br w:type="page"/>
      </w:r>
    </w:p>
    <w:p>
      <w:pPr>
        <w:pStyle w:val="Heading1"/>
        <w:keepNext/>
      </w:pPr>
      <w:r>
        <w:t>Birleşik Raporun İşlevi ve Üç Raporun Birbiriyle İlişkisi</w:t>
      </w:r>
    </w:p>
    <w:p>
      <w:pPr>
        <w:spacing w:after="140"/>
      </w:pPr>
      <w:r>
        <w:rPr>
          <w:rFonts w:ascii="Aptos" w:hAnsi="Aptos" w:cs="Aptos" w:eastAsia="Aptos"/>
          <w:b w:val="0"/>
          <w:sz w:val="21"/>
        </w:rPr>
        <w:t>Bu birleşik dosya üç raporu tek bir çalışma belgesinde toplar. Üçüncü rapor, ilk iki raporun tam metinlerinin yerine geçen bağımsız bir nihai rapor değildir. Birinci rapordaki bilimsel, kavramsal, kaynak, dipnot ve teknik gerekçeleri; ikinci rapordaki paragraf akışı, geçiş, tekrar ve formülaik anlatım analizlerini kısaltarak uygulama listelerine dönüştürür. Bu nedenle üçüncü rapor tek başına kullanıldığında ilk iki rapordaki ayrıntılı gerekçelerin ve doğrudan metin önerilerinin bir kısmı görünmez kalır.</w:t>
      </w:r>
    </w:p>
    <w:p>
      <w:pPr>
        <w:spacing w:after="140"/>
      </w:pPr>
      <w:r>
        <w:rPr>
          <w:rFonts w:ascii="Aptos" w:hAnsi="Aptos" w:cs="Aptos" w:eastAsia="Aptos"/>
          <w:b w:val="0"/>
          <w:sz w:val="21"/>
        </w:rPr>
        <w:t>Bu dosyada söz konusu ayrıntı kaybını önlemek için üç raporun tamamı tek bir hiyerarşi altında korunmuştur. Aynı mesele birden fazla raporda görünüyorsa bu her zaman gereksiz tekrar değildir: Birinci bölümde sorun bilimsel veya kavramsal gerekçesiyle, ikinci bölümde metinsel akış ve üslup boyutuyla, üçüncü bölümde ise uygulanacak işlem ve kapatma statüsüyle ele alınmış olabilir.</w:t>
      </w:r>
    </w:p>
    <w:p>
      <w:pPr>
        <w:spacing w:after="140"/>
      </w:pPr>
      <w:r>
        <w:rPr>
          <w:rFonts w:ascii="Aptos" w:hAnsi="Aptos" w:cs="Aptos" w:eastAsia="Aptos"/>
          <w:b w:val="0"/>
          <w:sz w:val="21"/>
        </w:rPr>
        <w:t>Pratik kullanımda Birinci Kısım, “neden düzeltilmeli?” sorusunun bilimsel ve editoryal cevabını; İkinci Kısım, “metnin akışı ve doğal akademik dili nasıl iyileştirilmeli?” sorusunun cevabını; Üçüncü Kısım ise “hangi işler manuscript üzerinde hâlâ kapatılmadı ve hangi sırayla uygulanmalı?” sorusunun cevabını verir. Böylece bu birleşik dosya, bundan sonraki düzeltmeler için tek ana kontrol belgesi olarak kullanılabilir.</w:t>
      </w:r>
    </w:p>
    <w:p>
      <w:pPr>
        <w:spacing w:after="140"/>
      </w:pPr>
      <w:r>
        <w:rPr>
          <w:rFonts w:ascii="Aptos" w:hAnsi="Aptos" w:cs="Aptos" w:eastAsia="Aptos"/>
          <w:b/>
          <w:sz w:val="21"/>
        </w:rPr>
        <w:t>Kitap manuscripti bu birleştirme sırasında değiştirilmemiştir. Üç raporda öneri, kaynak kontrolü, yeniden yazım, silme, birleştirme veya teknik düzeltme olarak belirtilen hususlar, ana kitap dosyasına ayrıca uygulanmadıkça çözülmüş sayılmamalıdır.</w:t>
      </w:r>
    </w:p>
    <w:p>
      <w:pPr>
        <w:pStyle w:val="Heading2"/>
        <w:keepNext/>
      </w:pPr>
      <w:r>
        <w:t>Birleşik Raporun Okuma Sırası</w:t>
      </w:r>
    </w:p>
    <w:p>
      <w:pPr>
        <w:pStyle w:val="ListBullet"/>
        <w:spacing w:after="60"/>
      </w:pPr>
      <w:r>
        <w:t>Birinci Kısım: Kapsamlı akademik, bilimsel, editoryal ve teknik denetim.</w:t>
      </w:r>
    </w:p>
    <w:p>
      <w:pPr>
        <w:pStyle w:val="ListBullet"/>
        <w:spacing w:after="60"/>
      </w:pPr>
      <w:r>
        <w:t>İkinci Kısım: Metinsel akış, geçiş, tekrar ve formülaik anlatım denetimi.</w:t>
      </w:r>
    </w:p>
    <w:p>
      <w:pPr>
        <w:pStyle w:val="ListBullet"/>
        <w:spacing w:after="60"/>
      </w:pPr>
      <w:r>
        <w:t>Üçüncü Kısım: Kalan düzeltmeler, redaktör işaretleri, kapatma matrisi ve yayın öncesi uygulama kontrolü.</w:t>
      </w:r>
    </w:p>
    <w:p>
      <w:pPr>
        <w:pStyle w:val="ListBullet"/>
        <w:spacing w:after="60"/>
      </w:pPr>
      <w:r>
        <w:t>Son uygulama yapılırken Üçüncü Kısım ana checklist olarak; ayrıntılı gerekçe gerektiğinde Birinci ve İkinci Kısımlar referans olarak kullanılmalıdır.</w:t>
      </w:r>
    </w:p>
    <w:p>
      <w:r>
        <w:br w:type="page"/>
      </w:r>
    </w:p>
    <w:p>
      <w:pPr>
        <w:pStyle w:val="Heading1"/>
        <w:keepNext/>
        <w:pageBreakBefore/>
      </w:pPr>
      <w:r>
        <w:t>BİRİNCİ KISIM — Kapsamlı Akademik, Bilimsel, Editoryal ve Teknik Denetim</w:t>
      </w:r>
    </w:p>
    <w:p>
      <w:pPr>
        <w:spacing w:after="200"/>
      </w:pPr>
      <w:r>
        <w:rPr>
          <w:rFonts w:ascii="Aptos" w:hAnsi="Aptos" w:cs="Aptos" w:eastAsia="Aptos"/>
          <w:i/>
          <w:sz w:val="21"/>
        </w:rPr>
        <w:t>Birinci raporun ayrıntılı bilimsel, kavramsal, kaynak, dipnot, kaynakça, dil ve Word/teknik denetim bulguları.</w:t>
      </w:r>
    </w:p>
    <w:p>
      <w:pPr>
        <w:pStyle w:val="Heading2"/>
        <w:keepNext/>
        <w:keepLines/>
      </w:pPr>
      <w:r>
        <w:t>Raporun Kullanımı ve Denetim Sınırı</w:t>
      </w:r>
    </w:p>
    <w:p>
      <w:pPr/>
      <w:r>
        <w:t>Bu rapor güncel redaktör nüshasını ana inceleme metni kabul eder. Eski sürüm yalnız değişiklikleri anlamak, önceki bulguların durumunu denetlemek ve ankraj etkisini azaltan bağımsız taramadan sonra çapraz kontrol yapmak amacıyla kullanılmıştır. “Düzeltilecekler” dosyasındaki 17 madde zorunlu kontrol listesi olarak ele alınmıştır.</w:t>
      </w:r>
    </w:p>
    <w:p>
      <w:pPr/>
      <w:r>
        <w:t>Dış internet veya yeni literatür kullanılmamıştır. Bu nedenle bir dipnotun veya kaynağın içeriği proje dosyasında doğrudan doğrulanamadığında sonuç kesinleştirilmemiş, “Kaynak kontrolü gerekli” notu verilmiştir. Rapor, biçimsel olarak kusursuz görünen fakat doğrulanmamış yeni künye, sayfa, tarih veya görüş üretmez.</w:t>
      </w:r>
    </w:p>
    <w:p>
      <w:pPr/>
      <w:r>
        <w:t>Teknik denetimde DOCX paket yapısı, Word alanları, dipnotlar, stiller, kırmızı metinler ve Arapça RTL özellikleri ayrıca taranmıştır. Kaynak dosyanın karmaşık aktif Zotero/TOC alanları nedeniyle tam kaynak belgeyi LibreOffice ile kararlı biçimde bütün sayfalarıyla yeniden render etmek mümkün olmamıştır; bu nedenle Arapça dipnot işaretlerinin nihai görsel konumu için PDF prova aşaması ayrıca zorunludur.</w:t>
      </w:r>
    </w:p>
    <w:tbl>
      <w:tblPr>
        <w:tblStyle w:val="TableGrid"/>
        <w:tblW w:type="auto" w:w="0"/>
        <w:jc w:val="center"/>
        <w:tblLook w:firstColumn="1" w:firstRow="1" w:lastColumn="0" w:lastRow="0" w:noHBand="0" w:noVBand="1" w:val="04A0"/>
      </w:tblPr>
      <w:tblGrid>
        <w:gridCol w:w="4844"/>
        <w:gridCol w:w="4844"/>
      </w:tblGrid>
      <w:tr>
        <w:trPr>
          <w:cantSplit/>
          <w:cantSplit/>
        </w:trPr>
        <w:tc>
          <w:tcPr>
            <w:tcW w:type="dxa" w:w="3402"/>
            <w:shd w:fill="D9E2F3"/>
            <w:vAlign w:val="center"/>
          </w:tcPr>
          <w:p>
            <w:r>
              <w:rPr>
                <w:rFonts w:ascii="Times New Roman" w:hAnsi="Times New Roman"/>
                <w:b/>
                <w:sz w:val="16"/>
              </w:rPr>
              <w:t>Denetim kalemi</w:t>
            </w:r>
          </w:p>
        </w:tc>
        <w:tc>
          <w:tcPr>
            <w:tcW w:type="dxa" w:w="6236"/>
            <w:shd w:fill="D9E2F3"/>
            <w:vAlign w:val="center"/>
          </w:tcPr>
          <w:p>
            <w:r>
              <w:rPr>
                <w:rFonts w:ascii="Times New Roman" w:hAnsi="Times New Roman"/>
                <w:b/>
                <w:sz w:val="16"/>
              </w:rPr>
              <w:t>Güncel bulgu</w:t>
            </w:r>
          </w:p>
        </w:tc>
      </w:tr>
      <w:tr>
        <w:trPr>
          <w:cantSplit/>
          <w:cantSplit/>
        </w:trPr>
        <w:tc>
          <w:tcPr>
            <w:tcW w:type="dxa" w:w="3402"/>
            <w:vAlign w:val="top"/>
          </w:tcPr>
          <w:p>
            <w:pPr>
              <w:spacing w:after="0" w:line="240" w:lineRule="auto"/>
            </w:pPr>
            <w:r>
              <w:rPr>
                <w:rFonts w:ascii="Times New Roman" w:hAnsi="Times New Roman"/>
                <w:sz w:val="16"/>
              </w:rPr>
              <w:t>Doğrudan gövde paragrafı</w:t>
            </w:r>
          </w:p>
        </w:tc>
        <w:tc>
          <w:tcPr>
            <w:tcW w:type="dxa" w:w="6236"/>
            <w:vAlign w:val="top"/>
          </w:tcPr>
          <w:p>
            <w:pPr>
              <w:spacing w:after="0" w:line="240" w:lineRule="auto"/>
            </w:pPr>
            <w:r>
              <w:rPr>
                <w:rFonts w:ascii="Times New Roman" w:hAnsi="Times New Roman"/>
                <w:sz w:val="16"/>
              </w:rPr>
              <w:t>711</w:t>
            </w:r>
          </w:p>
        </w:tc>
      </w:tr>
      <w:tr>
        <w:trPr>
          <w:cantSplit/>
          <w:cantSplit/>
        </w:trPr>
        <w:tc>
          <w:tcPr>
            <w:tcW w:type="dxa" w:w="3402"/>
            <w:vAlign w:val="top"/>
          </w:tcPr>
          <w:p>
            <w:pPr>
              <w:spacing w:after="0" w:line="240" w:lineRule="auto"/>
            </w:pPr>
            <w:r>
              <w:rPr>
                <w:rFonts w:ascii="Times New Roman" w:hAnsi="Times New Roman"/>
                <w:sz w:val="16"/>
              </w:rPr>
              <w:t>Gerçek numaralı Word dipnotu</w:t>
            </w:r>
          </w:p>
        </w:tc>
        <w:tc>
          <w:tcPr>
            <w:tcW w:type="dxa" w:w="6236"/>
            <w:vAlign w:val="top"/>
          </w:tcPr>
          <w:p>
            <w:pPr>
              <w:spacing w:after="0" w:line="240" w:lineRule="auto"/>
            </w:pPr>
            <w:r>
              <w:rPr>
                <w:rFonts w:ascii="Times New Roman" w:hAnsi="Times New Roman"/>
                <w:sz w:val="16"/>
              </w:rPr>
              <w:t>469 (1–469)</w:t>
            </w:r>
          </w:p>
        </w:tc>
      </w:tr>
      <w:tr>
        <w:trPr>
          <w:cantSplit/>
          <w:cantSplit/>
        </w:trPr>
        <w:tc>
          <w:tcPr>
            <w:tcW w:type="dxa" w:w="3402"/>
            <w:vAlign w:val="top"/>
          </w:tcPr>
          <w:p>
            <w:pPr>
              <w:spacing w:after="0" w:line="240" w:lineRule="auto"/>
            </w:pPr>
            <w:r>
              <w:rPr>
                <w:rFonts w:ascii="Times New Roman" w:hAnsi="Times New Roman"/>
                <w:sz w:val="16"/>
              </w:rPr>
              <w:t>Kaynakça kaydı</w:t>
            </w:r>
          </w:p>
        </w:tc>
        <w:tc>
          <w:tcPr>
            <w:tcW w:type="dxa" w:w="6236"/>
            <w:vAlign w:val="top"/>
          </w:tcPr>
          <w:p>
            <w:pPr>
              <w:spacing w:after="0" w:line="240" w:lineRule="auto"/>
            </w:pPr>
            <w:r>
              <w:rPr>
                <w:rFonts w:ascii="Times New Roman" w:hAnsi="Times New Roman"/>
                <w:sz w:val="16"/>
              </w:rPr>
              <w:t>Yaklaşık 215 paragraf/kayıt</w:t>
            </w:r>
          </w:p>
        </w:tc>
      </w:tr>
      <w:tr>
        <w:trPr>
          <w:cantSplit/>
          <w:cantSplit/>
        </w:trPr>
        <w:tc>
          <w:tcPr>
            <w:tcW w:type="dxa" w:w="3402"/>
            <w:vAlign w:val="top"/>
          </w:tcPr>
          <w:p>
            <w:pPr>
              <w:spacing w:after="0" w:line="240" w:lineRule="auto"/>
            </w:pPr>
            <w:r>
              <w:rPr>
                <w:rFonts w:ascii="Times New Roman" w:hAnsi="Times New Roman"/>
                <w:sz w:val="16"/>
              </w:rPr>
              <w:t>Kırmızı içerik taşıyan doğrudan gövde paragrafı</w:t>
            </w:r>
          </w:p>
        </w:tc>
        <w:tc>
          <w:tcPr>
            <w:tcW w:type="dxa" w:w="6236"/>
            <w:vAlign w:val="top"/>
          </w:tcPr>
          <w:p>
            <w:pPr>
              <w:spacing w:after="0" w:line="240" w:lineRule="auto"/>
            </w:pPr>
            <w:r>
              <w:rPr>
                <w:rFonts w:ascii="Times New Roman" w:hAnsi="Times New Roman"/>
                <w:sz w:val="16"/>
              </w:rPr>
              <w:t>184</w:t>
            </w:r>
          </w:p>
        </w:tc>
      </w:tr>
      <w:tr>
        <w:trPr>
          <w:cantSplit/>
          <w:cantSplit/>
        </w:trPr>
        <w:tc>
          <w:tcPr>
            <w:tcW w:type="dxa" w:w="3402"/>
            <w:vAlign w:val="top"/>
          </w:tcPr>
          <w:p>
            <w:pPr>
              <w:spacing w:after="0" w:line="240" w:lineRule="auto"/>
            </w:pPr>
            <w:r>
              <w:rPr>
                <w:rFonts w:ascii="Times New Roman" w:hAnsi="Times New Roman"/>
                <w:sz w:val="16"/>
              </w:rPr>
              <w:t>Arapça karakter içeren gövde paragrafı</w:t>
            </w:r>
          </w:p>
        </w:tc>
        <w:tc>
          <w:tcPr>
            <w:tcW w:type="dxa" w:w="6236"/>
            <w:vAlign w:val="top"/>
          </w:tcPr>
          <w:p>
            <w:pPr>
              <w:spacing w:after="0" w:line="240" w:lineRule="auto"/>
            </w:pPr>
            <w:r>
              <w:rPr>
                <w:rFonts w:ascii="Times New Roman" w:hAnsi="Times New Roman"/>
                <w:sz w:val="16"/>
              </w:rPr>
              <w:t>60</w:t>
            </w:r>
          </w:p>
        </w:tc>
      </w:tr>
      <w:tr>
        <w:trPr>
          <w:cantSplit/>
          <w:cantSplit/>
        </w:trPr>
        <w:tc>
          <w:tcPr>
            <w:tcW w:type="dxa" w:w="3402"/>
            <w:vAlign w:val="top"/>
          </w:tcPr>
          <w:p>
            <w:pPr>
              <w:spacing w:after="0" w:line="240" w:lineRule="auto"/>
            </w:pPr>
            <w:r>
              <w:rPr>
                <w:rFonts w:ascii="Times New Roman" w:hAnsi="Times New Roman"/>
                <w:sz w:val="16"/>
              </w:rPr>
              <w:t>Arapça + dipnot referansı içeren paragraf</w:t>
            </w:r>
          </w:p>
        </w:tc>
        <w:tc>
          <w:tcPr>
            <w:tcW w:type="dxa" w:w="6236"/>
            <w:vAlign w:val="top"/>
          </w:tcPr>
          <w:p>
            <w:pPr>
              <w:spacing w:after="0" w:line="240" w:lineRule="auto"/>
            </w:pPr>
            <w:r>
              <w:rPr>
                <w:rFonts w:ascii="Times New Roman" w:hAnsi="Times New Roman"/>
                <w:sz w:val="16"/>
              </w:rPr>
              <w:t>53</w:t>
            </w:r>
          </w:p>
        </w:tc>
      </w:tr>
      <w:tr>
        <w:trPr>
          <w:cantSplit/>
          <w:cantSplit/>
        </w:trPr>
        <w:tc>
          <w:tcPr>
            <w:tcW w:type="dxa" w:w="3402"/>
            <w:vAlign w:val="top"/>
          </w:tcPr>
          <w:p>
            <w:pPr>
              <w:spacing w:after="0" w:line="240" w:lineRule="auto"/>
            </w:pPr>
            <w:r>
              <w:rPr>
                <w:rFonts w:ascii="Times New Roman" w:hAnsi="Times New Roman"/>
                <w:sz w:val="16"/>
              </w:rPr>
              <w:t>Bu referanslardan RTL işaretli olan</w:t>
            </w:r>
          </w:p>
        </w:tc>
        <w:tc>
          <w:tcPr>
            <w:tcW w:type="dxa" w:w="6236"/>
            <w:vAlign w:val="top"/>
          </w:tcPr>
          <w:p>
            <w:pPr>
              <w:spacing w:after="0" w:line="240" w:lineRule="auto"/>
            </w:pPr>
            <w:r>
              <w:rPr>
                <w:rFonts w:ascii="Times New Roman" w:hAnsi="Times New Roman"/>
                <w:sz w:val="16"/>
              </w:rPr>
              <w:t>1</w:t>
            </w:r>
          </w:p>
        </w:tc>
      </w:tr>
      <w:tr>
        <w:trPr>
          <w:cantSplit/>
          <w:cantSplit/>
        </w:trPr>
        <w:tc>
          <w:tcPr>
            <w:tcW w:type="dxa" w:w="3402"/>
            <w:vAlign w:val="top"/>
          </w:tcPr>
          <w:p>
            <w:pPr>
              <w:spacing w:after="0" w:line="240" w:lineRule="auto"/>
            </w:pPr>
            <w:r>
              <w:rPr>
                <w:rFonts w:ascii="Times New Roman" w:hAnsi="Times New Roman"/>
                <w:sz w:val="16"/>
              </w:rPr>
              <w:t>Gövde paragraf stilleri</w:t>
            </w:r>
          </w:p>
        </w:tc>
        <w:tc>
          <w:tcPr>
            <w:tcW w:type="dxa" w:w="6236"/>
            <w:vAlign w:val="top"/>
          </w:tcPr>
          <w:p>
            <w:pPr>
              <w:spacing w:after="0" w:line="240" w:lineRule="auto"/>
            </w:pPr>
            <w:r>
              <w:rPr>
                <w:rFonts w:ascii="Times New Roman" w:hAnsi="Times New Roman"/>
                <w:sz w:val="16"/>
              </w:rPr>
              <w:t>711 paragrafın tamamı doğrudan Heading değil / temel paragraf düzeyinde</w:t>
            </w:r>
          </w:p>
        </w:tc>
      </w:tr>
      <w:tr>
        <w:trPr>
          <w:cantSplit/>
          <w:cantSplit/>
        </w:trPr>
        <w:tc>
          <w:tcPr>
            <w:tcW w:type="dxa" w:w="3402"/>
            <w:vAlign w:val="top"/>
          </w:tcPr>
          <w:p>
            <w:pPr>
              <w:spacing w:after="0" w:line="240" w:lineRule="auto"/>
            </w:pPr>
            <w:r>
              <w:rPr>
                <w:rFonts w:ascii="Times New Roman" w:hAnsi="Times New Roman"/>
                <w:sz w:val="16"/>
              </w:rPr>
              <w:t>Aktif alanlar</w:t>
            </w:r>
          </w:p>
        </w:tc>
        <w:tc>
          <w:tcPr>
            <w:tcW w:type="dxa" w:w="6236"/>
            <w:vAlign w:val="top"/>
          </w:tcPr>
          <w:p>
            <w:pPr>
              <w:spacing w:after="0" w:line="240" w:lineRule="auto"/>
            </w:pPr>
            <w:r>
              <w:rPr>
                <w:rFonts w:ascii="Times New Roman" w:hAnsi="Times New Roman"/>
                <w:sz w:val="16"/>
              </w:rPr>
              <w:t>TOC/PAGEREF + yüzlerce Zotero alanı</w:t>
            </w:r>
          </w:p>
        </w:tc>
      </w:tr>
    </w:tbl>
    <w:p>
      <w:pPr>
        <w:pStyle w:val="Compact"/>
      </w:pPr>
    </w:p>
    <w:p>
      <w:pPr>
        <w:pStyle w:val="Heading2"/>
        <w:keepNext/>
        <w:keepLines/>
      </w:pPr>
      <w:r>
        <w:t>1. Genel Yayın Değerlendirmesi</w:t>
      </w:r>
    </w:p>
    <w:p>
      <w:pPr/>
      <w:r>
        <w:t>Kitabın ana tezi Önsöz, Giriş ve Sonuçta belirgin biçimde olgunlaşmıştır: kırâatlerin aslî aktarım zemini telakki, müşâfehe, edâ, isnad ve rivâyettir; resm-i Osmânî ise bu aktarımın yerine geçen bağımsız bir kaynak değil, rivâyetle gelen okuyuşların müşterek mushaf yazısıyla bağını belirleyen tamamlayıcı bir ölçüdür. Buna karşılık ana gövdenin özellikle 1.3–1.10, 2.4, 3.1–3.12 ve 4.1–4.7 kısımlarında resme tarihsel irade, seçme, koruma, yönlendirme, anlam üretme ve tek başına belirleme gücü yükleyen cümleler sürmektedir. Bu, kitabın en önemli bilimsel redaksiyon sorunudur.</w:t>
      </w:r>
    </w:p>
    <w:p>
      <w:pPr/>
      <w:r>
        <w:t>Güncel nüsha önceki rapora göre bazı önemli iyileştirmeler içerir. Mekkî vahyin tamamının yazıldığı yönündeki kesin cümle yumuşatılmış, 2.4 başlığı “standartlaşma” yerine ortak başvuru metni kavramına yaklaştırılmış, başlık sayfası yazar bilgisiyle tamamlanmıştır. Buna rağmen yedi harf–arza-i âhire–istinsah ilişkisi, mushaf sayısı, üçüncü bölümdeki hikmet/i‘câz söylemi, sahâbe mushaflarının tek kategoriye indirgenmesi, matbu mushaf kronolojisi ve kaynakça/Word yapısı hâlâ yayımdan önce ciddi müdahale gerektirir.</w:t>
      </w:r>
    </w:p>
    <w:tbl>
      <w:tblPr>
        <w:tblStyle w:val="TableGrid"/>
        <w:tblW w:type="auto" w:w="0"/>
        <w:jc w:val="center"/>
        <w:tblLook w:firstColumn="1" w:firstRow="1" w:lastColumn="0" w:lastRow="0" w:noHBand="0" w:noVBand="1" w:val="04A0"/>
      </w:tblPr>
      <w:tblGrid>
        <w:gridCol w:w="3230"/>
        <w:gridCol w:w="3230"/>
        <w:gridCol w:w="3230"/>
      </w:tblGrid>
      <w:tr>
        <w:trPr>
          <w:cantSplit/>
          <w:cantSplit/>
        </w:trPr>
        <w:tc>
          <w:tcPr>
            <w:tcW w:type="dxa" w:w="2268"/>
            <w:shd w:fill="D9E2F3"/>
            <w:vAlign w:val="center"/>
          </w:tcPr>
          <w:p>
            <w:r>
              <w:rPr>
                <w:rFonts w:ascii="Times New Roman" w:hAnsi="Times New Roman"/>
                <w:b/>
                <w:sz w:val="16"/>
              </w:rPr>
              <w:t>Bölüm</w:t>
            </w:r>
          </w:p>
        </w:tc>
        <w:tc>
          <w:tcPr>
            <w:tcW w:type="dxa" w:w="1701"/>
            <w:shd w:fill="D9E2F3"/>
            <w:vAlign w:val="center"/>
          </w:tcPr>
          <w:p>
            <w:r>
              <w:rPr>
                <w:rFonts w:ascii="Times New Roman" w:hAnsi="Times New Roman"/>
                <w:b/>
                <w:sz w:val="16"/>
              </w:rPr>
              <w:t>Yaklaşık kelime</w:t>
            </w:r>
          </w:p>
        </w:tc>
        <w:tc>
          <w:tcPr>
            <w:tcW w:type="dxa" w:w="5669"/>
            <w:shd w:fill="D9E2F3"/>
            <w:vAlign w:val="center"/>
          </w:tcPr>
          <w:p>
            <w:r>
              <w:rPr>
                <w:rFonts w:ascii="Times New Roman" w:hAnsi="Times New Roman"/>
                <w:b/>
                <w:sz w:val="16"/>
              </w:rPr>
              <w:t>Editoryal değerlendirme</w:t>
            </w:r>
          </w:p>
        </w:tc>
      </w:tr>
      <w:tr>
        <w:trPr>
          <w:cantSplit/>
          <w:cantSplit/>
        </w:trPr>
        <w:tc>
          <w:tcPr>
            <w:tcW w:type="dxa" w:w="2268"/>
            <w:vAlign w:val="top"/>
          </w:tcPr>
          <w:p>
            <w:pPr>
              <w:spacing w:after="0" w:line="240" w:lineRule="auto"/>
            </w:pPr>
            <w:r>
              <w:rPr>
                <w:rFonts w:ascii="Times New Roman" w:hAnsi="Times New Roman"/>
                <w:sz w:val="16"/>
              </w:rPr>
              <w:t>Birinci Bölüm</w:t>
            </w:r>
          </w:p>
        </w:tc>
        <w:tc>
          <w:tcPr>
            <w:tcW w:type="dxa" w:w="1701"/>
            <w:vAlign w:val="top"/>
          </w:tcPr>
          <w:p>
            <w:pPr>
              <w:spacing w:after="0" w:line="240" w:lineRule="auto"/>
            </w:pPr>
            <w:r>
              <w:rPr>
                <w:rFonts w:ascii="Times New Roman" w:hAnsi="Times New Roman"/>
                <w:sz w:val="16"/>
              </w:rPr>
              <w:t>12.978</w:t>
            </w:r>
          </w:p>
        </w:tc>
        <w:tc>
          <w:tcPr>
            <w:tcW w:type="dxa" w:w="5669"/>
            <w:vAlign w:val="top"/>
          </w:tcPr>
          <w:p>
            <w:pPr>
              <w:spacing w:after="0" w:line="240" w:lineRule="auto"/>
            </w:pPr>
            <w:r>
              <w:rPr>
                <w:rFonts w:ascii="Times New Roman" w:hAnsi="Times New Roman"/>
                <w:sz w:val="16"/>
              </w:rPr>
              <w:t>Tarihsel zemin güçlü; 1.3–1.4 tekrarları ve aşırı kesin yeniden inşalar yoğun.</w:t>
            </w:r>
          </w:p>
        </w:tc>
      </w:tr>
      <w:tr>
        <w:trPr>
          <w:cantSplit/>
          <w:cantSplit/>
        </w:trPr>
        <w:tc>
          <w:tcPr>
            <w:tcW w:type="dxa" w:w="2268"/>
            <w:vAlign w:val="top"/>
          </w:tcPr>
          <w:p>
            <w:pPr>
              <w:spacing w:after="0" w:line="240" w:lineRule="auto"/>
            </w:pPr>
            <w:r>
              <w:rPr>
                <w:rFonts w:ascii="Times New Roman" w:hAnsi="Times New Roman"/>
                <w:sz w:val="16"/>
              </w:rPr>
              <w:t>İkinci Bölüm</w:t>
            </w:r>
          </w:p>
        </w:tc>
        <w:tc>
          <w:tcPr>
            <w:tcW w:type="dxa" w:w="1701"/>
            <w:vAlign w:val="top"/>
          </w:tcPr>
          <w:p>
            <w:pPr>
              <w:spacing w:after="0" w:line="240" w:lineRule="auto"/>
            </w:pPr>
            <w:r>
              <w:rPr>
                <w:rFonts w:ascii="Times New Roman" w:hAnsi="Times New Roman"/>
                <w:sz w:val="16"/>
              </w:rPr>
              <w:t>4.583</w:t>
            </w:r>
          </w:p>
        </w:tc>
        <w:tc>
          <w:tcPr>
            <w:tcW w:type="dxa" w:w="5669"/>
            <w:vAlign w:val="top"/>
          </w:tcPr>
          <w:p>
            <w:pPr>
              <w:spacing w:after="0" w:line="240" w:lineRule="auto"/>
            </w:pPr>
            <w:r>
              <w:rPr>
                <w:rFonts w:ascii="Times New Roman" w:hAnsi="Times New Roman"/>
                <w:sz w:val="16"/>
              </w:rPr>
              <w:t>Kitabın “rivâyet” omurgasına göre belirgin biçimde kısa; kavram hiyerarşisi güçlendirilmeli.</w:t>
            </w:r>
          </w:p>
        </w:tc>
      </w:tr>
      <w:tr>
        <w:trPr>
          <w:cantSplit/>
          <w:cantSplit/>
        </w:trPr>
        <w:tc>
          <w:tcPr>
            <w:tcW w:type="dxa" w:w="2268"/>
            <w:vAlign w:val="top"/>
          </w:tcPr>
          <w:p>
            <w:pPr>
              <w:spacing w:after="0" w:line="240" w:lineRule="auto"/>
            </w:pPr>
            <w:r>
              <w:rPr>
                <w:rFonts w:ascii="Times New Roman" w:hAnsi="Times New Roman"/>
                <w:sz w:val="16"/>
              </w:rPr>
              <w:t>Üçüncü Bölüm</w:t>
            </w:r>
          </w:p>
        </w:tc>
        <w:tc>
          <w:tcPr>
            <w:tcW w:type="dxa" w:w="1701"/>
            <w:vAlign w:val="top"/>
          </w:tcPr>
          <w:p>
            <w:pPr>
              <w:spacing w:after="0" w:line="240" w:lineRule="auto"/>
            </w:pPr>
            <w:r>
              <w:rPr>
                <w:rFonts w:ascii="Times New Roman" w:hAnsi="Times New Roman"/>
                <w:sz w:val="16"/>
              </w:rPr>
              <w:t>12.666</w:t>
            </w:r>
          </w:p>
        </w:tc>
        <w:tc>
          <w:tcPr>
            <w:tcW w:type="dxa" w:w="5669"/>
            <w:vAlign w:val="top"/>
          </w:tcPr>
          <w:p>
            <w:pPr>
              <w:spacing w:after="0" w:line="240" w:lineRule="auto"/>
            </w:pPr>
            <w:r>
              <w:rPr>
                <w:rFonts w:ascii="Times New Roman" w:hAnsi="Times New Roman"/>
                <w:sz w:val="16"/>
              </w:rPr>
              <w:t>En yüksek bilimsel redaksiyon ihtiyacı; hikmet, i‘câz, amaç ve özneleştirme sorunları.</w:t>
            </w:r>
          </w:p>
        </w:tc>
      </w:tr>
      <w:tr>
        <w:trPr>
          <w:cantSplit/>
          <w:cantSplit/>
        </w:trPr>
        <w:tc>
          <w:tcPr>
            <w:tcW w:type="dxa" w:w="2268"/>
            <w:vAlign w:val="top"/>
          </w:tcPr>
          <w:p>
            <w:pPr>
              <w:spacing w:after="0" w:line="240" w:lineRule="auto"/>
            </w:pPr>
            <w:r>
              <w:rPr>
                <w:rFonts w:ascii="Times New Roman" w:hAnsi="Times New Roman"/>
                <w:sz w:val="16"/>
              </w:rPr>
              <w:t>Dördüncü Bölüm</w:t>
            </w:r>
          </w:p>
        </w:tc>
        <w:tc>
          <w:tcPr>
            <w:tcW w:type="dxa" w:w="1701"/>
            <w:vAlign w:val="top"/>
          </w:tcPr>
          <w:p>
            <w:pPr>
              <w:spacing w:after="0" w:line="240" w:lineRule="auto"/>
            </w:pPr>
            <w:r>
              <w:rPr>
                <w:rFonts w:ascii="Times New Roman" w:hAnsi="Times New Roman"/>
                <w:sz w:val="16"/>
              </w:rPr>
              <w:t>10.902</w:t>
            </w:r>
          </w:p>
        </w:tc>
        <w:tc>
          <w:tcPr>
            <w:tcW w:type="dxa" w:w="5669"/>
            <w:vAlign w:val="top"/>
          </w:tcPr>
          <w:p>
            <w:pPr>
              <w:spacing w:after="0" w:line="240" w:lineRule="auto"/>
            </w:pPr>
            <w:r>
              <w:rPr>
                <w:rFonts w:ascii="Times New Roman" w:hAnsi="Times New Roman"/>
                <w:sz w:val="16"/>
              </w:rPr>
              <w:t>Ana uygulama bölümü olmasına rağmen tarih tekrarı ağır; örnek analizi ve ayrım şeması güçlendirilmeli.</w:t>
            </w:r>
          </w:p>
        </w:tc>
      </w:tr>
    </w:tbl>
    <w:p>
      <w:pPr>
        <w:pStyle w:val="Compact"/>
      </w:pPr>
    </w:p>
    <w:p>
      <w:pPr>
        <w:pStyle w:val="Heading2"/>
        <w:keepNext/>
        <w:keepLines/>
      </w:pPr>
      <w:r>
        <w:t>2. Kritik ve Yüksek Öncelikli Sorunlar</w:t>
      </w:r>
    </w:p>
    <w:tbl>
      <w:tblPr>
        <w:tblStyle w:val="TableGrid"/>
        <w:tblW w:type="auto" w:w="0"/>
        <w:jc w:val="center"/>
        <w:tblLook w:firstColumn="1" w:firstRow="1" w:lastColumn="0" w:lastRow="0" w:noHBand="0" w:noVBand="1" w:val="04A0"/>
      </w:tblPr>
      <w:tblGrid>
        <w:gridCol w:w="2422"/>
        <w:gridCol w:w="2422"/>
        <w:gridCol w:w="2422"/>
        <w:gridCol w:w="2422"/>
      </w:tblGrid>
      <w:tr>
        <w:trPr>
          <w:cantSplit/>
          <w:cantSplit/>
        </w:trPr>
        <w:tc>
          <w:tcPr>
            <w:tcW w:type="dxa" w:w="964"/>
            <w:shd w:fill="D9E2F3"/>
            <w:vAlign w:val="center"/>
          </w:tcPr>
          <w:p>
            <w:r>
              <w:rPr>
                <w:rFonts w:ascii="Times New Roman" w:hAnsi="Times New Roman"/>
                <w:b/>
                <w:sz w:val="16"/>
              </w:rPr>
              <w:t>Kod</w:t>
            </w:r>
          </w:p>
        </w:tc>
        <w:tc>
          <w:tcPr>
            <w:tcW w:type="dxa" w:w="1134"/>
            <w:shd w:fill="D9E2F3"/>
            <w:vAlign w:val="center"/>
          </w:tcPr>
          <w:p>
            <w:r>
              <w:rPr>
                <w:rFonts w:ascii="Times New Roman" w:hAnsi="Times New Roman"/>
                <w:b/>
                <w:sz w:val="16"/>
              </w:rPr>
              <w:t>Öncelik</w:t>
            </w:r>
          </w:p>
        </w:tc>
        <w:tc>
          <w:tcPr>
            <w:tcW w:type="dxa" w:w="3969"/>
            <w:shd w:fill="D9E2F3"/>
            <w:vAlign w:val="center"/>
          </w:tcPr>
          <w:p>
            <w:r>
              <w:rPr>
                <w:rFonts w:ascii="Times New Roman" w:hAnsi="Times New Roman"/>
                <w:b/>
                <w:sz w:val="16"/>
              </w:rPr>
              <w:t>Sorun</w:t>
            </w:r>
          </w:p>
        </w:tc>
        <w:tc>
          <w:tcPr>
            <w:tcW w:type="dxa" w:w="3969"/>
            <w:shd w:fill="D9E2F3"/>
            <w:vAlign w:val="center"/>
          </w:tcPr>
          <w:p>
            <w:r>
              <w:rPr>
                <w:rFonts w:ascii="Times New Roman" w:hAnsi="Times New Roman"/>
                <w:b/>
                <w:sz w:val="16"/>
              </w:rPr>
              <w:t>Yayımdan önce işlem</w:t>
            </w:r>
          </w:p>
        </w:tc>
      </w:tr>
      <w:tr>
        <w:trPr>
          <w:cantSplit/>
          <w:cantSplit/>
        </w:trPr>
        <w:tc>
          <w:tcPr>
            <w:tcW w:type="dxa" w:w="964"/>
            <w:vAlign w:val="top"/>
          </w:tcPr>
          <w:p>
            <w:pPr>
              <w:spacing w:after="0" w:line="240" w:lineRule="auto"/>
            </w:pPr>
            <w:r>
              <w:rPr>
                <w:rFonts w:ascii="Times New Roman" w:hAnsi="Times New Roman"/>
                <w:sz w:val="16"/>
              </w:rPr>
              <w:t>KR-01</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Ana tez ile gövdedeki resm özneleştirmesi çelişiyor</w:t>
            </w:r>
          </w:p>
        </w:tc>
        <w:tc>
          <w:tcPr>
            <w:tcW w:type="dxa" w:w="3969"/>
            <w:vAlign w:val="top"/>
          </w:tcPr>
          <w:p>
            <w:pPr>
              <w:spacing w:after="0" w:line="240" w:lineRule="auto"/>
            </w:pPr>
            <w:r>
              <w:rPr>
                <w:rFonts w:ascii="Times New Roman" w:hAnsi="Times New Roman"/>
                <w:sz w:val="16"/>
              </w:rPr>
              <w:t>Resmi iradeli özne yapan bütün cümleleri aktör/süreç odaklı yeniden kur.</w:t>
            </w:r>
          </w:p>
        </w:tc>
      </w:tr>
      <w:tr>
        <w:trPr>
          <w:cantSplit/>
          <w:cantSplit/>
        </w:trPr>
        <w:tc>
          <w:tcPr>
            <w:tcW w:type="dxa" w:w="964"/>
            <w:vAlign w:val="top"/>
          </w:tcPr>
          <w:p>
            <w:pPr>
              <w:spacing w:after="0" w:line="240" w:lineRule="auto"/>
            </w:pPr>
            <w:r>
              <w:rPr>
                <w:rFonts w:ascii="Times New Roman" w:hAnsi="Times New Roman"/>
                <w:sz w:val="16"/>
              </w:rPr>
              <w:t>KR-02</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Yedi harf, Ebû Bekir suhufu, arza-i âhire ve Osmânî istinsah kesin mekanizma gibi bağlanıyor</w:t>
            </w:r>
          </w:p>
        </w:tc>
        <w:tc>
          <w:tcPr>
            <w:tcW w:type="dxa" w:w="3969"/>
            <w:vAlign w:val="top"/>
          </w:tcPr>
          <w:p>
            <w:pPr>
              <w:spacing w:after="0" w:line="240" w:lineRule="auto"/>
            </w:pPr>
            <w:r>
              <w:rPr>
                <w:rFonts w:ascii="Times New Roman" w:hAnsi="Times New Roman"/>
                <w:sz w:val="16"/>
              </w:rPr>
              <w:t>Kaynak görüşü / yazar yorumu / tarihsel veri katmanlarını ayır.</w:t>
            </w:r>
          </w:p>
        </w:tc>
      </w:tr>
      <w:tr>
        <w:trPr>
          <w:cantSplit/>
          <w:cantSplit/>
        </w:trPr>
        <w:tc>
          <w:tcPr>
            <w:tcW w:type="dxa" w:w="964"/>
            <w:vAlign w:val="top"/>
          </w:tcPr>
          <w:p>
            <w:pPr>
              <w:spacing w:after="0" w:line="240" w:lineRule="auto"/>
            </w:pPr>
            <w:r>
              <w:rPr>
                <w:rFonts w:ascii="Times New Roman" w:hAnsi="Times New Roman"/>
                <w:sz w:val="16"/>
              </w:rPr>
              <w:t>KR-03</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Mushaf sayısı: 1.5 “altı en güçlü”; 4.1 “çoğunluk dört”</w:t>
            </w:r>
          </w:p>
        </w:tc>
        <w:tc>
          <w:tcPr>
            <w:tcW w:type="dxa" w:w="3969"/>
            <w:vAlign w:val="top"/>
          </w:tcPr>
          <w:p>
            <w:pPr>
              <w:spacing w:after="0" w:line="240" w:lineRule="auto"/>
            </w:pPr>
            <w:r>
              <w:rPr>
                <w:rFonts w:ascii="Times New Roman" w:hAnsi="Times New Roman"/>
                <w:sz w:val="16"/>
              </w:rPr>
              <w:t>Toplam nüsha, gönderilen nüsha, İmam/Medine ayrımını tek formülde uzlaştır.</w:t>
            </w:r>
          </w:p>
        </w:tc>
      </w:tr>
      <w:tr>
        <w:trPr>
          <w:cantSplit/>
          <w:cantSplit/>
        </w:trPr>
        <w:tc>
          <w:tcPr>
            <w:tcW w:type="dxa" w:w="964"/>
            <w:vAlign w:val="top"/>
          </w:tcPr>
          <w:p>
            <w:pPr>
              <w:spacing w:after="0" w:line="240" w:lineRule="auto"/>
            </w:pPr>
            <w:r>
              <w:rPr>
                <w:rFonts w:ascii="Times New Roman" w:hAnsi="Times New Roman"/>
                <w:sz w:val="16"/>
              </w:rPr>
              <w:t>KR-04</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3.4–3.6 yazım özelliklerine doğrudan mana, hikmet ve i‘câz yüklüyor</w:t>
            </w:r>
          </w:p>
        </w:tc>
        <w:tc>
          <w:tcPr>
            <w:tcW w:type="dxa" w:w="3969"/>
            <w:vAlign w:val="top"/>
          </w:tcPr>
          <w:p>
            <w:pPr>
              <w:spacing w:after="0" w:line="240" w:lineRule="auto"/>
            </w:pPr>
            <w:r>
              <w:rPr>
                <w:rFonts w:ascii="Times New Roman" w:hAnsi="Times New Roman"/>
                <w:sz w:val="16"/>
              </w:rPr>
              <w:t>Klasik yorum olarak nispet et; tarihsel-filolojik delil değerini ayrı göster.</w:t>
            </w:r>
          </w:p>
        </w:tc>
      </w:tr>
      <w:tr>
        <w:trPr>
          <w:cantSplit/>
          <w:cantSplit/>
        </w:trPr>
        <w:tc>
          <w:tcPr>
            <w:tcW w:type="dxa" w:w="964"/>
            <w:vAlign w:val="top"/>
          </w:tcPr>
          <w:p>
            <w:pPr>
              <w:spacing w:after="0" w:line="240" w:lineRule="auto"/>
            </w:pPr>
            <w:r>
              <w:rPr>
                <w:rFonts w:ascii="Times New Roman" w:hAnsi="Times New Roman"/>
                <w:sz w:val="16"/>
              </w:rPr>
              <w:t>KR-05</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3.7–3.12 ana problemden kopuyor ve apologetik tekrar üretiyor</w:t>
            </w:r>
          </w:p>
        </w:tc>
        <w:tc>
          <w:tcPr>
            <w:tcW w:type="dxa" w:w="3969"/>
            <w:vAlign w:val="top"/>
          </w:tcPr>
          <w:p>
            <w:pPr>
              <w:spacing w:after="0" w:line="240" w:lineRule="auto"/>
            </w:pPr>
            <w:r>
              <w:rPr>
                <w:rFonts w:ascii="Times New Roman" w:hAnsi="Times New Roman"/>
                <w:sz w:val="16"/>
              </w:rPr>
              <w:t>Birleştir/kısalt; normatif, tarihsel ve sembolik gerekçeleri ayır.</w:t>
            </w:r>
          </w:p>
        </w:tc>
      </w:tr>
      <w:tr>
        <w:trPr>
          <w:cantSplit/>
          <w:cantSplit/>
        </w:trPr>
        <w:tc>
          <w:tcPr>
            <w:tcW w:type="dxa" w:w="964"/>
            <w:vAlign w:val="top"/>
          </w:tcPr>
          <w:p>
            <w:pPr>
              <w:spacing w:after="0" w:line="240" w:lineRule="auto"/>
            </w:pPr>
            <w:r>
              <w:rPr>
                <w:rFonts w:ascii="Times New Roman" w:hAnsi="Times New Roman"/>
                <w:sz w:val="16"/>
              </w:rPr>
              <w:t>KR-06</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4.2–4.3 sahâbe mushafı kayıtlarını tefsirî/mensuh/şâz kategorilerinde genelliyor</w:t>
            </w:r>
          </w:p>
        </w:tc>
        <w:tc>
          <w:tcPr>
            <w:tcW w:type="dxa" w:w="3969"/>
            <w:vAlign w:val="top"/>
          </w:tcPr>
          <w:p>
            <w:pPr>
              <w:spacing w:after="0" w:line="240" w:lineRule="auto"/>
            </w:pPr>
            <w:r>
              <w:rPr>
                <w:rFonts w:ascii="Times New Roman" w:hAnsi="Times New Roman"/>
                <w:sz w:val="16"/>
              </w:rPr>
              <w:t>Her rivâyeti ayrı mahiyet ve kabul gerekçesiyle sınıflandır.</w:t>
            </w:r>
          </w:p>
        </w:tc>
      </w:tr>
      <w:tr>
        <w:trPr>
          <w:cantSplit/>
          <w:cantSplit/>
        </w:trPr>
        <w:tc>
          <w:tcPr>
            <w:tcW w:type="dxa" w:w="964"/>
            <w:vAlign w:val="top"/>
          </w:tcPr>
          <w:p>
            <w:pPr>
              <w:spacing w:after="0" w:line="240" w:lineRule="auto"/>
            </w:pPr>
            <w:r>
              <w:rPr>
                <w:rFonts w:ascii="Times New Roman" w:hAnsi="Times New Roman"/>
                <w:sz w:val="16"/>
              </w:rPr>
              <w:t>KR-07</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İbnü’l-Cezerî→Zerkeşî kronolojisi ters</w:t>
            </w:r>
          </w:p>
        </w:tc>
        <w:tc>
          <w:tcPr>
            <w:tcW w:type="dxa" w:w="3969"/>
            <w:vAlign w:val="top"/>
          </w:tcPr>
          <w:p>
            <w:pPr>
              <w:spacing w:after="0" w:line="240" w:lineRule="auto"/>
            </w:pPr>
            <w:r>
              <w:rPr>
                <w:rFonts w:ascii="Times New Roman" w:hAnsi="Times New Roman"/>
                <w:sz w:val="16"/>
              </w:rPr>
              <w:t>Kabul ölçülerinin tarihsel formülasyonunu kronolojik yeniden yaz.</w:t>
            </w:r>
          </w:p>
        </w:tc>
      </w:tr>
      <w:tr>
        <w:trPr>
          <w:cantSplit/>
          <w:cantSplit/>
        </w:trPr>
        <w:tc>
          <w:tcPr>
            <w:tcW w:type="dxa" w:w="964"/>
            <w:vAlign w:val="top"/>
          </w:tcPr>
          <w:p>
            <w:pPr>
              <w:spacing w:after="0" w:line="240" w:lineRule="auto"/>
            </w:pPr>
            <w:r>
              <w:rPr>
                <w:rFonts w:ascii="Times New Roman" w:hAnsi="Times New Roman"/>
                <w:sz w:val="16"/>
              </w:rPr>
              <w:t>KR-08</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Metinde çalışma notları, soru işaretli isimler ve bozuk tarihler kalmış</w:t>
            </w:r>
          </w:p>
        </w:tc>
        <w:tc>
          <w:tcPr>
            <w:tcW w:type="dxa" w:w="3969"/>
            <w:vAlign w:val="top"/>
          </w:tcPr>
          <w:p>
            <w:pPr>
              <w:spacing w:after="0" w:line="240" w:lineRule="auto"/>
            </w:pPr>
            <w:r>
              <w:rPr>
                <w:rFonts w:ascii="Times New Roman" w:hAnsi="Times New Roman"/>
                <w:sz w:val="16"/>
              </w:rPr>
              <w:t>Tüm kırmızı/çalışma notlarını sınıflandır, doğrula ve temizle.</w:t>
            </w:r>
          </w:p>
        </w:tc>
      </w:tr>
      <w:tr>
        <w:trPr>
          <w:cantSplit/>
          <w:cantSplit/>
        </w:trPr>
        <w:tc>
          <w:tcPr>
            <w:tcW w:type="dxa" w:w="964"/>
            <w:vAlign w:val="top"/>
          </w:tcPr>
          <w:p>
            <w:pPr>
              <w:spacing w:after="0" w:line="240" w:lineRule="auto"/>
            </w:pPr>
            <w:r>
              <w:rPr>
                <w:rFonts w:ascii="Times New Roman" w:hAnsi="Times New Roman"/>
                <w:sz w:val="16"/>
              </w:rPr>
              <w:t>KR-09</w:t>
            </w:r>
          </w:p>
        </w:tc>
        <w:tc>
          <w:tcPr>
            <w:tcW w:type="dxa" w:w="1134"/>
            <w:vAlign w:val="top"/>
          </w:tcPr>
          <w:p>
            <w:pPr>
              <w:spacing w:after="0" w:line="240" w:lineRule="auto"/>
            </w:pPr>
            <w:r>
              <w:rPr>
                <w:rFonts w:ascii="Times New Roman" w:hAnsi="Times New Roman"/>
                <w:sz w:val="16"/>
              </w:rPr>
              <w:t>Kritik</w:t>
            </w:r>
          </w:p>
        </w:tc>
        <w:tc>
          <w:tcPr>
            <w:tcW w:type="dxa" w:w="3969"/>
            <w:vAlign w:val="top"/>
          </w:tcPr>
          <w:p>
            <w:pPr>
              <w:spacing w:after="0" w:line="240" w:lineRule="auto"/>
            </w:pPr>
            <w:r>
              <w:rPr>
                <w:rFonts w:ascii="Times New Roman" w:hAnsi="Times New Roman"/>
                <w:sz w:val="16"/>
              </w:rPr>
              <w:t>Kaynakçada iki yapısal DOI bozukluğu</w:t>
            </w:r>
          </w:p>
        </w:tc>
        <w:tc>
          <w:tcPr>
            <w:tcW w:type="dxa" w:w="3969"/>
            <w:vAlign w:val="top"/>
          </w:tcPr>
          <w:p>
            <w:pPr>
              <w:spacing w:after="0" w:line="240" w:lineRule="auto"/>
            </w:pPr>
            <w:r>
              <w:rPr>
                <w:rFonts w:ascii="Times New Roman" w:hAnsi="Times New Roman"/>
                <w:sz w:val="16"/>
              </w:rPr>
              <w:t>Doğru DOI gövdesini kaynaktan doğrula; tahmin etme.</w:t>
            </w:r>
          </w:p>
        </w:tc>
      </w:tr>
      <w:tr>
        <w:trPr>
          <w:cantSplit/>
          <w:cantSplit/>
        </w:trPr>
        <w:tc>
          <w:tcPr>
            <w:tcW w:type="dxa" w:w="964"/>
            <w:vAlign w:val="top"/>
          </w:tcPr>
          <w:p>
            <w:pPr>
              <w:spacing w:after="0" w:line="240" w:lineRule="auto"/>
            </w:pPr>
            <w:r>
              <w:rPr>
                <w:rFonts w:ascii="Times New Roman" w:hAnsi="Times New Roman"/>
                <w:sz w:val="16"/>
              </w:rPr>
              <w:t>KR-10</w:t>
            </w:r>
          </w:p>
        </w:tc>
        <w:tc>
          <w:tcPr>
            <w:tcW w:type="dxa" w:w="1134"/>
            <w:vAlign w:val="top"/>
          </w:tcPr>
          <w:p>
            <w:pPr>
              <w:spacing w:after="0" w:line="240" w:lineRule="auto"/>
            </w:pPr>
            <w:r>
              <w:rPr>
                <w:rFonts w:ascii="Times New Roman" w:hAnsi="Times New Roman"/>
                <w:sz w:val="16"/>
              </w:rPr>
              <w:t>Yüksek</w:t>
            </w:r>
          </w:p>
        </w:tc>
        <w:tc>
          <w:tcPr>
            <w:tcW w:type="dxa" w:w="3969"/>
            <w:vAlign w:val="top"/>
          </w:tcPr>
          <w:p>
            <w:pPr>
              <w:spacing w:after="0" w:line="240" w:lineRule="auto"/>
            </w:pPr>
            <w:r>
              <w:rPr>
                <w:rFonts w:ascii="Times New Roman" w:hAnsi="Times New Roman"/>
                <w:sz w:val="16"/>
              </w:rPr>
              <w:t>İkinci Bölüm teorik omurga bakımından zayıf</w:t>
            </w:r>
          </w:p>
        </w:tc>
        <w:tc>
          <w:tcPr>
            <w:tcW w:type="dxa" w:w="3969"/>
            <w:vAlign w:val="top"/>
          </w:tcPr>
          <w:p>
            <w:pPr>
              <w:spacing w:after="0" w:line="240" w:lineRule="auto"/>
            </w:pPr>
            <w:r>
              <w:rPr>
                <w:rFonts w:ascii="Times New Roman" w:hAnsi="Times New Roman"/>
                <w:sz w:val="16"/>
              </w:rPr>
              <w:t>Kırâat–rivâyet–tarîk–vecih ve telakki–müşâfehe–edâ alt başlıkları ekle.</w:t>
            </w:r>
          </w:p>
        </w:tc>
      </w:tr>
      <w:tr>
        <w:trPr>
          <w:cantSplit/>
          <w:cantSplit/>
        </w:trPr>
        <w:tc>
          <w:tcPr>
            <w:tcW w:type="dxa" w:w="964"/>
            <w:vAlign w:val="top"/>
          </w:tcPr>
          <w:p>
            <w:pPr>
              <w:spacing w:after="0" w:line="240" w:lineRule="auto"/>
            </w:pPr>
            <w:r>
              <w:rPr>
                <w:rFonts w:ascii="Times New Roman" w:hAnsi="Times New Roman"/>
                <w:sz w:val="16"/>
              </w:rPr>
              <w:t>KR-11</w:t>
            </w:r>
          </w:p>
        </w:tc>
        <w:tc>
          <w:tcPr>
            <w:tcW w:type="dxa" w:w="1134"/>
            <w:vAlign w:val="top"/>
          </w:tcPr>
          <w:p>
            <w:pPr>
              <w:spacing w:after="0" w:line="240" w:lineRule="auto"/>
            </w:pPr>
            <w:r>
              <w:rPr>
                <w:rFonts w:ascii="Times New Roman" w:hAnsi="Times New Roman"/>
                <w:sz w:val="16"/>
              </w:rPr>
              <w:t>Yüksek</w:t>
            </w:r>
          </w:p>
        </w:tc>
        <w:tc>
          <w:tcPr>
            <w:tcW w:type="dxa" w:w="3969"/>
            <w:vAlign w:val="top"/>
          </w:tcPr>
          <w:p>
            <w:pPr>
              <w:spacing w:after="0" w:line="240" w:lineRule="auto"/>
            </w:pPr>
            <w:r>
              <w:rPr>
                <w:rFonts w:ascii="Times New Roman" w:hAnsi="Times New Roman"/>
                <w:sz w:val="16"/>
              </w:rPr>
              <w:t>Matbu mushaf kronolojisinde çok sayıda kesin tarih/ad doğrulama bekliyor</w:t>
            </w:r>
          </w:p>
        </w:tc>
        <w:tc>
          <w:tcPr>
            <w:tcW w:type="dxa" w:w="3969"/>
            <w:vAlign w:val="top"/>
          </w:tcPr>
          <w:p>
            <w:pPr>
              <w:spacing w:after="0" w:line="240" w:lineRule="auto"/>
            </w:pPr>
            <w:r>
              <w:rPr>
                <w:rFonts w:ascii="Times New Roman" w:hAnsi="Times New Roman"/>
                <w:sz w:val="16"/>
              </w:rPr>
              <w:t>Baskı tarihlerini proje kaynaklarından tek tek doğrula.</w:t>
            </w:r>
          </w:p>
        </w:tc>
      </w:tr>
      <w:tr>
        <w:trPr>
          <w:cantSplit/>
          <w:cantSplit/>
        </w:trPr>
        <w:tc>
          <w:tcPr>
            <w:tcW w:type="dxa" w:w="964"/>
            <w:vAlign w:val="top"/>
          </w:tcPr>
          <w:p>
            <w:pPr>
              <w:spacing w:after="0" w:line="240" w:lineRule="auto"/>
            </w:pPr>
            <w:r>
              <w:rPr>
                <w:rFonts w:ascii="Times New Roman" w:hAnsi="Times New Roman"/>
                <w:sz w:val="16"/>
              </w:rPr>
              <w:t>KR-12</w:t>
            </w:r>
          </w:p>
        </w:tc>
        <w:tc>
          <w:tcPr>
            <w:tcW w:type="dxa" w:w="1134"/>
            <w:vAlign w:val="top"/>
          </w:tcPr>
          <w:p>
            <w:pPr>
              <w:spacing w:after="0" w:line="240" w:lineRule="auto"/>
            </w:pPr>
            <w:r>
              <w:rPr>
                <w:rFonts w:ascii="Times New Roman" w:hAnsi="Times New Roman"/>
                <w:sz w:val="16"/>
              </w:rPr>
              <w:t>Yüksek</w:t>
            </w:r>
          </w:p>
        </w:tc>
        <w:tc>
          <w:tcPr>
            <w:tcW w:type="dxa" w:w="3969"/>
            <w:vAlign w:val="top"/>
          </w:tcPr>
          <w:p>
            <w:pPr>
              <w:spacing w:after="0" w:line="240" w:lineRule="auto"/>
            </w:pPr>
            <w:r>
              <w:rPr>
                <w:rFonts w:ascii="Times New Roman" w:hAnsi="Times New Roman"/>
                <w:sz w:val="16"/>
              </w:rPr>
              <w:t>Word başlık hiyerarşisi kaybolmuş, TOC kırılgan</w:t>
            </w:r>
          </w:p>
        </w:tc>
        <w:tc>
          <w:tcPr>
            <w:tcW w:type="dxa" w:w="3969"/>
            <w:vAlign w:val="top"/>
          </w:tcPr>
          <w:p>
            <w:pPr>
              <w:spacing w:after="0" w:line="240" w:lineRule="auto"/>
            </w:pPr>
            <w:r>
              <w:rPr>
                <w:rFonts w:ascii="Times New Roman" w:hAnsi="Times New Roman"/>
                <w:sz w:val="16"/>
              </w:rPr>
              <w:t>Gerçek Heading hiyerarşisi kur; TOC son dizgiden sonra güncelle.</w:t>
            </w:r>
          </w:p>
        </w:tc>
      </w:tr>
      <w:tr>
        <w:trPr>
          <w:cantSplit/>
          <w:cantSplit/>
        </w:trPr>
        <w:tc>
          <w:tcPr>
            <w:tcW w:type="dxa" w:w="964"/>
            <w:vAlign w:val="top"/>
          </w:tcPr>
          <w:p>
            <w:pPr>
              <w:spacing w:after="0" w:line="240" w:lineRule="auto"/>
            </w:pPr>
            <w:r>
              <w:rPr>
                <w:rFonts w:ascii="Times New Roman" w:hAnsi="Times New Roman"/>
                <w:sz w:val="16"/>
              </w:rPr>
              <w:t>KR-13</w:t>
            </w:r>
          </w:p>
        </w:tc>
        <w:tc>
          <w:tcPr>
            <w:tcW w:type="dxa" w:w="1134"/>
            <w:vAlign w:val="top"/>
          </w:tcPr>
          <w:p>
            <w:pPr>
              <w:spacing w:after="0" w:line="240" w:lineRule="auto"/>
            </w:pPr>
            <w:r>
              <w:rPr>
                <w:rFonts w:ascii="Times New Roman" w:hAnsi="Times New Roman"/>
                <w:sz w:val="16"/>
              </w:rPr>
              <w:t>Yüksek</w:t>
            </w:r>
          </w:p>
        </w:tc>
        <w:tc>
          <w:tcPr>
            <w:tcW w:type="dxa" w:w="3969"/>
            <w:vAlign w:val="top"/>
          </w:tcPr>
          <w:p>
            <w:pPr>
              <w:spacing w:after="0" w:line="240" w:lineRule="auto"/>
            </w:pPr>
            <w:r>
              <w:rPr>
                <w:rFonts w:ascii="Times New Roman" w:hAnsi="Times New Roman"/>
                <w:sz w:val="16"/>
              </w:rPr>
              <w:t>Arapça dipnot referanslarının RTL standardı yok</w:t>
            </w:r>
          </w:p>
        </w:tc>
        <w:tc>
          <w:tcPr>
            <w:tcW w:type="dxa" w:w="3969"/>
            <w:vAlign w:val="top"/>
          </w:tcPr>
          <w:p>
            <w:pPr>
              <w:spacing w:after="0" w:line="240" w:lineRule="auto"/>
            </w:pPr>
            <w:r>
              <w:rPr>
                <w:rFonts w:ascii="Times New Roman" w:hAnsi="Times New Roman"/>
                <w:sz w:val="16"/>
              </w:rPr>
              <w:t>Arapça run + dipnot run RTL/bidi stile bağla; PDF provada tümünü gözle kontrol et.</w:t>
            </w:r>
          </w:p>
        </w:tc>
      </w:tr>
    </w:tbl>
    <w:p>
      <w:pPr>
        <w:pStyle w:val="Compact"/>
      </w:pPr>
    </w:p>
    <w:p>
      <w:pPr>
        <w:pStyle w:val="Heading2"/>
        <w:keepNext/>
        <w:keepLines/>
      </w:pPr>
      <w:r>
        <w:t>3. Önsöz</w:t>
      </w:r>
    </w:p>
    <w:p>
      <w:pPr/>
      <w:r>
        <w:t>Önsöz güncel sürümün en dengeli bölümlerinden biridir. Kitabın çıkış noktasını, yazılı kayıt ile sözlü naklin tamamlayıcılığını ve resm-i Osmânî’nin bağımsız kırâat kaynağı olmadığı ilkesini açıkça kurmaktadır. Önsözde yeni bir tarihsel tez üretme veya kaynak ayrıntısına girme eğilimi sınırlıdır.</w:t>
      </w:r>
    </w:p>
    <w:p>
      <w:pPr>
        <w:pStyle w:val="Heading3"/>
        <w:keepNext/>
        <w:keepLines/>
      </w:pPr>
      <w:r>
        <w:t>ÖN-01. Önsözde “resm-i mushaf” alanı ile yazım biçimi arasında küçük kavramsal kayma</w:t>
      </w:r>
    </w:p>
    <w:p>
      <w:pPr/>
      <w:r>
        <w:rPr>
          <w:b/>
        </w:rPr>
        <w:t xml:space="preserve">Kategori: </w:t>
      </w:r>
      <w:r>
        <w:t>Kavramsal / Üslup</w:t>
      </w:r>
    </w:p>
    <w:p>
      <w:pPr/>
      <w:r>
        <w:rPr>
          <w:b/>
        </w:rPr>
        <w:t xml:space="preserve">Önem düzeyi: </w:t>
      </w:r>
      <w:r>
        <w:t>Orta</w:t>
      </w:r>
    </w:p>
    <w:p>
      <w:pPr/>
      <w:r>
        <w:rPr>
          <w:b/>
        </w:rPr>
        <w:t xml:space="preserve">Yer: </w:t>
      </w:r>
      <w:r>
        <w:t>Önsöz, son paragraf</w:t>
      </w:r>
    </w:p>
    <w:p>
      <w:pPr>
        <w:pStyle w:val="IssueQuote"/>
      </w:pPr>
      <w:r>
        <w:t>“Eserin, resm-i mushafı yalnız geçmişte teşekkül etmiş bir imlâ biçimi olarak değil, kırâatlerin rivâyeti, mushaf yazımı ve çağdaş neşir geleneğiyle ilişkili bir ilim alanı olarak değerlendirmeye katkı sağlaması hedeflenmektedir.”</w:t>
      </w:r>
    </w:p>
    <w:p>
      <w:pPr/>
      <w:r>
        <w:rPr>
          <w:b/>
        </w:rPr>
        <w:t xml:space="preserve">Sorun: </w:t>
      </w:r>
      <w:r>
        <w:t>“Resm-i mushaf” bir yerde yazım olgusu, bir yerde ilim alanı olarak kullanılmaktadır. Girişte kurulmuş terim ayrımı burada da korunmalıdır.</w:t>
      </w:r>
    </w:p>
    <w:p>
      <w:pPr/>
      <w:r>
        <w:rPr>
          <w:b/>
        </w:rPr>
        <w:t xml:space="preserve">Editoryal öneri: </w:t>
      </w:r>
      <w:r>
        <w:t>“Eserin, mushaf yazım geleneğini yalnız tarihsel bir imlâ biçimi olarak ele almakla yetinmeyip, resm-i mushaf ilminin kırâat rivâyeti ve çağdaş neşir geleneğiyle ilişkisini göstermeye katkı sağlaması hedeflenmektedir.”</w:t>
      </w:r>
    </w:p>
    <w:p>
      <w:pPr>
        <w:pStyle w:val="Heading2"/>
        <w:keepNext/>
        <w:keepLines/>
      </w:pPr>
      <w:r>
        <w:t>4. Giriş</w:t>
      </w:r>
    </w:p>
    <w:p>
      <w:pPr>
        <w:pStyle w:val="Heading3"/>
        <w:keepNext/>
        <w:keepLines/>
      </w:pPr>
      <w:r>
        <w:t>GİR-01. Ana tez doğru kurulmuş; “okuyuş ve isnadla denetlenen” formülü terminoloji açısından dar</w:t>
      </w:r>
    </w:p>
    <w:p>
      <w:pPr/>
      <w:r>
        <w:rPr>
          <w:b/>
        </w:rPr>
        <w:t xml:space="preserve">Kategori: </w:t>
      </w:r>
      <w:r>
        <w:t>Terminoloji</w:t>
      </w:r>
    </w:p>
    <w:p>
      <w:pPr/>
      <w:r>
        <w:rPr>
          <w:b/>
        </w:rPr>
        <w:t xml:space="preserve">Önem düzeyi: </w:t>
      </w:r>
      <w:r>
        <w:t>Orta</w:t>
      </w:r>
    </w:p>
    <w:p>
      <w:pPr/>
      <w:r>
        <w:rPr>
          <w:b/>
        </w:rPr>
        <w:t xml:space="preserve">Yer: </w:t>
      </w:r>
      <w:r>
        <w:t>Giriş, temel yaklaşım paragrafı</w:t>
      </w:r>
    </w:p>
    <w:p>
      <w:pPr>
        <w:pStyle w:val="IssueQuote"/>
      </w:pPr>
      <w:r>
        <w:t>“Çalışmada kırâatin aslî dayanağı, telakki ve müşâfehe yoluyla sürdürülen, okuyuş ve isnadla denetlenen rivâyet geleneği olarak kabul edilmektedir.”</w:t>
      </w:r>
    </w:p>
    <w:p>
      <w:pPr/>
      <w:r>
        <w:rPr>
          <w:b/>
        </w:rPr>
        <w:t xml:space="preserve">Sorun: </w:t>
      </w:r>
      <w:r>
        <w:t>“Okuyuş” burada üst kavram değil, icranın kendisi gibi kalmaktadır. Aynı Girişte edâ ayrı kavram olarak tanımlandığından formülün “edâ ve isnad”la kurulması daha tutarlıdır.</w:t>
      </w:r>
    </w:p>
    <w:p>
      <w:pPr/>
      <w:r>
        <w:rPr>
          <w:b/>
        </w:rPr>
        <w:t xml:space="preserve">Önerilen düzeltme: </w:t>
      </w:r>
      <w:r>
        <w:t>“Çalışmada kırâatin aslî dayanağı, telakki ve müşâfehe yoluyla sürdürülen, edâ ve isnadla denetlenen rivâyet geleneği olarak kabul edilmektedir.”</w:t>
      </w:r>
    </w:p>
    <w:p>
      <w:pPr>
        <w:pStyle w:val="Heading3"/>
        <w:keepNext/>
        <w:keepLines/>
      </w:pPr>
      <w:r>
        <w:t>GİR-02. Osmânî istinsahın “öncelikli amacı” kesin tarihsel niyet olarak veriliyor</w:t>
      </w:r>
    </w:p>
    <w:p>
      <w:pPr/>
      <w:r>
        <w:rPr>
          <w:b/>
        </w:rPr>
        <w:t xml:space="preserve">Kategori: </w:t>
      </w:r>
      <w:r>
        <w:t>Tarihsel / Niyet atfı</w:t>
      </w:r>
    </w:p>
    <w:p>
      <w:pPr/>
      <w:r>
        <w:rPr>
          <w:b/>
        </w:rPr>
        <w:t xml:space="preserve">Önem düzeyi: </w:t>
      </w:r>
      <w:r>
        <w:t>Yüksek</w:t>
      </w:r>
    </w:p>
    <w:p>
      <w:pPr/>
      <w:r>
        <w:rPr>
          <w:b/>
        </w:rPr>
        <w:t xml:space="preserve">Yer: </w:t>
      </w:r>
      <w:r>
        <w:t>Giriş, cem–istinsah paragrafı</w:t>
      </w:r>
    </w:p>
    <w:p>
      <w:pPr>
        <w:pStyle w:val="IssueQuote"/>
      </w:pPr>
      <w:r>
        <w:t>“Kaynaklarda heyetin yapısı, mushafların sayısı ve gönderildikleri şehirler hakkında farklı rivâyetler bulunmakla birlikte, istinsah faaliyetinin öncelikli amacının ihtilafların toplumsal ayrışmaya dönüşmesini önleyecek ortak bir mushaf metni oluşturmak olduğu anlaşılmaktadır.”</w:t>
      </w:r>
    </w:p>
    <w:p>
      <w:pPr/>
      <w:r>
        <w:rPr>
          <w:b/>
        </w:rPr>
        <w:t xml:space="preserve">Sorun: </w:t>
      </w:r>
      <w:r>
        <w:t>Kaynaklarda Huzeyfe rivâyeti ve ihtilaf endişesi öne çıkabilir; fakat “öncelikli amaç” bütün mekanizmayı tek niyete indirger.</w:t>
      </w:r>
    </w:p>
    <w:p>
      <w:pPr/>
      <w:r>
        <w:rPr>
          <w:b/>
        </w:rPr>
        <w:t xml:space="preserve">Önerilen düzeltme: </w:t>
      </w:r>
      <w:r>
        <w:t>“Kaynaklarda heyetin yapısı, mushafların sayısı ve gönderildikleri şehirler hakkında farklı rivâyetler bulunmaktadır. İstinsah faaliyetine ilişkin rivâyetlerde öne çıkan gerekçelerden biri, okuyuş ihtilaflarının toplumsal ayrışmaya dönüşmesini önleyecek ortak bir mushaf metni oluşturmaktır.”</w:t>
      </w:r>
    </w:p>
    <w:p>
      <w:pPr/>
      <w:r>
        <w:rPr>
          <w:b/>
        </w:rPr>
        <w:t xml:space="preserve">Kaynak kontrolü gerekli: </w:t>
      </w:r>
      <w:r>
        <w:t>İlgili dipnotların bu amaç hiyerarşisini gerçekten bu kesinlikte kurup kurmadığı doğrulanmalıdır.</w:t>
      </w:r>
    </w:p>
    <w:p>
      <w:pPr>
        <w:pStyle w:val="Heading3"/>
        <w:keepNext/>
        <w:keepLines/>
      </w:pPr>
      <w:r>
        <w:t>GİR-03. Yöntem beyanı gövdeyle tam uygulanmıyor</w:t>
      </w:r>
    </w:p>
    <w:p>
      <w:pPr/>
      <w:r>
        <w:rPr>
          <w:b/>
        </w:rPr>
        <w:t xml:space="preserve">Kategori: </w:t>
      </w:r>
      <w:r>
        <w:t>Metodolojik / Yapısal</w:t>
      </w:r>
    </w:p>
    <w:p>
      <w:pPr/>
      <w:r>
        <w:rPr>
          <w:b/>
        </w:rPr>
        <w:t xml:space="preserve">Önem düzeyi: </w:t>
      </w:r>
      <w:r>
        <w:t>Kritik</w:t>
      </w:r>
    </w:p>
    <w:p>
      <w:pPr/>
      <w:r>
        <w:rPr>
          <w:b/>
        </w:rPr>
        <w:t xml:space="preserve">Yer: </w:t>
      </w:r>
      <w:r>
        <w:t>Giriş, yöntem ve kapsam paragrafları</w:t>
      </w:r>
    </w:p>
    <w:p>
      <w:pPr>
        <w:pStyle w:val="IssueQuote"/>
      </w:pPr>
      <w:r>
        <w:t>“Erken nakil, klasik yorum, çağdaş değerlendirme ve yazarın çıkarımı birbirinden ayrılmaya çalışılmaktadır.”</w:t>
      </w:r>
    </w:p>
    <w:p>
      <w:pPr/>
      <w:r>
        <w:rPr>
          <w:b/>
        </w:rPr>
        <w:t xml:space="preserve">Sorun: </w:t>
      </w:r>
      <w:r>
        <w:t>Bu yöntem ilkesi doğrudur; fakat 1.3–1.10, 3.4–3.6 ve 4.2–4.7’de kaynak görüşü ile yazarın tarihsel sonucu sık sık birleşmektedir. Sorun Girişte değil, ana gövdededir.</w:t>
      </w:r>
    </w:p>
    <w:p>
      <w:pPr/>
      <w:r>
        <w:rPr>
          <w:b/>
        </w:rPr>
        <w:t xml:space="preserve">Önerilen düzeltme: </w:t>
      </w:r>
      <w:r>
        <w:t>Girişteki yöntem paragrafı korunmalı; ana gövde bu beyana göre yeniden redakte edilmelidir. Her tartışmalı pasajda “rivâyet”, “klasik yorum”, “çağdaş değerlendirme” ve “bu verilerden hareketle yazarın değerlendirmesi” katmanları açıkça ayrılmalıdır.</w:t>
      </w:r>
    </w:p>
    <w:p>
      <w:pPr>
        <w:pStyle w:val="Heading2"/>
        <w:keepNext/>
        <w:keepLines/>
      </w:pPr>
      <w:r>
        <w:t>5. Birinci Bölüm</w:t>
      </w:r>
    </w:p>
    <w:p>
      <w:pPr>
        <w:pStyle w:val="Heading3"/>
        <w:keepNext/>
        <w:keepLines/>
      </w:pPr>
      <w:r>
        <w:t>B1-01. İslâm öncesi yazı verileri farklı kanıt düzeylerine rağmen aynı ağırlıkta sıralanıyor</w:t>
      </w:r>
    </w:p>
    <w:p>
      <w:pPr/>
      <w:r>
        <w:rPr>
          <w:b/>
        </w:rPr>
        <w:t xml:space="preserve">Kategori: </w:t>
      </w:r>
      <w:r>
        <w:t>Tarihsel / Metodolojik</w:t>
      </w:r>
    </w:p>
    <w:p>
      <w:pPr/>
      <w:r>
        <w:rPr>
          <w:b/>
        </w:rPr>
        <w:t xml:space="preserve">Önem düzeyi: </w:t>
      </w:r>
      <w:r>
        <w:t>Yüksek</w:t>
      </w:r>
    </w:p>
    <w:p>
      <w:pPr/>
      <w:r>
        <w:rPr>
          <w:b/>
        </w:rPr>
        <w:t xml:space="preserve">Yer: </w:t>
      </w:r>
      <w:r>
        <w:t>1.1, s.8–10</w:t>
      </w:r>
    </w:p>
    <w:p>
      <w:pPr>
        <w:pStyle w:val="IssueQuote"/>
      </w:pPr>
      <w:r>
        <w:t>“Cahiliye döneminde panayırlarda okunan ve büyük beğeni toplayan şiirlerin Kâbe duvarlarına asıldığına dair gelen rivâyetler...”</w:t>
      </w:r>
    </w:p>
    <w:p>
      <w:pPr/>
      <w:r>
        <w:rPr>
          <w:b/>
        </w:rPr>
        <w:t xml:space="preserve">Sorun: </w:t>
      </w:r>
      <w:r>
        <w:t>Hadis yazımı tartışması, Varaka, Kusay, Muallakât anlatısı, Abdülmuttalib belgesi ve Ubey b. Ka‘b kayıtları aynı düzeyde tarihsel delil gibi ilerlemektedir. Geç edebî rivâyet ile daha erken tarih/siyer haberi ayrılmalıdır.</w:t>
      </w:r>
    </w:p>
    <w:p>
      <w:pPr/>
      <w:r>
        <w:rPr>
          <w:b/>
        </w:rPr>
        <w:t xml:space="preserve">Önerilen düzeltme: </w:t>
      </w:r>
      <w:r>
        <w:t>“Bu veriler aynı kanıt değerine sahip değildir. Maddi/doğrudan yazı tanıkları, erken tarih ve siyer haberleri ile geç dönem edebî-kültürel rivâyetler ayrı gruplarda değerlendirilmelidir. Bu malzeme yazının bilindiğine işaret etmekle birlikte toplum genelinin okuryazarlık düzeyini tek başına belirlemeye elverişli değildir.”</w:t>
      </w:r>
    </w:p>
    <w:p>
      <w:pPr>
        <w:pStyle w:val="Heading3"/>
        <w:keepNext/>
        <w:keepLines/>
      </w:pPr>
      <w:r>
        <w:t>B1-02. 1.1’de belirgin dil ve tashih sorunları kalmış</w:t>
      </w:r>
    </w:p>
    <w:p>
      <w:pPr/>
      <w:r>
        <w:rPr>
          <w:b/>
        </w:rPr>
        <w:t xml:space="preserve">Kategori: </w:t>
      </w:r>
      <w:r>
        <w:t>Dil / Tashih</w:t>
      </w:r>
    </w:p>
    <w:p>
      <w:pPr/>
      <w:r>
        <w:rPr>
          <w:b/>
        </w:rPr>
        <w:t xml:space="preserve">Önem düzeyi: </w:t>
      </w:r>
      <w:r>
        <w:t>Orta</w:t>
      </w:r>
    </w:p>
    <w:p>
      <w:pPr/>
      <w:r>
        <w:rPr>
          <w:b/>
        </w:rPr>
        <w:t xml:space="preserve">Yer: </w:t>
      </w:r>
      <w:r>
        <w:t>1.1, s.8–10</w:t>
      </w:r>
    </w:p>
    <w:p>
      <w:pPr>
        <w:pStyle w:val="IssueQuote"/>
      </w:pPr>
      <w:r>
        <w:t>“Özellikle ticaretle uğraşanlar ve şehir hayatına daha yakın yaşayanlar ve bazı seçkin kimseler...”</w:t>
      </w:r>
    </w:p>
    <w:p>
      <w:pPr/>
      <w:r>
        <w:rPr>
          <w:b/>
        </w:rPr>
        <w:t xml:space="preserve">Sorun: </w:t>
      </w:r>
      <w:r>
        <w:t>Çift “ve”; ayrıca “ortaya daha şu mutedil tablo”, “otaya koymaktadır”, “bakımında önemlidir” gibi bozuk yapılar vardır.</w:t>
      </w:r>
    </w:p>
    <w:p>
      <w:pPr/>
      <w:r>
        <w:rPr>
          <w:b/>
        </w:rPr>
        <w:t xml:space="preserve">Editoryal öneri: </w:t>
      </w:r>
      <w:r>
        <w:t>“Özellikle ticaretle uğraşanlar, şehir hayatına daha yakın çevreler ve bazı seçkin kimseler arasında yazının kullanıldığına dair bilgiler bulunmaktadır.” Diğer mikro tashihler 16. bölümde toplu gösterilmiştir.</w:t>
      </w:r>
    </w:p>
    <w:p>
      <w:pPr>
        <w:pStyle w:val="Heading3"/>
        <w:keepNext/>
        <w:keepLines/>
      </w:pPr>
      <w:r>
        <w:t>B1-03. Mekkî vahyin tamamının yazıldığı eski kesin hüküm düzeltilmiş</w:t>
      </w:r>
    </w:p>
    <w:p>
      <w:pPr/>
      <w:r>
        <w:rPr>
          <w:b/>
        </w:rPr>
        <w:t xml:space="preserve">Kategori: </w:t>
      </w:r>
      <w:r>
        <w:t>Tarihsel</w:t>
      </w:r>
    </w:p>
    <w:p>
      <w:pPr/>
      <w:r>
        <w:rPr>
          <w:b/>
        </w:rPr>
        <w:t xml:space="preserve">Önem düzeyi: </w:t>
      </w:r>
      <w:r>
        <w:t>Düşük</w:t>
      </w:r>
    </w:p>
    <w:p>
      <w:pPr/>
      <w:r>
        <w:rPr>
          <w:b/>
        </w:rPr>
        <w:t xml:space="preserve">Yer: </w:t>
      </w:r>
      <w:r>
        <w:t>1.2, s.11</w:t>
      </w:r>
    </w:p>
    <w:p>
      <w:pPr>
        <w:pStyle w:val="IssueQuote"/>
      </w:pPr>
      <w: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pPr/>
      <w:r>
        <w:rPr>
          <w:b/>
        </w:rPr>
        <w:t xml:space="preserve">Sorun: </w:t>
      </w:r>
      <w:r>
        <w:t>Önceki rapordaki yüksek öncelikli sorun bu sürümde esasen giderilmiştir. Yalnız cümle sonunda nokta eksikliği bulunmaktadır.</w:t>
      </w:r>
    </w:p>
    <w:p>
      <w:pPr/>
      <w:r>
        <w:rPr>
          <w:b/>
        </w:rPr>
        <w:t xml:space="preserve">Önerilen düzeltme: </w:t>
      </w:r>
      <w:r>
        <w:t>Mevcut ihtiyatlı form korunmalı; yalnız noktalama tamamlanmalıdır.</w:t>
      </w:r>
    </w:p>
    <w:p>
      <w:pPr>
        <w:pStyle w:val="Heading3"/>
        <w:keepNext/>
        <w:keepLines/>
      </w:pPr>
      <w:r>
        <w:t>B1-04. Yayıma açık editör notu ana metinde kalmış</w:t>
      </w:r>
    </w:p>
    <w:p>
      <w:pPr/>
      <w:r>
        <w:rPr>
          <w:b/>
        </w:rPr>
        <w:t xml:space="preserve">Kategori: </w:t>
      </w:r>
      <w:r>
        <w:t>Teknik / Dil</w:t>
      </w:r>
    </w:p>
    <w:p>
      <w:pPr/>
      <w:r>
        <w:rPr>
          <w:b/>
        </w:rPr>
        <w:t xml:space="preserve">Önem düzeyi: </w:t>
      </w:r>
      <w:r>
        <w:t>Kritik</w:t>
      </w:r>
    </w:p>
    <w:p>
      <w:pPr/>
      <w:r>
        <w:rPr>
          <w:b/>
        </w:rPr>
        <w:t xml:space="preserve">Yer: </w:t>
      </w:r>
      <w:r>
        <w:t>1.2, s.11</w:t>
      </w:r>
    </w:p>
    <w:p>
      <w:pPr>
        <w:pStyle w:val="IssueQuote"/>
      </w:pPr>
      <w:r>
        <w:t>“Üçüncü olarak sûrelerin tertibinin nüzûl sırasına göre olmaması ve vahyin inişinin devam etmesidir.(bu maddeyi ikinci maddeye yedirecektiniz)”</w:t>
      </w:r>
    </w:p>
    <w:p>
      <w:pPr/>
      <w:r>
        <w:rPr>
          <w:b/>
        </w:rPr>
        <w:t xml:space="preserve">Sorun: </w:t>
      </w:r>
      <w:r>
        <w:t>Parantez içi not kitap metni değildir ve basıma sızmıştır.</w:t>
      </w:r>
    </w:p>
    <w:p>
      <w:pPr/>
      <w:r>
        <w:rPr>
          <w:b/>
        </w:rPr>
        <w:t xml:space="preserve">Önerilen düzeltme: </w:t>
      </w:r>
      <w:r>
        <w:t>Not tamamen silinmeli; üçüncü gerekçe ikinci gerekçeye yedirilerek paragraf üç yerine iki ana gerekçe etrafında kurulmalıdır.</w:t>
      </w:r>
    </w:p>
    <w:p>
      <w:pPr>
        <w:pStyle w:val="Heading3"/>
        <w:keepNext/>
        <w:keepLines/>
      </w:pPr>
      <w:r>
        <w:t>B1-05. Vahiy metinlerinin muhafazasına ilişkin iki model hâlâ fazla kurumsal kesinlikle anlatılıyor</w:t>
      </w:r>
    </w:p>
    <w:p>
      <w:pPr/>
      <w:r>
        <w:rPr>
          <w:b/>
        </w:rPr>
        <w:t xml:space="preserve">Kategori: </w:t>
      </w:r>
      <w:r>
        <w:t>Tarihsel / Metodolojik</w:t>
      </w:r>
    </w:p>
    <w:p>
      <w:pPr/>
      <w:r>
        <w:rPr>
          <w:b/>
        </w:rPr>
        <w:t xml:space="preserve">Önem düzeyi: </w:t>
      </w:r>
      <w:r>
        <w:t>Yüksek</w:t>
      </w:r>
    </w:p>
    <w:p>
      <w:pPr/>
      <w:r>
        <w:rPr>
          <w:b/>
        </w:rPr>
        <w:t xml:space="preserve">Yer: </w:t>
      </w:r>
      <w:r>
        <w:t>1.2, s.12</w:t>
      </w:r>
    </w:p>
    <w:p>
      <w:pPr>
        <w:pStyle w:val="IssueQuote"/>
      </w:pPr>
      <w:r>
        <w:t>“Birinci görüşe göre vahiy kâtipleri tarafından yazılan metinler Hz. Peygamber tarafından kontrol edilmiş ve onun hâne-i saâdetlerinde muhafaza altına alınmıştır.”</w:t>
      </w:r>
    </w:p>
    <w:p>
      <w:pPr/>
      <w:r>
        <w:rPr>
          <w:b/>
        </w:rPr>
        <w:t xml:space="preserve">Sorun: </w:t>
      </w:r>
      <w:r>
        <w:t>“Rivâyetlerdeki dağınık bilgilerden hareketle” sınırı eklenmiş olsa da “asıl nüsha, çoğaltma, teslim” gibi terimler merkezi ve düzenli arşiv sistemini olduğundan kesin gösterebilir.</w:t>
      </w:r>
    </w:p>
    <w:p>
      <w:pPr/>
      <w:r>
        <w:rPr>
          <w:b/>
        </w:rPr>
        <w:t xml:space="preserve">Önerilen düzeltme: </w:t>
      </w:r>
      <w:r>
        <w:t>“Rivâyetlerdeki dağınık bilgilerden hareketle, yazılı vahiy malzemesinin muhafazasına ilişkin iki farklı açıklama geliştirilmiştir. Bu açıklamalar kurumsal arşiv sistemleri olarak değil, mevcut haberlerden yapılan tarihsel yeniden inşalar olarak değerlendirilmelidir.”</w:t>
      </w:r>
    </w:p>
    <w:p>
      <w:pPr/>
      <w:r>
        <w:rPr>
          <w:b/>
        </w:rPr>
        <w:t xml:space="preserve">Kaynak kontrolü gerekli: </w:t>
      </w:r>
      <w:r>
        <w:t>İlgili rivâyetlerin gerçekten “asıl nüsha/teslim/çoğaltma” düzenini açıkça söyleyip söylemediği kontrol edilmelidir.</w:t>
      </w:r>
    </w:p>
    <w:p>
      <w:pPr>
        <w:pStyle w:val="Heading3"/>
        <w:keepNext/>
        <w:keepLines/>
      </w:pPr>
      <w:r>
        <w:t>B1-06. Hz. Peygamber dönemindeki cem yalnız ezber anlamına indirgeniyor</w:t>
      </w:r>
    </w:p>
    <w:p>
      <w:pPr/>
      <w:r>
        <w:rPr>
          <w:b/>
        </w:rPr>
        <w:t xml:space="preserve">Kategori: </w:t>
      </w:r>
      <w:r>
        <w:t>Kavramsal / Tarihsel</w:t>
      </w:r>
    </w:p>
    <w:p>
      <w:pPr/>
      <w:r>
        <w:rPr>
          <w:b/>
        </w:rPr>
        <w:t xml:space="preserve">Önem düzeyi: </w:t>
      </w:r>
      <w:r>
        <w:t>Kritik</w:t>
      </w:r>
    </w:p>
    <w:p>
      <w:pPr/>
      <w:r>
        <w:rPr>
          <w:b/>
        </w:rPr>
        <w:t xml:space="preserve">Yer: </w:t>
      </w:r>
      <w:r>
        <w:t>1.3, s.13</w:t>
      </w:r>
    </w:p>
    <w:p>
      <w:pPr>
        <w:pStyle w:val="IssueQuote"/>
      </w:pPr>
      <w:r>
        <w:t>“Dolayısıyla Hz. Peygamber dönemindeki toplama, hafızada bir araya getirme iken Hz. Ebû Bekir dönemindeki toplama yazılı malzemelerin sistemli şekilde derlenmesini ifade etmektedir.”</w:t>
      </w:r>
    </w:p>
    <w:p>
      <w:pPr/>
      <w:r>
        <w:rPr>
          <w:b/>
        </w:rPr>
        <w:t xml:space="preserve">Sorun: </w:t>
      </w:r>
      <w:r>
        <w:t>Cem kelimesinin farklı rivâyet bağlamlarında ezber, yazı veya bir araya getirme anlamları bulunabilir. Tek bir dönemsel eşitlik kurmak aşırı kesinlik yaratır.</w:t>
      </w:r>
    </w:p>
    <w:p>
      <w:pPr/>
      <w:r>
        <w:rPr>
          <w:b/>
        </w:rPr>
        <w:t xml:space="preserve">Önerilen düzeltme: </w:t>
      </w:r>
      <w:r>
        <w:t>“Hz. Peygamber dönemine ilişkin rivâyetlerde geçen cem ifadesi bağlama göre ezberleme, yazıyla kayıt altına alma veya mevcut malzemeyi bir araya getirme anlamlarında kullanılabilmektedir. Hz. Ebû Bekir dönemindeki cem ise dağınık yazılı malzemenin resmî bir derleme içinde toplanması yönüyle önceki uygulamalardan ayrılmaktadır.”</w:t>
      </w:r>
    </w:p>
    <w:p>
      <w:pPr>
        <w:pStyle w:val="Heading3"/>
        <w:keepNext/>
        <w:keepLines/>
      </w:pPr>
      <w:r>
        <w:t>B1-07. Hârice’nin kimliği metin içinde çelişiyor</w:t>
      </w:r>
    </w:p>
    <w:p>
      <w:pPr/>
      <w:r>
        <w:rPr>
          <w:b/>
        </w:rPr>
        <w:t xml:space="preserve">Kategori: </w:t>
      </w:r>
      <w:r>
        <w:t>Tarihsel / Tashih</w:t>
      </w:r>
    </w:p>
    <w:p>
      <w:pPr/>
      <w:r>
        <w:rPr>
          <w:b/>
        </w:rPr>
        <w:t xml:space="preserve">Önem düzeyi: </w:t>
      </w:r>
      <w:r>
        <w:t>Kritik</w:t>
      </w:r>
    </w:p>
    <w:p>
      <w:pPr/>
      <w:r>
        <w:rPr>
          <w:b/>
        </w:rPr>
        <w:t xml:space="preserve">Yer: </w:t>
      </w:r>
      <w:r>
        <w:t>1.3, s.13–14</w:t>
      </w:r>
    </w:p>
    <w:p>
      <w:pPr>
        <w:pStyle w:val="IssueQuote"/>
      </w:pPr>
      <w:r>
        <w:t>“Zeyd b. Sâbit’in kızı Hârice’den (ö. 100/718) gelen aktarıma göre...”</w:t>
      </w:r>
    </w:p>
    <w:p>
      <w:pPr/>
      <w:r>
        <w:rPr>
          <w:b/>
        </w:rPr>
        <w:t xml:space="preserve">Sorun: </w:t>
      </w:r>
      <w:r>
        <w:t>Aynı bölümde daha sonra “Hârice b. Zeyd” biçimi kullanılır. Kişinin cinsiyeti/nesebi iki farklı kimlik gibi görünmektedir.</w:t>
      </w:r>
    </w:p>
    <w:p>
      <w:pPr/>
      <w:r>
        <w:rPr>
          <w:b/>
        </w:rPr>
        <w:t xml:space="preserve">Önerilen düzeltme: </w:t>
      </w:r>
      <w:r>
        <w:t>Hazır düzeltme üretmek için kaynak doğrulaması gerekiyor. İlgili isnaddaki kişinin tam kimliği kaynaktan doğrulanmalı; bütün metin tek biçime getirilmeli.</w:t>
      </w:r>
    </w:p>
    <w:p>
      <w:pPr/>
      <w:r>
        <w:rPr>
          <w:b/>
        </w:rPr>
        <w:t xml:space="preserve">Kaynak kontrolü gerekli: </w:t>
      </w:r>
      <w:r>
        <w:t>İbn Ebû Dâvud/Suyûtî atfındaki isnad ve kişi kaydı kontrol edilmelidir.</w:t>
      </w:r>
    </w:p>
    <w:p>
      <w:pPr>
        <w:pStyle w:val="Heading3"/>
        <w:keepNext/>
        <w:keepLines/>
      </w:pPr>
      <w:r>
        <w:t>B1-08. Suhuf ile mushaf terimleri aynı malzeme için kayıyor</w:t>
      </w:r>
    </w:p>
    <w:p>
      <w:pPr/>
      <w:r>
        <w:rPr>
          <w:b/>
        </w:rPr>
        <w:t xml:space="preserve">Kategori: </w:t>
      </w:r>
      <w:r>
        <w:t>Terminoloji</w:t>
      </w:r>
    </w:p>
    <w:p>
      <w:pPr/>
      <w:r>
        <w:rPr>
          <w:b/>
        </w:rPr>
        <w:t xml:space="preserve">Önem düzeyi: </w:t>
      </w:r>
      <w:r>
        <w:t>Orta</w:t>
      </w:r>
    </w:p>
    <w:p>
      <w:pPr/>
      <w:r>
        <w:rPr>
          <w:b/>
        </w:rPr>
        <w:t xml:space="preserve">Yer: </w:t>
      </w:r>
      <w:r>
        <w:t>1.3, s.14–15</w:t>
      </w:r>
    </w:p>
    <w:p>
      <w:pPr>
        <w:pStyle w:val="IssueQuote"/>
      </w:pPr>
      <w:r>
        <w:t>“Daha sonraki dönemlerde bu sahifelerin akıbeti... Hz. Osman zamanında mushafın çoğaltılması meselesi gündeme gelindiğinde, mushaf Hz. Hafsa’dan ödünç alınarak...”</w:t>
      </w:r>
    </w:p>
    <w:p>
      <w:pPr/>
      <w:r>
        <w:rPr>
          <w:b/>
        </w:rPr>
        <w:t xml:space="preserve">Sorun: </w:t>
      </w:r>
      <w:r>
        <w:t>Ebû Bekir döneminde derlenen malzeme önce sahifeler/suhuf olarak adlandırılırken hemen sonra “mushaf”a dönüşmektedir.</w:t>
      </w:r>
    </w:p>
    <w:p>
      <w:pPr/>
      <w:r>
        <w:rPr>
          <w:b/>
        </w:rPr>
        <w:t xml:space="preserve">Önerilen düzeltme: </w:t>
      </w:r>
      <w:r>
        <w:t>“Daha sonraki dönemlerde bu suhufun akıbeti hakkında farklı rivâyetler bulunmaktadır. Hz. Osman dönemindeki istinsah gündeme geldiğinde, Hz. Hafsa’nın yanında bulunan suhuf ödünç alınmış ve istinsahın ardından kendisine iade edilmiştir.”</w:t>
      </w:r>
    </w:p>
    <w:p>
      <w:pPr>
        <w:pStyle w:val="Heading3"/>
        <w:keepNext/>
        <w:keepLines/>
      </w:pPr>
      <w:r>
        <w:t>B1-09. Ebû Bekir suhufu “yedi harfi ihtiva etti” şeklinde kesinleştiriliyor</w:t>
      </w:r>
    </w:p>
    <w:p>
      <w:pPr/>
      <w:r>
        <w:rPr>
          <w:b/>
        </w:rPr>
        <w:t xml:space="preserve">Kategori: </w:t>
      </w:r>
      <w:r>
        <w:t>Tarihsel / Kaynak</w:t>
      </w:r>
    </w:p>
    <w:p>
      <w:pPr/>
      <w:r>
        <w:rPr>
          <w:b/>
        </w:rPr>
        <w:t xml:space="preserve">Önem düzeyi: </w:t>
      </w:r>
      <w:r>
        <w:t>Kritik</w:t>
      </w:r>
    </w:p>
    <w:p>
      <w:pPr/>
      <w:r>
        <w:rPr>
          <w:b/>
        </w:rPr>
        <w:t xml:space="preserve">Yer: </w:t>
      </w:r>
      <w:r>
        <w:t>1.3, s.14–15</w:t>
      </w:r>
    </w:p>
    <w:p>
      <w:pPr>
        <w:pStyle w:val="IssueQuote"/>
      </w:pPr>
      <w:r>
        <w:t>“Nitekim kaynaklarda Hz. Ebû Bekir’in emriyle derlenen Kur’an nüshasının “yedi harf”i ihtiva ettiği...”</w:t>
      </w:r>
    </w:p>
    <w:p>
      <w:pPr/>
      <w:r>
        <w:rPr>
          <w:b/>
        </w:rPr>
        <w:t xml:space="preserve">Sorun: </w:t>
      </w:r>
      <w:r>
        <w:t>Bu, ihtilaflı bir açıklamayı tartışmasız tarihsel sonuca dönüştürür. Girişte yedi harf meselesinin çözülmediği özellikle söylenmiştir.</w:t>
      </w:r>
    </w:p>
    <w:p>
      <w:pPr/>
      <w:r>
        <w:rPr>
          <w:b/>
        </w:rPr>
        <w:t xml:space="preserve">Önerilen düzeltme: </w:t>
      </w:r>
      <w:r>
        <w:t>“Bazı âlimler, Ebû Bekir döneminde derlenen suhufun yedi harf ruhsatı içinde nakledilen farklı vecihleri bütünüyle dışlamadığını ileri sürmüşlerdir. Bu açıklama, konuya ilişkin yorumlardan biri olarak değerlendirilmelidir.”</w:t>
      </w:r>
    </w:p>
    <w:p>
      <w:pPr/>
      <w:r>
        <w:rPr>
          <w:b/>
        </w:rPr>
        <w:t xml:space="preserve">Kaynak kontrolü gerekli: </w:t>
      </w:r>
      <w:r>
        <w:t>Bu görüşü açıkça savunan müellifler ve karşı açıklamalar ayrı ayrı doğrulanmalıdır.</w:t>
      </w:r>
    </w:p>
    <w:p>
      <w:pPr>
        <w:pStyle w:val="Heading3"/>
        <w:keepNext/>
        <w:keepLines/>
      </w:pPr>
      <w:r>
        <w:t>B1-10. Mervân’ın psikolojik gerekçesi sonradan kurulan teoriyle özdeşleştiriliyor</w:t>
      </w:r>
    </w:p>
    <w:p>
      <w:pPr/>
      <w:r>
        <w:rPr>
          <w:b/>
        </w:rPr>
        <w:t xml:space="preserve">Kategori: </w:t>
      </w:r>
      <w:r>
        <w:t>Tarihsel / Metodolojik</w:t>
      </w:r>
    </w:p>
    <w:p>
      <w:pPr/>
      <w:r>
        <w:rPr>
          <w:b/>
        </w:rPr>
        <w:t xml:space="preserve">Önem düzeyi: </w:t>
      </w:r>
      <w:r>
        <w:t>Kritik</w:t>
      </w:r>
    </w:p>
    <w:p>
      <w:pPr/>
      <w:r>
        <w:rPr>
          <w:b/>
        </w:rPr>
        <w:t xml:space="preserve">Yer: </w:t>
      </w:r>
      <w:r>
        <w:t>1.3, s.14</w:t>
      </w:r>
    </w:p>
    <w:p>
      <w:pPr>
        <w:pStyle w:val="IssueQuote"/>
      </w:pPr>
      <w:r>
        <w:t>“Görünen o ki, Mervân b. Hakem’i söz konusu sahifeleri imha etmeye sevk eden temel endişe, Hz. Ebû Bekir döneminde cem edilen mushafın “yedi harf” ruhsatını yansıtıyor olması...”</w:t>
      </w:r>
    </w:p>
    <w:p>
      <w:pPr/>
      <w:r>
        <w:rPr>
          <w:b/>
        </w:rPr>
        <w:t xml:space="preserve">Sorun: </w:t>
      </w:r>
      <w:r>
        <w:t>Mervân’a nispet edilen sözün açık gerekçesi ile yedi harf/arza-i âhire teorisi birbirine karışmaktadır. “Görünen o ki” bu niyet atfını yeterince sınırlamaz.</w:t>
      </w:r>
    </w:p>
    <w:p>
      <w:pPr/>
      <w:r>
        <w:rPr>
          <w:b/>
        </w:rPr>
        <w:t xml:space="preserve">Önerilen düzeltme: </w:t>
      </w:r>
      <w:r>
        <w:t>“Mervân’a nispet edilen açıklama, Ebû Bekir dönemindeki suhuf ile Osmânî mushaflar arasında eksiklik veya fazlalık bulunduğu iddiasının ileride ortaya çıkmasından endişe edildiğini göstermektedir. Bazı müellifler bu endişeyi yedi harf ve arza-i âhire tartışmasıyla ilişkilendirmiştir.”</w:t>
      </w:r>
    </w:p>
    <w:p>
      <w:pPr/>
      <w:r>
        <w:rPr>
          <w:b/>
        </w:rPr>
        <w:t xml:space="preserve">Kaynak kontrolü gerekli: </w:t>
      </w:r>
      <w:r>
        <w:t>İkinci cümlenin hangi müelliflere dayandığı açık dipnotla gösterilmelidir.</w:t>
      </w:r>
    </w:p>
    <w:p>
      <w:pPr>
        <w:pStyle w:val="Heading3"/>
        <w:keepNext/>
        <w:keepLines/>
      </w:pPr>
      <w:r>
        <w:t>B1-11. Arza-i âhire ile istinsah arasında tarihsel mekanizma kesin kuruluyor</w:t>
      </w:r>
    </w:p>
    <w:p>
      <w:pPr/>
      <w:r>
        <w:rPr>
          <w:b/>
        </w:rPr>
        <w:t xml:space="preserve">Kategori: </w:t>
      </w:r>
      <w:r>
        <w:t>Tarihsel / Kaynak</w:t>
      </w:r>
    </w:p>
    <w:p>
      <w:pPr/>
      <w:r>
        <w:rPr>
          <w:b/>
        </w:rPr>
        <w:t xml:space="preserve">Önem düzeyi: </w:t>
      </w:r>
      <w:r>
        <w:t>Kritik</w:t>
      </w:r>
    </w:p>
    <w:p>
      <w:pPr/>
      <w:r>
        <w:rPr>
          <w:b/>
        </w:rPr>
        <w:t xml:space="preserve">Yer: </w:t>
      </w:r>
      <w:r>
        <w:t>1.3 sonu ve 1.4</w:t>
      </w:r>
    </w:p>
    <w:p>
      <w:pPr>
        <w:pStyle w:val="IssueQuote"/>
      </w:pPr>
      <w:r>
        <w:t>“Hz. Osman’ın istinsah faaliyetleri de bu son arzayı esas almış...”</w:t>
      </w:r>
    </w:p>
    <w:p>
      <w:pPr/>
      <w:r>
        <w:rPr>
          <w:b/>
        </w:rPr>
        <w:t xml:space="preserve">Sorun: </w:t>
      </w:r>
      <w:r>
        <w:t>Arza-i âhire ile Osmânî istinsahın ilişkisi klasik açıklamalarda güçlü biçimde kurulabilir; ancak “esas almış” tarihsel mekanizmayı kesinleştirir.</w:t>
      </w:r>
    </w:p>
    <w:p>
      <w:pPr/>
      <w:r>
        <w:rPr>
          <w:b/>
        </w:rPr>
        <w:t xml:space="preserve">Önerilen düzeltme: </w:t>
      </w:r>
      <w:r>
        <w:t>“Klasik kaynakların bir kısmında Osmânî istinsahın arza-i âhirede kesinleştiği kabul edilen okuyuş düzeniyle uyumlu biçimde gerçekleştirildiği ifade edilmiştir. Bu açıklama, istinsahın tarihsel mekanizmasını tartışmasız biçimde belirleyen bir veri olarak değil, klasik yorum çerçevelerinden biri olarak değerlendirilmelidir.”</w:t>
      </w:r>
    </w:p>
    <w:p>
      <w:pPr/>
      <w:r>
        <w:rPr>
          <w:b/>
        </w:rPr>
        <w:t xml:space="preserve">Kaynak kontrolü gerekli: </w:t>
      </w:r>
      <w:r>
        <w:t>Bu ilişkiyi kuran kaynakların açık ifadeleri karşılaştırılmalıdır.</w:t>
      </w:r>
    </w:p>
    <w:p>
      <w:pPr>
        <w:pStyle w:val="Heading3"/>
        <w:keepNext/>
        <w:keepLines/>
      </w:pPr>
      <w:r>
        <w:t>B1-12. “التابوت” örneğinde lehçe, telaffuz ve imlâ iç içe geçiyor</w:t>
      </w:r>
    </w:p>
    <w:p>
      <w:pPr/>
      <w:r>
        <w:rPr>
          <w:b/>
        </w:rPr>
        <w:t xml:space="preserve">Kategori: </w:t>
      </w:r>
      <w:r>
        <w:t>Kavramsal / Filolojik</w:t>
      </w:r>
    </w:p>
    <w:p>
      <w:pPr/>
      <w:r>
        <w:rPr>
          <w:b/>
        </w:rPr>
        <w:t xml:space="preserve">Önem düzeyi: </w:t>
      </w:r>
      <w:r>
        <w:t>Yüksek</w:t>
      </w:r>
    </w:p>
    <w:p>
      <w:pPr/>
      <w:r>
        <w:rPr>
          <w:b/>
        </w:rPr>
        <w:t xml:space="preserve">Yer: </w:t>
      </w:r>
      <w:r>
        <w:t>1.4, s.18</w:t>
      </w:r>
    </w:p>
    <w:p>
      <w:pPr>
        <w:pStyle w:val="IssueQuote"/>
      </w:pPr>
      <w:r>
        <w:t>“... tabut kelimesinin sonundaki “ta” harfinin açık “ta” ile mi yoksa kapalı “ta” ile mi yazımında fikir ayrılığı olduğu, heyet üyelerinin Hz. Osman’ın talimatlarına bağlı kalarak Kureyş lehçesi doğrultusunda açık “ta” ile yazdıklarından bahsedilmektedir.”</w:t>
      </w:r>
    </w:p>
    <w:p>
      <w:pPr/>
      <w:r>
        <w:rPr>
          <w:b/>
        </w:rPr>
        <w:t xml:space="preserve">Sorun: </w:t>
      </w:r>
      <w:r>
        <w:t>Rivâyet bir yazım tercihi ihtilafını aktarırken metin bunu doğrudan Kureyş lehçesinin grafik/fonetik karşılığına dönüştürmektedir.</w:t>
      </w:r>
    </w:p>
    <w:p>
      <w:pPr/>
      <w:r>
        <w:rPr>
          <w:b/>
        </w:rPr>
        <w:t xml:space="preserve">Önerilen düzeltme: </w:t>
      </w:r>
      <w:r>
        <w:t>“Bu rivâyet, heyetin yazım ihtilafında Kureyş’e nispet edilen kullanımı esas aldığını göstermektedir. Bununla birlikte söz konusu tercihin lehçe, telaffuz veya dönemin imlâ teamülüyle ilişkisi ayrıca açıklanmadan yazım biçimi doğrudan Kureyş lehçesinin fonetik karşılığı sayılmamalıdır.”</w:t>
      </w:r>
    </w:p>
    <w:p>
      <w:pPr/>
      <w:r>
        <w:rPr>
          <w:b/>
        </w:rPr>
        <w:t xml:space="preserve">Kaynak kontrolü gerekli: </w:t>
      </w:r>
      <w:r>
        <w:t>“Sadece bu kelimede ihtilaf edildiği” iddiasının kaynak kapsamı doğrulanmalıdır.</w:t>
      </w:r>
    </w:p>
    <w:p>
      <w:pPr>
        <w:pStyle w:val="Heading3"/>
        <w:keepNext/>
        <w:keepLines/>
      </w:pPr>
      <w:r>
        <w:t>B1-13. Mushaf sayısında kesin “altı” sentezi kaynakların önüne geçiyor</w:t>
      </w:r>
    </w:p>
    <w:p>
      <w:pPr/>
      <w:r>
        <w:rPr>
          <w:b/>
        </w:rPr>
        <w:t xml:space="preserve">Kategori: </w:t>
      </w:r>
      <w:r>
        <w:t>Tarihsel / Kaynak</w:t>
      </w:r>
    </w:p>
    <w:p>
      <w:pPr/>
      <w:r>
        <w:rPr>
          <w:b/>
        </w:rPr>
        <w:t xml:space="preserve">Önem düzeyi: </w:t>
      </w:r>
      <w:r>
        <w:t>Kritik</w:t>
      </w:r>
    </w:p>
    <w:p>
      <w:pPr/>
      <w:r>
        <w:rPr>
          <w:b/>
        </w:rPr>
        <w:t xml:space="preserve">Yer: </w:t>
      </w:r>
      <w:r>
        <w:t>1.5, s.22–23</w:t>
      </w:r>
    </w:p>
    <w:p>
      <w:pPr>
        <w:pStyle w:val="IssueQuote"/>
      </w:pPr>
      <w:r>
        <w:t>“Bu çerçevede altı mushafın yazıldığı yönündeki görüş daha güçlü görünmektedir.”</w:t>
      </w:r>
    </w:p>
    <w:p>
      <w:pPr/>
      <w:r>
        <w:rPr>
          <w:b/>
        </w:rPr>
        <w:t xml:space="preserve">Sorun: </w:t>
      </w:r>
      <w:r>
        <w:t>Metin farklı rivâyetleri kabul ettikten sonra “altı”yı birkaç defa en güçlü/ortak kanaat olarak kurmaktadır; 4.1’de ise “çoğunluk dört nüsha” denir. Ayrıca toplam nüsha, şehirlere gönderilen nüsha ve halifenin yanında kalan nüsha aynı hesapta karışır.</w:t>
      </w:r>
    </w:p>
    <w:p>
      <w:pPr/>
      <w:r>
        <w:rPr>
          <w:b/>
        </w:rPr>
        <w:t xml:space="preserve">Önerilen düzeltme: </w:t>
      </w:r>
      <w:r>
        <w:t>“Kaynaklarda mushafların sayısı ve gönderildikleri merkezler hakkında farklı rivâyetler bulunmaktadır. Mekke, Medine, Kûfe, Basra ve Şam mushaflarına ilişkin kayıtlar daha belirgin görünmekle birlikte, mevcut veriler toplam nüsha sayısını tartışmasız biçimde belirlemeye elverişli değildir. Halifenin yanında kalan nüsha ile Medine mushafının ayrı sayılması hâlinde altı nüsha ihtimali ortaya çıkmaktadır; bu sonuç rivâyetlerin mukayesesine dayanan bir yeniden inşa olarak değerlendirilmelidir.”</w:t>
      </w:r>
    </w:p>
    <w:p>
      <w:pPr/>
      <w:r>
        <w:rPr>
          <w:b/>
        </w:rPr>
        <w:t xml:space="preserve">Kaynak kontrolü gerekli: </w:t>
      </w:r>
      <w:r>
        <w:t>Her modern araştırmacının açıkça hangi sayıyı savunduğu tek tek doğrulanmalıdır.</w:t>
      </w:r>
    </w:p>
    <w:p>
      <w:pPr>
        <w:pStyle w:val="Heading3"/>
        <w:keepNext/>
        <w:keepLines/>
      </w:pPr>
      <w:r>
        <w:t>B1-14. Bir cümle bağlamın tersini söylüyor</w:t>
      </w:r>
    </w:p>
    <w:p>
      <w:pPr/>
      <w:r>
        <w:rPr>
          <w:b/>
        </w:rPr>
        <w:t xml:space="preserve">Kategori: </w:t>
      </w:r>
      <w:r>
        <w:t>Dil / Mantık</w:t>
      </w:r>
    </w:p>
    <w:p>
      <w:pPr/>
      <w:r>
        <w:rPr>
          <w:b/>
        </w:rPr>
        <w:t xml:space="preserve">Önem düzeyi: </w:t>
      </w:r>
      <w:r>
        <w:t>Kritik</w:t>
      </w:r>
    </w:p>
    <w:p>
      <w:pPr/>
      <w:r>
        <w:rPr>
          <w:b/>
        </w:rPr>
        <w:t xml:space="preserve">Yer: </w:t>
      </w:r>
      <w:r>
        <w:t>1.5, s.22</w:t>
      </w:r>
    </w:p>
    <w:p>
      <w:pPr>
        <w:pStyle w:val="IssueQuote"/>
      </w:pPr>
      <w:r>
        <w:t>“Yemen, Bahreyn, Mısır ve el-Cezîre’ye mushaf gönderildiğine dair rivâyetler ise ya geç dönem kaynaklarına dayanmakta ya da doğrudan metinsel farklılıklara dair somut delillerle desteklenmektedir.”</w:t>
      </w:r>
    </w:p>
    <w:p>
      <w:pPr/>
      <w:r>
        <w:rPr>
          <w:b/>
        </w:rPr>
        <w:t xml:space="preserve">Sorun: </w:t>
      </w:r>
      <w:r>
        <w:t>Paragrafın amacı bu merkezler için somut desteğin zayıf olduğunu savunmaktır; “desteklenmektedir” bağlamın tersini üretir.</w:t>
      </w:r>
    </w:p>
    <w:p>
      <w:pPr/>
      <w:r>
        <w:rPr>
          <w:b/>
        </w:rPr>
        <w:t xml:space="preserve">Önerilen düzeltme: </w:t>
      </w:r>
      <w:r>
        <w:t>“Yemen, Bahreyn, Mısır ve el-Cezîre’ye mushaf gönderildiğine dair rivâyetler ise ya geç dönem kaynaklarına dayanmakta ya da doğrudan yazım farklılıklarına ilişkin somut verilerle desteklenmemektedir.”</w:t>
      </w:r>
    </w:p>
    <w:p>
      <w:pPr>
        <w:pStyle w:val="Heading3"/>
        <w:keepNext/>
        <w:keepLines/>
      </w:pPr>
      <w:r>
        <w:t>B1-15. Çağdaş araştırmacılara ortak “altı mushaf” kanaati nispet ediliyor</w:t>
      </w:r>
    </w:p>
    <w:p>
      <w:pPr/>
      <w:r>
        <w:rPr>
          <w:b/>
        </w:rPr>
        <w:t xml:space="preserve">Kategori: </w:t>
      </w:r>
      <w:r>
        <w:t>Kaynak / Metodolojik</w:t>
      </w:r>
    </w:p>
    <w:p>
      <w:pPr/>
      <w:r>
        <w:rPr>
          <w:b/>
        </w:rPr>
        <w:t xml:space="preserve">Önem düzeyi: </w:t>
      </w:r>
      <w:r>
        <w:t>Yüksek</w:t>
      </w:r>
    </w:p>
    <w:p>
      <w:pPr/>
      <w:r>
        <w:rPr>
          <w:b/>
        </w:rPr>
        <w:t xml:space="preserve">Yer: </w:t>
      </w:r>
      <w:r>
        <w:t>1.5, s.22–23</w:t>
      </w:r>
    </w:p>
    <w:p>
      <w:pPr>
        <w:pStyle w:val="IssueQuote"/>
      </w:pPr>
      <w:r>
        <w:t>“Böylece altı mushaf görüşü, farklı disipliner yaklaşımların kesişiminde ortak bir kanaat hâline gelmektedir.”</w:t>
      </w:r>
    </w:p>
    <w:p>
      <w:pPr/>
      <w:r>
        <w:rPr>
          <w:b/>
        </w:rPr>
        <w:t xml:space="preserve">Sorun: </w:t>
      </w:r>
      <w:r>
        <w:t>Listelenen araştırmacıların bazıları beş merkezi vurguluyor veya ayrı toplam vermiyor olabilir. Beş merkez + halife nüshası hesabı yazar sentezi ise doğrudan ortak görüş gibi sunulmamalıdır.</w:t>
      </w:r>
    </w:p>
    <w:p>
      <w:pPr/>
      <w:r>
        <w:rPr>
          <w:b/>
        </w:rPr>
        <w:t xml:space="preserve">Önerilen düzeltme: </w:t>
      </w:r>
      <w:r>
        <w:t>“Bu görüşler birlikte değerlendirildiğinde, beş ana merkez ile halifenin yanında kalan nüshayı ayrı sayan altı nüsha ihtimali savunulabilir. Bu, kaynakların tek tek verdiği sayıların değil, mevcut verilerden hareketle yapılan bir yazar sentezinin sonucudur.”</w:t>
      </w:r>
    </w:p>
    <w:p>
      <w:pPr/>
      <w:r>
        <w:rPr>
          <w:b/>
        </w:rPr>
        <w:t xml:space="preserve">Kaynak kontrolü gerekli: </w:t>
      </w:r>
      <w:r>
        <w:t>Zürkânî, Subhî es-Sâlih, Azamî, Hamîdullah, Demirci, Yıldırım ve Dağ’ın ilgili sayfalardaki açık ifadeleri ayrı ayrı kontrol edilmelidir.</w:t>
      </w:r>
    </w:p>
    <w:p>
      <w:pPr>
        <w:pStyle w:val="Heading3"/>
        <w:keepNext/>
        <w:keepLines/>
      </w:pPr>
      <w:r>
        <w:t>B1-16. Sözlük tanımı tarihsel terimleşme teorisine dönüştürülüyor</w:t>
      </w:r>
    </w:p>
    <w:p>
      <w:pPr/>
      <w:r>
        <w:rPr>
          <w:b/>
        </w:rPr>
        <w:t xml:space="preserve">Kategori: </w:t>
      </w:r>
      <w:r>
        <w:t>Kaynak / Kavramsal</w:t>
      </w:r>
    </w:p>
    <w:p>
      <w:pPr/>
      <w:r>
        <w:rPr>
          <w:b/>
        </w:rPr>
        <w:t xml:space="preserve">Önem düzeyi: </w:t>
      </w:r>
      <w:r>
        <w:t>Yüksek</w:t>
      </w:r>
    </w:p>
    <w:p>
      <w:pPr/>
      <w:r>
        <w:rPr>
          <w:b/>
        </w:rPr>
        <w:t xml:space="preserve">Yer: </w:t>
      </w:r>
      <w:r>
        <w:t>1.6.1–1.7</w:t>
      </w:r>
    </w:p>
    <w:p>
      <w:pPr>
        <w:pStyle w:val="IssueQuote"/>
      </w:pPr>
      <w:r>
        <w:t>“Böylece resm kavramı yalnızca “iz bırakma” anlamından çıkar, teknik ve kurallı bir yazım anlayışına dönüşür.”</w:t>
      </w:r>
    </w:p>
    <w:p>
      <w:pPr/>
      <w:r>
        <w:rPr>
          <w:b/>
        </w:rPr>
        <w:t xml:space="preserve">Sorun: </w:t>
      </w:r>
      <w:r>
        <w:t>Cevherî, Cürcânî ve Kastallânî gibi kaynakların sözlük/genel yazı tanımlarından resm-i mushaf teriminin tarihsel oluşum mekanizması çıkarılmaktadır. Kaynak tanımı ile yazarın kavramsal sentezi ayrılmalıdır.</w:t>
      </w:r>
    </w:p>
    <w:p>
      <w:pPr/>
      <w:r>
        <w:rPr>
          <w:b/>
        </w:rPr>
        <w:t xml:space="preserve">Önerilen düzeltme: </w:t>
      </w:r>
      <w:r>
        <w:t>“Cevherî ve diğer sözlük/terim kaynakları resm ve yazı kavramlarının anlam alanını göstermektedir. Kelimenin mushaf yazımına özgü teknik bir terim hâline gelişi ise resm literatürünün tarihsel gelişimi üzerinden ayrıca izlenmelidir.”</w:t>
      </w:r>
    </w:p>
    <w:p>
      <w:pPr/>
      <w:r>
        <w:rPr>
          <w:b/>
        </w:rPr>
        <w:t xml:space="preserve">Kaynak kontrolü gerekli: </w:t>
      </w:r>
      <w:r>
        <w:t>Her müellife nispet edilen “teknik dönüşüm” rolünün kaynağında açıkça bulunup bulunmadığı doğrulanmalıdır.</w:t>
      </w:r>
    </w:p>
    <w:p>
      <w:pPr>
        <w:pStyle w:val="Heading3"/>
        <w:keepNext/>
        <w:keepLines/>
      </w:pPr>
      <w:r>
        <w:t>B1-17. Tevkîfîlik ile bağlayıcılık ayrımı bölümün başında değil sonunda kuruluyor</w:t>
      </w:r>
    </w:p>
    <w:p>
      <w:pPr/>
      <w:r>
        <w:rPr>
          <w:b/>
        </w:rPr>
        <w:t xml:space="preserve">Kategori: </w:t>
      </w:r>
      <w:r>
        <w:t>Yapısal / Kavramsal</w:t>
      </w:r>
    </w:p>
    <w:p>
      <w:pPr/>
      <w:r>
        <w:rPr>
          <w:b/>
        </w:rPr>
        <w:t xml:space="preserve">Önem düzeyi: </w:t>
      </w:r>
      <w:r>
        <w:t>Yüksek</w:t>
      </w:r>
    </w:p>
    <w:p>
      <w:pPr/>
      <w:r>
        <w:rPr>
          <w:b/>
        </w:rPr>
        <w:t xml:space="preserve">Yer: </w:t>
      </w:r>
      <w:r>
        <w:t>1.8, s.31–34</w:t>
      </w:r>
    </w:p>
    <w:p>
      <w:pPr>
        <w:pStyle w:val="IssueQuote"/>
      </w:pPr>
      <w:r>
        <w:t>“Resm-i Osmânî’ye bağlılığın normatif değeri, onun bütün ayrıntılarının doğrudan vahiy tarafından belirlenmiş sayılmasına bağlı değildir.”</w:t>
      </w:r>
    </w:p>
    <w:p>
      <w:pPr/>
      <w:r>
        <w:rPr>
          <w:b/>
        </w:rPr>
        <w:t xml:space="preserve">Sorun: </w:t>
      </w:r>
      <w:r>
        <w:t>Bu ayrım bölümün en güçlü metodolojik cümlesidir; ancak uzun bir tevkîfîlik savunusu ve zayıf/eleştirilen rivâyetlerden sonra gelmektedir.</w:t>
      </w:r>
    </w:p>
    <w:p>
      <w:pPr/>
      <w:r>
        <w:rPr>
          <w:b/>
        </w:rPr>
        <w:t xml:space="preserve">Önerilen düzeltme: </w:t>
      </w:r>
      <w:r>
        <w:t>“Resm-i Osmânî’nin tarihsel bağlayıcılığı ile bütün yazım ayrıntılarının doğrudan vahiy tarafından belirlendiği iddiası aynı mesele değildir. Bu bölümde önce bu ayrım gözetilecek, ardından tevkîfîlik ve ictihâdîlik lehindeki görüşler kendi delil ve sınırları içinde ele alınacaktır.”</w:t>
      </w:r>
    </w:p>
    <w:p>
      <w:pPr>
        <w:pStyle w:val="Heading3"/>
        <w:keepNext/>
        <w:keepLines/>
      </w:pPr>
      <w:r>
        <w:t>B1-18. Aynı tevkîfîlik delili önce güçlü, sonra zayıf diye sunuluyor</w:t>
      </w:r>
    </w:p>
    <w:p>
      <w:pPr/>
      <w:r>
        <w:rPr>
          <w:b/>
        </w:rPr>
        <w:t xml:space="preserve">Kategori: </w:t>
      </w:r>
      <w:r>
        <w:t>Kaynak / Yapısal</w:t>
      </w:r>
    </w:p>
    <w:p>
      <w:pPr/>
      <w:r>
        <w:rPr>
          <w:b/>
        </w:rPr>
        <w:t xml:space="preserve">Önem düzeyi: </w:t>
      </w:r>
      <w:r>
        <w:t>Yüksek</w:t>
      </w:r>
    </w:p>
    <w:p>
      <w:pPr/>
      <w:r>
        <w:rPr>
          <w:b/>
        </w:rPr>
        <w:t xml:space="preserve">Yer: </w:t>
      </w:r>
      <w:r>
        <w:t>1.8</w:t>
      </w:r>
    </w:p>
    <w:p>
      <w:pPr>
        <w:pStyle w:val="IssueQuote"/>
      </w:pPr>
      <w:r>
        <w:t>“Muâviye’ye yazım hakkında Hz. Peygamber’in bazı talimatlar verdiğine dair rivâyet de bu görüşün delilleri arasında zikredilmiştir.”</w:t>
      </w:r>
    </w:p>
    <w:p>
      <w:pPr/>
      <w:r>
        <w:rPr>
          <w:b/>
        </w:rPr>
        <w:t xml:space="preserve">Sorun: </w:t>
      </w:r>
      <w:r>
        <w:t>İlerleyen paragrafta aynı rivâyetin isnad bakımından zayıf veya uydurma kabul edildiği belirtilmektedir. Delil değeri daha ilk sunumda açıklanmalıdır.</w:t>
      </w:r>
    </w:p>
    <w:p>
      <w:pPr/>
      <w:r>
        <w:rPr>
          <w:b/>
        </w:rPr>
        <w:t xml:space="preserve">Önerilen düzeltme: </w:t>
      </w:r>
      <w:r>
        <w:t>“Tevkîfîlik lehinde kullanılan deliller arasında, Hz. Peygamber’in yazıya ilişkin bazı talimatlar verdiğini nakleden rivâyetler de zikredilmiştir. Bununla birlikte bu rivâyetlerin bir kısmının isnad ve delil değeri tartışmalıdır; bu nedenle tarihsel tevkîfîlik iddiası bakımından ihtiyatla kullanılmalıdır.”</w:t>
      </w:r>
    </w:p>
    <w:p>
      <w:pPr/>
      <w:r>
        <w:rPr>
          <w:b/>
        </w:rPr>
        <w:t xml:space="preserve">Kaynak kontrolü gerekli: </w:t>
      </w:r>
      <w:r>
        <w:t>Rivâyetin hadis tenkidi durumu projedeki kaynaklar üzerinden karşılaştırılmalıdır.</w:t>
      </w:r>
    </w:p>
    <w:p>
      <w:pPr>
        <w:pStyle w:val="Heading3"/>
        <w:keepNext/>
        <w:keepLines/>
      </w:pPr>
      <w:r>
        <w:t>B1-19. “Resm-i Mushaf (resm-i Osmânî)” eşitlemesi Girişteki kavram ayrımını bozuyor</w:t>
      </w:r>
    </w:p>
    <w:p>
      <w:pPr/>
      <w:r>
        <w:rPr>
          <w:b/>
        </w:rPr>
        <w:t xml:space="preserve">Kategori: </w:t>
      </w:r>
      <w:r>
        <w:t>Terminoloji / Kavramsal</w:t>
      </w:r>
    </w:p>
    <w:p>
      <w:pPr/>
      <w:r>
        <w:rPr>
          <w:b/>
        </w:rPr>
        <w:t xml:space="preserve">Önem düzeyi: </w:t>
      </w:r>
      <w:r>
        <w:t>Yüksek</w:t>
      </w:r>
    </w:p>
    <w:p>
      <w:pPr/>
      <w:r>
        <w:rPr>
          <w:b/>
        </w:rPr>
        <w:t xml:space="preserve">Yer: </w:t>
      </w:r>
      <w:r>
        <w:t>1.9 başlangıcı</w:t>
      </w:r>
    </w:p>
    <w:p>
      <w:pPr>
        <w:pStyle w:val="IssueQuote"/>
      </w:pPr>
      <w:r>
        <w:t>“Resm-i Mushaf (resm-i Osmânî), Kur’an kelimelerinin Osmânî mushaflarda yazıldığı özel biçimi ifade etmektedir.”</w:t>
      </w:r>
    </w:p>
    <w:p>
      <w:pPr/>
      <w:r>
        <w:rPr>
          <w:b/>
        </w:rPr>
        <w:t xml:space="preserve">Sorun: </w:t>
      </w:r>
      <w:r>
        <w:t>Giriş, resm-i mushaf ile resm-i Osmânî’nin her bağlamda birbirinin yerine kullanılamayacağını açıkça söyler. Parantez içi eşitleme bu ayrımı doğrudan bozar.</w:t>
      </w:r>
    </w:p>
    <w:p>
      <w:pPr/>
      <w:r>
        <w:rPr>
          <w:b/>
        </w:rPr>
        <w:t xml:space="preserve">Önerilen düzeltme: </w:t>
      </w:r>
      <w:r>
        <w:t>“Bu başlıkta, Osmânî mushaflara nispet edilen yazım geleneğinin temel özellikleri ele alınmaktadır. Resm-i mushaf daha genel alanı, resm-i Osmânî ise Hz. Osman döneminde çoğaltılan mushaflara nispet edilen tarihsel yazım geleneğini ifade etmektedir.”</w:t>
      </w:r>
    </w:p>
    <w:p>
      <w:pPr>
        <w:pStyle w:val="Heading3"/>
        <w:keepNext/>
        <w:keepLines/>
      </w:pPr>
      <w:r>
        <w:t>B1-20. Hazf “bilinçli ve hikmetli tercih” olarak tanımlanıyor</w:t>
      </w:r>
    </w:p>
    <w:p>
      <w:pPr/>
      <w:r>
        <w:rPr>
          <w:b/>
        </w:rPr>
        <w:t xml:space="preserve">Kategori: </w:t>
      </w:r>
      <w:r>
        <w:t>Kavramsal / Tarihsel</w:t>
      </w:r>
    </w:p>
    <w:p>
      <w:pPr/>
      <w:r>
        <w:rPr>
          <w:b/>
        </w:rPr>
        <w:t xml:space="preserve">Önem düzeyi: </w:t>
      </w:r>
      <w:r>
        <w:t>Kritik</w:t>
      </w:r>
    </w:p>
    <w:p>
      <w:pPr/>
      <w:r>
        <w:rPr>
          <w:b/>
        </w:rPr>
        <w:t xml:space="preserve">Yer: </w:t>
      </w:r>
      <w:r>
        <w:t>1.9.1 Hazf</w:t>
      </w:r>
    </w:p>
    <w:p>
      <w:pPr>
        <w:pStyle w:val="IssueQuote"/>
      </w:pPr>
      <w:r>
        <w:t>“Hazf, en genel ifadeyle kelimedeki bazı harflerin bilinçli olarak düşürülmesi demektir.”</w:t>
      </w:r>
    </w:p>
    <w:p>
      <w:pPr/>
      <w:r>
        <w:rPr>
          <w:b/>
        </w:rPr>
        <w:t xml:space="preserve">Sorun: </w:t>
      </w:r>
      <w:r>
        <w:t>“Bilinçli” sözcüğü her örnekte tarihsel niyet ve özel amaç varsayar. Erken Arap yazısının genel imlâ teamülleri ile belirli kırâatlerin aynı yazımla bağdaşması önce ayrılmalıdır.</w:t>
      </w:r>
    </w:p>
    <w:p>
      <w:pPr/>
      <w:r>
        <w:rPr>
          <w:b/>
        </w:rPr>
        <w:t xml:space="preserve">Önerilen düzeltme: </w:t>
      </w:r>
      <w:r>
        <w:t>“Hazf, telaffuzda bulunan bazı harflerin mushaf yazımında gösterilmemesidir. Bu uygulamaların bir kısmı erken Arap yazısının teamülleriyle, bir kısmı ise belirli kırâatlerin aynı yazımla bağdaşabilmesiyle ilişkilendirilmiştir.”</w:t>
      </w:r>
    </w:p>
    <w:p>
      <w:pPr>
        <w:pStyle w:val="Heading3"/>
        <w:keepNext/>
        <w:keepLines/>
      </w:pPr>
      <w:r>
        <w:t>B1-21. İbnü’l-Cezerî → Zerkeşî kronolojisi ters kuruluyor</w:t>
      </w:r>
    </w:p>
    <w:p>
      <w:pPr/>
      <w:r>
        <w:rPr>
          <w:b/>
        </w:rPr>
        <w:t xml:space="preserve">Kategori: </w:t>
      </w:r>
      <w:r>
        <w:t>Tarihsel / İç tutarlılık</w:t>
      </w:r>
    </w:p>
    <w:p>
      <w:pPr/>
      <w:r>
        <w:rPr>
          <w:b/>
        </w:rPr>
        <w:t xml:space="preserve">Önem düzeyi: </w:t>
      </w:r>
      <w:r>
        <w:t>Kritik</w:t>
      </w:r>
    </w:p>
    <w:p>
      <w:pPr/>
      <w:r>
        <w:rPr>
          <w:b/>
        </w:rPr>
        <w:t xml:space="preserve">Yer: </w:t>
      </w:r>
      <w:r>
        <w:t>1.10, s.42</w:t>
      </w:r>
    </w:p>
    <w:p>
      <w:pPr>
        <w:pStyle w:val="IssueQuote"/>
      </w:pPr>
      <w:r>
        <w:t>“İbnü’l-Cezerî’nin sahih kırâatler için ortaya koyduğu prensipler, sonraki dönem kırâat âlimleri tarafından da benimsenmiştir. Bu yaklaşımı benimseyen âlimlerden biri Zerkeşî’dir.”</w:t>
      </w:r>
    </w:p>
    <w:p>
      <w:pPr/>
      <w:r>
        <w:rPr>
          <w:b/>
        </w:rPr>
        <w:t xml:space="preserve">Sorun: </w:t>
      </w:r>
      <w:r>
        <w:t>Kitabın kendi ölüm tarihlerine göre Zerkeşî (ö. 794/1392), İbnü’l-Cezerî’den (ö. 833/1429) önce vefat etmiştir. Zerkeşî “sonraki” âlim olarak sunulamaz.</w:t>
      </w:r>
    </w:p>
    <w:p>
      <w:pPr/>
      <w:r>
        <w:rPr>
          <w:b/>
        </w:rPr>
        <w:t xml:space="preserve">Önerilen düzeltme: </w:t>
      </w:r>
      <w:r>
        <w:t>“İbnü’l-Cezerî, kendisinden önceki kırâat literatüründe çeşitli biçimlerde bulunan kabul ölçülerini sistemli bir formülasyonda bir araya getirmiştir. Zerkeşî ve diğer müelliflerin ifadeleri ise kendi kronolojik bağlamları içinde, benzer ölçülerin daha önceki ve sonraki literatürdeki görünümü olarak değerlendirilmelidir.”</w:t>
      </w:r>
    </w:p>
    <w:p>
      <w:pPr/>
      <w:r>
        <w:rPr>
          <w:b/>
        </w:rPr>
        <w:t xml:space="preserve">Kaynak kontrolü gerekli: </w:t>
      </w:r>
      <w:r>
        <w:t>Kabul ölçülerinin tarihsel formülasyon sırası kaynaklar üzerinden doğrulanmalıdır.</w:t>
      </w:r>
    </w:p>
    <w:p>
      <w:pPr>
        <w:pStyle w:val="Heading2"/>
        <w:keepNext/>
        <w:keepLines/>
      </w:pPr>
      <w:r>
        <w:t>6. İkinci Bölüm</w:t>
      </w:r>
    </w:p>
    <w:p>
      <w:pPr>
        <w:pStyle w:val="Heading3"/>
        <w:keepNext/>
        <w:keepLines/>
      </w:pPr>
      <w:r>
        <w:t>B2-01. Bölüm kitabın teorik omurgasına göre hacim ve kavram derinliği bakımından zayıf</w:t>
      </w:r>
    </w:p>
    <w:p>
      <w:pPr/>
      <w:r>
        <w:rPr>
          <w:b/>
        </w:rPr>
        <w:t xml:space="preserve">Kategori: </w:t>
      </w:r>
      <w:r>
        <w:t>Yapısal / Kavramsal</w:t>
      </w:r>
    </w:p>
    <w:p>
      <w:pPr/>
      <w:r>
        <w:rPr>
          <w:b/>
        </w:rPr>
        <w:t xml:space="preserve">Önem düzeyi: </w:t>
      </w:r>
      <w:r>
        <w:t>Yüksek</w:t>
      </w:r>
    </w:p>
    <w:p>
      <w:pPr/>
      <w:r>
        <w:rPr>
          <w:b/>
        </w:rPr>
        <w:t xml:space="preserve">Yer: </w:t>
      </w:r>
      <w:r>
        <w:t>İkinci Bölüm, s.45–56</w:t>
      </w:r>
    </w:p>
    <w:p>
      <w:pPr>
        <w:pStyle w:val="IssueQuote"/>
      </w:pPr>
      <w:r>
        <w:t>“KIRÂATLERİN RİVÂYET MANTIĞI”</w:t>
      </w:r>
    </w:p>
    <w:p>
      <w:pPr/>
      <w:r>
        <w:rPr>
          <w:b/>
        </w:rPr>
        <w:t xml:space="preserve">Sorun: </w:t>
      </w:r>
      <w:r>
        <w:t>Bölüm yaklaşık 4.583 kelimedir; Birinci ve Üçüncü bölümlerin üçte biri hacmindedir. Girişte kırâat–rivâyet–tarîk–vecih ve telakki–müşâfehe–edâ ayrımları ana gövdeden daha açık kurulmuştur.</w:t>
      </w:r>
    </w:p>
    <w:p>
      <w:pPr/>
      <w:r>
        <w:rPr>
          <w:b/>
        </w:rPr>
        <w:t xml:space="preserve">Önerilen düzeltme: </w:t>
      </w:r>
      <w:r>
        <w:t>İkinci Bölüm iki ilave alt başlıkla güçlendirilmelidir: “Kırâat, Rivâyet, Tarîk ve Vecih Arasındaki İlişki” ile “Telakki, Müşâfehe ve Edânın Nakil Düzenindeki Yeri”. Mevcut yedi harf ve ortak başvuru metni başlıkları sonraki numaralara kaydırılabilir.</w:t>
      </w:r>
    </w:p>
    <w:p>
      <w:pPr>
        <w:pStyle w:val="Heading3"/>
        <w:keepNext/>
        <w:keepLines/>
      </w:pPr>
      <w:r>
        <w:t>B2-02. Kırâat ilminin “ortaya çıkışı” ile kırâat olgusu ve disiplinleşme birbirine yaklaşıyor</w:t>
      </w:r>
    </w:p>
    <w:p>
      <w:pPr/>
      <w:r>
        <w:rPr>
          <w:b/>
        </w:rPr>
        <w:t xml:space="preserve">Kategori: </w:t>
      </w:r>
      <w:r>
        <w:t>Tarihsel / Kavramsal</w:t>
      </w:r>
    </w:p>
    <w:p>
      <w:pPr/>
      <w:r>
        <w:rPr>
          <w:b/>
        </w:rPr>
        <w:t xml:space="preserve">Önem düzeyi: </w:t>
      </w:r>
      <w:r>
        <w:t>Yüksek</w:t>
      </w:r>
    </w:p>
    <w:p>
      <w:pPr/>
      <w:r>
        <w:rPr>
          <w:b/>
        </w:rPr>
        <w:t xml:space="preserve">Yer: </w:t>
      </w:r>
      <w:r>
        <w:t>2.1, s.45–46</w:t>
      </w:r>
    </w:p>
    <w:p>
      <w:pPr>
        <w:pStyle w:val="IssueQuote"/>
      </w:pPr>
      <w:r>
        <w:t>“Kırâat kavramı, Kur’an ilimleri içinde en erken ortaya çıkan ve doğrudan vahyin lafzıyla ilgili olan ilimlerden biridir.”</w:t>
      </w:r>
    </w:p>
    <w:p>
      <w:pPr/>
      <w:r>
        <w:rPr>
          <w:b/>
        </w:rPr>
        <w:t xml:space="preserve">Sorun: </w:t>
      </w:r>
      <w:r>
        <w:t>Kırâat farklılıklarının nakli ile “kırâat ilmi”nin bağımsız bir disiplin olarak teşekkülü aynı tarihsel düzey değildir. “En erken” hükmü ayrıca geniş bir literatür iddiasıdır.</w:t>
      </w:r>
    </w:p>
    <w:p>
      <w:pPr/>
      <w:r>
        <w:rPr>
          <w:b/>
        </w:rPr>
        <w:t xml:space="preserve">Önerilen düzeltme: </w:t>
      </w:r>
      <w:r>
        <w:t>“Kur’an’ın okunmasına ilişkin farklı edâ biçimleri erken dönemden itibaren rivâyet yoluyla aktarılmış; bu malzeme sonraki süreçte müstakil kırâat literatürü ve tasnifleri içinde sistemleştirilmiştir.”</w:t>
      </w:r>
    </w:p>
    <w:p>
      <w:pPr/>
      <w:r>
        <w:rPr>
          <w:b/>
        </w:rPr>
        <w:t xml:space="preserve">Kaynak kontrolü gerekli: </w:t>
      </w:r>
      <w:r>
        <w:t>Bağımsız disiplinleşmenin kronolojisine ilişkin kaynaklar ayrıca doğrulanmalıdır.</w:t>
      </w:r>
    </w:p>
    <w:p>
      <w:pPr>
        <w:pStyle w:val="Heading3"/>
        <w:keepNext/>
        <w:keepLines/>
      </w:pPr>
      <w:r>
        <w:t>B2-03. İmam, okuyuşun seçicisi/kurucusu gibi anlaşılabiliyor</w:t>
      </w:r>
    </w:p>
    <w:p>
      <w:pPr/>
      <w:r>
        <w:rPr>
          <w:b/>
        </w:rPr>
        <w:t xml:space="preserve">Kategori: </w:t>
      </w:r>
      <w:r>
        <w:t>Kavramsal / Kırâat</w:t>
      </w:r>
    </w:p>
    <w:p>
      <w:pPr/>
      <w:r>
        <w:rPr>
          <w:b/>
        </w:rPr>
        <w:t xml:space="preserve">Önem düzeyi: </w:t>
      </w:r>
      <w:r>
        <w:t>Yüksek</w:t>
      </w:r>
    </w:p>
    <w:p>
      <w:pPr/>
      <w:r>
        <w:rPr>
          <w:b/>
        </w:rPr>
        <w:t xml:space="preserve">Yer: </w:t>
      </w:r>
      <w:r>
        <w:t>2.2.2–2.2.3</w:t>
      </w:r>
    </w:p>
    <w:p>
      <w:pPr>
        <w:pStyle w:val="IssueQuote"/>
      </w:pPr>
      <w:r>
        <w:t>““Âsım kırâati” ifadesi, Âsım’ın tercih ettiği okuyuş tarzını ifade eder.”</w:t>
      </w:r>
    </w:p>
    <w:p>
      <w:pPr/>
      <w:r>
        <w:rPr>
          <w:b/>
        </w:rPr>
        <w:t xml:space="preserve">Sorun: </w:t>
      </w:r>
      <w:r>
        <w:t>Bu formül imamı nakledilen okuyuşun mucidi veya serbest seçicisi gibi gösterebilir. Kitabın temel yaklaşımında imam bir nispet ve nakil merkezidir.</w:t>
      </w:r>
    </w:p>
    <w:p>
      <w:pPr/>
      <w:r>
        <w:rPr>
          <w:b/>
        </w:rPr>
        <w:t xml:space="preserve">Önerilen düzeltme: </w:t>
      </w:r>
      <w:r>
        <w:t>“‘Âsım kırâati’ ifadesi, Âsım’a nispet edilen ve onun rivâyet ağı üzerinden aktarılan genel okuyuş sistemini ifade eder. Bu nispet, okuyuşların Âsım tarafından bağımsız biçimde oluşturulduğu anlamına gelmez.”</w:t>
      </w:r>
    </w:p>
    <w:p>
      <w:pPr>
        <w:pStyle w:val="Heading3"/>
        <w:keepNext/>
        <w:keepLines/>
      </w:pPr>
      <w:r>
        <w:t>B2-04. “Baştan itibaren yazılı değil” dikotomisi ana tezle uyuşmuyor</w:t>
      </w:r>
    </w:p>
    <w:p>
      <w:pPr/>
      <w:r>
        <w:rPr>
          <w:b/>
        </w:rPr>
        <w:t xml:space="preserve">Kategori: </w:t>
      </w:r>
      <w:r>
        <w:t>Kavramsal</w:t>
      </w:r>
    </w:p>
    <w:p>
      <w:pPr/>
      <w:r>
        <w:rPr>
          <w:b/>
        </w:rPr>
        <w:t xml:space="preserve">Önem düzeyi: </w:t>
      </w:r>
      <w:r>
        <w:t>Yüksek</w:t>
      </w:r>
    </w:p>
    <w:p>
      <w:pPr/>
      <w:r>
        <w:rPr>
          <w:b/>
        </w:rPr>
        <w:t xml:space="preserve">Yer: </w:t>
      </w:r>
      <w:r>
        <w:t>2.2.1 Rivâyet</w:t>
      </w:r>
    </w:p>
    <w:p>
      <w:pPr>
        <w:pStyle w:val="IssueQuote"/>
      </w:pPr>
      <w:r>
        <w:t>“Kırâatlerin aktarımı baştan itibaren yazılı değil, sözlü rivâyet esasına dayanmıştır.”</w:t>
      </w:r>
    </w:p>
    <w:p>
      <w:pPr/>
      <w:r>
        <w:rPr>
          <w:b/>
        </w:rPr>
        <w:t xml:space="preserve">Sorun: </w:t>
      </w:r>
      <w:r>
        <w:t>Aslî öğretim zemininin sözlü oluşu, yazılı tanıkların “başlangıçta yok” sayılmasını gerektirmez. Kitap yazı ve sözlü aktarımı tamamlayıcı mekanizmalar olarak kurmaktadır.</w:t>
      </w:r>
    </w:p>
    <w:p>
      <w:pPr/>
      <w:r>
        <w:rPr>
          <w:b/>
        </w:rPr>
        <w:t xml:space="preserve">Önerilen düzeltme: </w:t>
      </w:r>
      <w:r>
        <w:t>“Kırâat öğretiminin aslî zemini telakki, müşâfehe ve edâya dayanan sözlü rivâyettir. Yazılı mushaf ve resm verileri bu aktarımın yerini almamış, fakat okuyuşların ortak yazılı çerçeveyle ilişkisini göstermede tamamlayıcı rol üstlenmiştir.”</w:t>
      </w:r>
    </w:p>
    <w:p>
      <w:pPr>
        <w:pStyle w:val="Heading3"/>
        <w:keepNext/>
        <w:keepLines/>
      </w:pPr>
      <w:r>
        <w:t>B2-05. 2.4 başlığı düzeltilmiş; metnin nedensellik dili aynı ölçüde düzeltilmemiş</w:t>
      </w:r>
    </w:p>
    <w:p>
      <w:pPr/>
      <w:r>
        <w:rPr>
          <w:b/>
        </w:rPr>
        <w:t xml:space="preserve">Kategori: </w:t>
      </w:r>
      <w:r>
        <w:t>Metodolojik / Nedensellik</w:t>
      </w:r>
    </w:p>
    <w:p>
      <w:pPr/>
      <w:r>
        <w:rPr>
          <w:b/>
        </w:rPr>
        <w:t xml:space="preserve">Önem düzeyi: </w:t>
      </w:r>
      <w:r>
        <w:t>Kritik</w:t>
      </w:r>
    </w:p>
    <w:p>
      <w:pPr/>
      <w:r>
        <w:rPr>
          <w:b/>
        </w:rPr>
        <w:t xml:space="preserve">Yer: </w:t>
      </w:r>
      <w:r>
        <w:t>2.4, s.53–56</w:t>
      </w:r>
    </w:p>
    <w:p>
      <w:pPr>
        <w:pStyle w:val="IssueQuote"/>
      </w:pPr>
      <w:r>
        <w:t>“Osmânî Mushafların Ortak Başvuru Metni Hâline Gelmesinin Kırâat ve Tefsirdeki Yansımaları”</w:t>
      </w:r>
    </w:p>
    <w:p>
      <w:pPr/>
      <w:r>
        <w:rPr>
          <w:b/>
        </w:rPr>
        <w:t xml:space="preserve">Sorun: </w:t>
      </w:r>
      <w:r>
        <w:t>Başlık önceki “standartlaşma” sorununu giderir. Buna rağmen metin resmin kırâat tasnifini ve tefsirdeki meşru yorum alanını doğrudan belirleyen neden gibi sunmayı sürdürür; İbn Mücâhid’in yedi imam seçimi de tek yönlü bağlanır.</w:t>
      </w:r>
    </w:p>
    <w:p>
      <w:pPr/>
      <w:r>
        <w:rPr>
          <w:b/>
        </w:rPr>
        <w:t xml:space="preserve">Önerilen düzeltme: </w:t>
      </w:r>
      <w:r>
        <w:t>“Osmânî mushafların ortak otoritesi, kırâat ve tefsir literatüründe başvurulan ölçülerden birini oluşturmuştur. Kırâat tasnifleri ve tefsir yöntemleri ise isnad, dil, rivâyet çevreleri, ilmî tercih ve resm gibi birden fazla unsurun birlikte etkili olduğu daha geniş bir tarihsel süreç içinde gelişmiştir.”</w:t>
      </w:r>
    </w:p>
    <w:p>
      <w:pPr>
        <w:pStyle w:val="Heading3"/>
        <w:keepNext/>
        <w:keepLines/>
      </w:pPr>
      <w:r>
        <w:t>B2-06. Karşı olgusal “resm olmasaydı” cümleleri bilimsel açıklama yerine varsayım üretiyor</w:t>
      </w:r>
    </w:p>
    <w:p>
      <w:pPr/>
      <w:r>
        <w:rPr>
          <w:b/>
        </w:rPr>
        <w:t xml:space="preserve">Kategori: </w:t>
      </w:r>
      <w:r>
        <w:t>Metodolojik</w:t>
      </w:r>
    </w:p>
    <w:p>
      <w:pPr/>
      <w:r>
        <w:rPr>
          <w:b/>
        </w:rPr>
        <w:t xml:space="preserve">Önem düzeyi: </w:t>
      </w:r>
      <w:r>
        <w:t>Yüksek</w:t>
      </w:r>
    </w:p>
    <w:p>
      <w:pPr/>
      <w:r>
        <w:rPr>
          <w:b/>
        </w:rPr>
        <w:t xml:space="preserve">Yer: </w:t>
      </w:r>
      <w:r>
        <w:t>2.4</w:t>
      </w:r>
    </w:p>
    <w:p>
      <w:pPr>
        <w:pStyle w:val="IssueQuote"/>
      </w:pPr>
      <w:r>
        <w:t>“Resm ortak hâle gelmemiş olsaydı, yorumların hangi metinsel zeminde meşru sayılacağı daha belirsiz kalacaktı.”</w:t>
      </w:r>
    </w:p>
    <w:p>
      <w:pPr/>
      <w:r>
        <w:rPr>
          <w:b/>
        </w:rPr>
        <w:t xml:space="preserve">Sorun: </w:t>
      </w:r>
      <w:r>
        <w:t>Kaynaksız alternatif tarih senaryosu resmin nedensel ağırlığını gereğinden fazla artırır.</w:t>
      </w:r>
    </w:p>
    <w:p>
      <w:pPr/>
      <w:r>
        <w:rPr>
          <w:b/>
        </w:rPr>
        <w:t xml:space="preserve">Önerilen düzeltme: </w:t>
      </w:r>
      <w:r>
        <w:t>“Osmânî mushafların ortak başvuru metni hâline gelmesi, kırâat ve tefsir değerlendirmelerinde paylaşılan yazılı bir referans zemininin oluşmasına katkı sağlamıştır.”</w:t>
      </w:r>
    </w:p>
    <w:p>
      <w:pPr>
        <w:pStyle w:val="Heading2"/>
        <w:keepNext/>
        <w:keepLines/>
      </w:pPr>
      <w:r>
        <w:t>7. Üçüncü Bölüm</w:t>
      </w:r>
    </w:p>
    <w:p>
      <w:pPr>
        <w:pStyle w:val="Heading3"/>
        <w:keepNext/>
        <w:keepLines/>
      </w:pPr>
      <w:r>
        <w:t>B3-01. Çoklu kırâatle bağdaşma, bilinçli tasarım amacı olarak anlatılıyor</w:t>
      </w:r>
    </w:p>
    <w:p>
      <w:pPr/>
      <w:r>
        <w:rPr>
          <w:b/>
        </w:rPr>
        <w:t xml:space="preserve">Kategori: </w:t>
      </w:r>
      <w:r>
        <w:t>Kavramsal / Tarihsel</w:t>
      </w:r>
    </w:p>
    <w:p>
      <w:pPr/>
      <w:r>
        <w:rPr>
          <w:b/>
        </w:rPr>
        <w:t xml:space="preserve">Önem düzeyi: </w:t>
      </w:r>
      <w:r>
        <w:t>Kritik</w:t>
      </w:r>
    </w:p>
    <w:p>
      <w:pPr/>
      <w:r>
        <w:rPr>
          <w:b/>
        </w:rPr>
        <w:t xml:space="preserve">Yer: </w:t>
      </w:r>
      <w:r>
        <w:t>3.1, s.57–59</w:t>
      </w:r>
    </w:p>
    <w:p>
      <w:pPr>
        <w:pStyle w:val="IssueQuote"/>
      </w:pPr>
      <w:r>
        <w:t>“Resm-i Osmânî, birden fazla sahih kırâate yer verebilecek şekilde kurulmuş bir yazı sistemidir.”</w:t>
      </w:r>
    </w:p>
    <w:p>
      <w:pPr/>
      <w:r>
        <w:rPr>
          <w:b/>
        </w:rPr>
        <w:t xml:space="preserve">Sorun: </w:t>
      </w:r>
      <w:r>
        <w:t>Bir yazı iskeletinin birden fazla rivâyetle bağdaşması gözlenebilir bir özelliktir; “yer verebilecek şekilde kurulmuş” istinsah heyetinin bilinçli tasarım niyetini varsayar.</w:t>
      </w:r>
    </w:p>
    <w:p>
      <w:pPr/>
      <w:r>
        <w:rPr>
          <w:b/>
        </w:rPr>
        <w:t xml:space="preserve">Önerilen düzeltme: </w:t>
      </w:r>
      <w:r>
        <w:t>“Osmânî mushafların yazı iskeleti, rivâyetle sabit birden fazla okuyuşla kimi yerlerde aynı anda bağdaşabilmektedir. Sonraki resm ve kırâat literatürü bu özelliği, sahih okuyuşların ortak mushaf yazısıyla ilişkisini açıklarken kullanmıştır.”</w:t>
      </w:r>
    </w:p>
    <w:p>
      <w:pPr>
        <w:pStyle w:val="Heading3"/>
        <w:keepNext/>
        <w:keepLines/>
      </w:pPr>
      <w:r>
        <w:t>B3-02. “33 kelime” listesi farklı düzeydeki varyantları tek tipe yaklaştırıyor</w:t>
      </w:r>
    </w:p>
    <w:p>
      <w:pPr/>
      <w:r>
        <w:rPr>
          <w:b/>
        </w:rPr>
        <w:t xml:space="preserve">Kategori: </w:t>
      </w:r>
      <w:r>
        <w:t>Kaynak / Kırâat</w:t>
      </w:r>
    </w:p>
    <w:p>
      <w:pPr/>
      <w:r>
        <w:rPr>
          <w:b/>
        </w:rPr>
        <w:t xml:space="preserve">Önem düzeyi: </w:t>
      </w:r>
      <w:r>
        <w:t>Yüksek</w:t>
      </w:r>
    </w:p>
    <w:p>
      <w:pPr/>
      <w:r>
        <w:rPr>
          <w:b/>
        </w:rPr>
        <w:t xml:space="preserve">Yer: </w:t>
      </w:r>
      <w:r>
        <w:t>3.1</w:t>
      </w:r>
    </w:p>
    <w:p>
      <w:pPr>
        <w:pStyle w:val="IssueQuote"/>
      </w:pPr>
      <w:r>
        <w:t>“Kaynaklarda bu şekilde iki farklı kırâati ihtiva eden otuz üç kelimeden söz edilmektedir.”</w:t>
      </w:r>
    </w:p>
    <w:p>
      <w:pPr/>
      <w:r>
        <w:rPr>
          <w:b/>
        </w:rPr>
        <w:t xml:space="preserve">Sorun: </w:t>
      </w:r>
      <w:r>
        <w:t>Uzun liste grafik fark, i‘rab, hareke, telaffuz ve rivâyet farklarını aynı “resmin taşıdığı iki kırâat” kategorisinde toplama riski taşır.</w:t>
      </w:r>
    </w:p>
    <w:p>
      <w:pPr/>
      <w:r>
        <w:rPr>
          <w:b/>
        </w:rPr>
        <w:t xml:space="preserve">Önerilen düzeltme: </w:t>
      </w:r>
      <w:r>
        <w:t>“Örnekler, ‘şehir mushafları arasında grafik fark bulunanlar’ ve ‘aynı resmin birden fazla rivâyetle ihtimal yoluyla bağdaştığı örnekler’ şeklinde en az iki ayrı grupta verilmelidir.”</w:t>
      </w:r>
    </w:p>
    <w:p>
      <w:pPr/>
      <w:r>
        <w:rPr>
          <w:b/>
        </w:rPr>
        <w:t xml:space="preserve">Kaynak kontrolü gerekli: </w:t>
      </w:r>
      <w:r>
        <w:t>Otuz üç örneğin her birinin kaynak, kırâat nispeti ve resm ilişkisi tek tek doğrulanmalıdır.</w:t>
      </w:r>
    </w:p>
    <w:p>
      <w:pPr>
        <w:pStyle w:val="Heading3"/>
        <w:keepNext/>
        <w:keepLines/>
      </w:pPr>
      <w:r>
        <w:t>B3-03. Şâzlık resme aykırılığın tek sonucu gibi kuruluyor</w:t>
      </w:r>
    </w:p>
    <w:p>
      <w:pPr/>
      <w:r>
        <w:rPr>
          <w:b/>
        </w:rPr>
        <w:t xml:space="preserve">Kategori: </w:t>
      </w:r>
      <w:r>
        <w:t>Kavramsal / Kırâat</w:t>
      </w:r>
    </w:p>
    <w:p>
      <w:pPr/>
      <w:r>
        <w:rPr>
          <w:b/>
        </w:rPr>
        <w:t xml:space="preserve">Önem düzeyi: </w:t>
      </w:r>
      <w:r>
        <w:t>Kritik</w:t>
      </w:r>
    </w:p>
    <w:p>
      <w:pPr/>
      <w:r>
        <w:rPr>
          <w:b/>
        </w:rPr>
        <w:t xml:space="preserve">Yer: </w:t>
      </w:r>
      <w:r>
        <w:t>3.1 sonu</w:t>
      </w:r>
    </w:p>
    <w:p>
      <w:pPr>
        <w:pStyle w:val="IssueQuote"/>
      </w:pPr>
      <w:r>
        <w:t>“Resm-i Osmânî’ye uymayan okuyuşların şâz sayılması da bu ölçünün bağlayıcılığını göstermektedir.”</w:t>
      </w:r>
    </w:p>
    <w:p>
      <w:pPr/>
      <w:r>
        <w:rPr>
          <w:b/>
        </w:rPr>
        <w:t xml:space="preserve">Sorun: </w:t>
      </w:r>
      <w:r>
        <w:t>Şâzlık, zayıf isnad, resme aykırılık, yaygınlık/kabul, tefsirî kayıt veya normatif tilâvet dışı olma gibi farklı değerlendirme boyutlarıyla ilişkili olabilir.</w:t>
      </w:r>
    </w:p>
    <w:p>
      <w:pPr/>
      <w:r>
        <w:rPr>
          <w:b/>
        </w:rPr>
        <w:t xml:space="preserve">Önerilen düzeltme: </w:t>
      </w:r>
      <w:r>
        <w:t>“Resm-i Osmânî’ye uygunluk, kırâatlerin kabulünde dikkate alınan temel ölçülerden biridir. Bununla birlikte bir rivâyetin şâz olarak değerlendirilmesi yalnız resm ilişkisine indirgenemez; isnad, dil, yaygınlık ve tilâvet geleneğindeki konumu birlikte göz önünde bulundurulmalıdır.”</w:t>
      </w:r>
    </w:p>
    <w:p>
      <w:pPr>
        <w:pStyle w:val="Heading3"/>
        <w:keepNext/>
        <w:keepLines/>
      </w:pPr>
      <w:r>
        <w:t>B3-04. Lehçe ile yedi harf arasında doğrudan eşitlik kurma riski</w:t>
      </w:r>
    </w:p>
    <w:p>
      <w:pPr/>
      <w:r>
        <w:rPr>
          <w:b/>
        </w:rPr>
        <w:t xml:space="preserve">Kategori: </w:t>
      </w:r>
      <w:r>
        <w:t>Kavramsal / Tarihsel</w:t>
      </w:r>
    </w:p>
    <w:p>
      <w:pPr/>
      <w:r>
        <w:rPr>
          <w:b/>
        </w:rPr>
        <w:t xml:space="preserve">Önem düzeyi: </w:t>
      </w:r>
      <w:r>
        <w:t>Yüksek</w:t>
      </w:r>
    </w:p>
    <w:p>
      <w:pPr/>
      <w:r>
        <w:rPr>
          <w:b/>
        </w:rPr>
        <w:t xml:space="preserve">Yer: </w:t>
      </w:r>
      <w:r>
        <w:t>3.2</w:t>
      </w:r>
    </w:p>
    <w:p>
      <w:pPr>
        <w:pStyle w:val="IssueQuote"/>
      </w:pPr>
      <w:r>
        <w:t>“Yedi harfin Arap lehçelerindeki farklılıkları ifade ettiği görüşü çoğunluk tarafından benimsenmiştir.”</w:t>
      </w:r>
    </w:p>
    <w:p>
      <w:pPr/>
      <w:r>
        <w:rPr>
          <w:b/>
        </w:rPr>
        <w:t xml:space="preserve">Sorun: </w:t>
      </w:r>
      <w:r>
        <w:t>Yedi harfin mahiyeti ihtilaflıdır. “Çoğunluk” nitelemesi ayrıca kapsamlı kaynak taraması gerektirir; lehçe açıklaması tek model gibi öne çıkarılmamalıdır.</w:t>
      </w:r>
    </w:p>
    <w:p>
      <w:pPr/>
      <w:r>
        <w:rPr>
          <w:b/>
        </w:rPr>
        <w:t xml:space="preserve">Önerilen düzeltme: </w:t>
      </w:r>
      <w:r>
        <w:t>“Yedi harfin mahiyeti hakkında farklı açıklamalar bulunmakla birlikte, bu açıklamalardan bir kısmı meseleyi Arap lehçeleri ve telaffuz çeşitliliğiyle ilişkilendirmiştir.”</w:t>
      </w:r>
    </w:p>
    <w:p>
      <w:pPr/>
      <w:r>
        <w:rPr>
          <w:b/>
        </w:rPr>
        <w:t xml:space="preserve">Kaynak kontrolü gerekli: </w:t>
      </w:r>
      <w:r>
        <w:t>“Çoğunluk” nitelemesini destekleyen kaynak kümesi açıkça gösterilmelidir; aksi hâlde çıkarılmalıdır.</w:t>
      </w:r>
    </w:p>
    <w:p>
      <w:pPr>
        <w:pStyle w:val="Heading3"/>
        <w:keepNext/>
        <w:keepLines/>
      </w:pPr>
      <w:r>
        <w:t>B3-05. Hareke “aslına işaret” yazının bilinçli ses işareti gibi açıklanıyor</w:t>
      </w:r>
    </w:p>
    <w:p>
      <w:pPr/>
      <w:r>
        <w:rPr>
          <w:b/>
        </w:rPr>
        <w:t xml:space="preserve">Kategori: </w:t>
      </w:r>
      <w:r>
        <w:t>Kavramsal / Filolojik</w:t>
      </w:r>
    </w:p>
    <w:p>
      <w:pPr/>
      <w:r>
        <w:rPr>
          <w:b/>
        </w:rPr>
        <w:t xml:space="preserve">Önem düzeyi: </w:t>
      </w:r>
      <w:r>
        <w:t>Yüksek</w:t>
      </w:r>
    </w:p>
    <w:p>
      <w:pPr/>
      <w:r>
        <w:rPr>
          <w:b/>
        </w:rPr>
        <w:t xml:space="preserve">Yer: </w:t>
      </w:r>
      <w:r>
        <w:t>3.3, s.60–62</w:t>
      </w:r>
    </w:p>
    <w:p>
      <w:pPr>
        <w:pStyle w:val="IssueQuote"/>
      </w:pPr>
      <w:r>
        <w:t>“Bu örnekler, resm-i Osmânî’nin harekenin aslını göstermek üzere bilinçli işaretler taşıdığını ortaya koymaktadır.”</w:t>
      </w:r>
    </w:p>
    <w:p>
      <w:pPr/>
      <w:r>
        <w:rPr>
          <w:b/>
        </w:rPr>
        <w:t xml:space="preserve">Sorun: </w:t>
      </w:r>
      <w:r>
        <w:t>Erken resmde hareke işaretleri bulunmadığı için belirli yazım biçimlerinin sonradan dilbilimsel olarak “harekenin aslı” ile açıklanması ile yazının bu amaçla oluşturulduğu söylemek farklı iddialardır.</w:t>
      </w:r>
    </w:p>
    <w:p>
      <w:pPr/>
      <w:r>
        <w:rPr>
          <w:b/>
        </w:rPr>
        <w:t xml:space="preserve">Önerilen düzeltme: </w:t>
      </w:r>
      <w:r>
        <w:t>“Bu örnekler, bazı klasik dil ve resm âlimlerinin belirli yazım biçimlerini harekenin kökeni veya kelimenin dilsel yapısıyla ilişkilendirdiklerini göstermektedir. Bu açıklamalar, söz konusu yazımların başlangıçta özellikle bu amacı göstermek için oluşturulduğunu tek başına kanıtlamaz.”</w:t>
      </w:r>
    </w:p>
    <w:p>
      <w:pPr>
        <w:pStyle w:val="Heading3"/>
        <w:keepNext/>
        <w:keepLines/>
      </w:pPr>
      <w:r>
        <w:t>B3-06. 3.4 başlığı sonucu peşinen kabul ediyor</w:t>
      </w:r>
    </w:p>
    <w:p>
      <w:pPr/>
      <w:r>
        <w:rPr>
          <w:b/>
        </w:rPr>
        <w:t xml:space="preserve">Kategori: </w:t>
      </w:r>
      <w:r>
        <w:t>Başlık / Kavramsal</w:t>
      </w:r>
    </w:p>
    <w:p>
      <w:pPr/>
      <w:r>
        <w:rPr>
          <w:b/>
        </w:rPr>
        <w:t xml:space="preserve">Önem düzeyi: </w:t>
      </w:r>
      <w:r>
        <w:t>Kritik</w:t>
      </w:r>
    </w:p>
    <w:p>
      <w:pPr/>
      <w:r>
        <w:rPr>
          <w:b/>
        </w:rPr>
        <w:t xml:space="preserve">Yer: </w:t>
      </w:r>
      <w:r>
        <w:t>3.4, s.62</w:t>
      </w:r>
    </w:p>
    <w:p>
      <w:pPr>
        <w:pStyle w:val="IssueQuote"/>
      </w:pPr>
      <w:r>
        <w:t>“Resm-i Osmânî’de Ziyâde ve Hazfin İnce Manaya Delaleti”</w:t>
      </w:r>
    </w:p>
    <w:p>
      <w:pPr/>
      <w:r>
        <w:rPr>
          <w:b/>
        </w:rPr>
        <w:t xml:space="preserve">Sorun: </w:t>
      </w:r>
      <w:r>
        <w:t>Başlık, ziyâde ve hazfin “ince manaya delalet ettiği”ni tartışma sonucu değil başlangıç varsayımı olarak kurar.</w:t>
      </w:r>
    </w:p>
    <w:p>
      <w:pPr/>
      <w:r>
        <w:rPr>
          <w:b/>
        </w:rPr>
        <w:t xml:space="preserve">Önerilen düzeltme: </w:t>
      </w:r>
      <w:r>
        <w:t>“Hazif ve Ziyâdeye Yüklenen Mana İlişkileri: Klasik Yorumlar ve Delil Değeri”</w:t>
      </w:r>
    </w:p>
    <w:p>
      <w:pPr>
        <w:pStyle w:val="Heading3"/>
        <w:keepNext/>
        <w:keepLines/>
      </w:pPr>
      <w:r>
        <w:t>B3-07. Resm açıkça “anlam işaretleme sistemi”ne dönüştürülüyor</w:t>
      </w:r>
    </w:p>
    <w:p>
      <w:pPr/>
      <w:r>
        <w:rPr>
          <w:b/>
        </w:rPr>
        <w:t xml:space="preserve">Kategori: </w:t>
      </w:r>
      <w:r>
        <w:t>Bilimsel / Kavramsal</w:t>
      </w:r>
    </w:p>
    <w:p>
      <w:pPr/>
      <w:r>
        <w:rPr>
          <w:b/>
        </w:rPr>
        <w:t xml:space="preserve">Önem düzeyi: </w:t>
      </w:r>
      <w:r>
        <w:t>Kritik</w:t>
      </w:r>
    </w:p>
    <w:p>
      <w:pPr/>
      <w:r>
        <w:rPr>
          <w:b/>
        </w:rPr>
        <w:t xml:space="preserve">Yer: </w:t>
      </w:r>
      <w:r>
        <w:t>3.4</w:t>
      </w:r>
    </w:p>
    <w:p>
      <w:pPr>
        <w:pStyle w:val="IssueQuote"/>
      </w:pPr>
      <w:r>
        <w:t>“Resm-i Osmânî’yi yalnızca bir yazı düzeni değil, aynı zamanda anlam işaretleme sistemi olarak değerlendirmek gerekmektedir.”</w:t>
      </w:r>
    </w:p>
    <w:p>
      <w:pPr/>
      <w:r>
        <w:rPr>
          <w:b/>
        </w:rPr>
        <w:t xml:space="preserve">Sorun: </w:t>
      </w:r>
      <w:r>
        <w:t>Bu cümle kitabın ana tezinden daha ileri yeni bir teori kurmaktadır. Klasik bir müellifin hikmet yorumu varsa ona nispet edilmeli; yazarın tarihsel sonucu hâline getirilmemelidir.</w:t>
      </w:r>
    </w:p>
    <w:p>
      <w:pPr/>
      <w:r>
        <w:rPr>
          <w:b/>
        </w:rPr>
        <w:t xml:space="preserve">Önerilen düzeltme: </w:t>
      </w:r>
      <w:r>
        <w:t>“Bazı klasik müellifler, hazif ve ziyâde örneklerini mana ve belâgat bakımından yorumlamışlardır. Bu yorumlar resm geleneğinin anlam merkezli yorum katmanını göstermekte; ancak yazımın tarihsel olarak bu manaları işaretlemek amacıyla oluşturulduğunu kanıtlamamaktadır.”</w:t>
      </w:r>
    </w:p>
    <w:p>
      <w:pPr>
        <w:pStyle w:val="Heading3"/>
        <w:keepNext/>
        <w:keepLines/>
      </w:pPr>
      <w:r>
        <w:t>B3-08. İlâhî kudret, korku, hız ve af yorumları kanıt düzeyi ayrılmadan kullanılıyor</w:t>
      </w:r>
    </w:p>
    <w:p>
      <w:pPr/>
      <w:r>
        <w:rPr>
          <w:b/>
        </w:rPr>
        <w:t xml:space="preserve">Kategori: </w:t>
      </w:r>
      <w:r>
        <w:t>Kaynak / Metodolojik</w:t>
      </w:r>
    </w:p>
    <w:p>
      <w:pPr/>
      <w:r>
        <w:rPr>
          <w:b/>
        </w:rPr>
        <w:t xml:space="preserve">Önem düzeyi: </w:t>
      </w:r>
      <w:r>
        <w:t>Kritik</w:t>
      </w:r>
    </w:p>
    <w:p>
      <w:pPr/>
      <w:r>
        <w:rPr>
          <w:b/>
        </w:rPr>
        <w:t xml:space="preserve">Yer: </w:t>
      </w:r>
      <w:r>
        <w:t>3.4</w:t>
      </w:r>
    </w:p>
    <w:p>
      <w:pPr>
        <w:pStyle w:val="IssueQuote"/>
      </w:pPr>
      <w:r>
        <w:t>“بِأَيْيد kelimesindeki iki yânın ilâhî kudretin büyüklüğüne işaret ettiği belirtilmektedir.”</w:t>
      </w:r>
    </w:p>
    <w:p>
      <w:pPr/>
      <w:r>
        <w:rPr>
          <w:b/>
        </w:rPr>
        <w:t xml:space="preserve">Sorun: </w:t>
      </w:r>
      <w:r>
        <w:t>Bu tür açıklamalar klasik yorum olarak aktarılabilir; fakat imlâ tarihinin nedensel açıklaması olamaz. Aynı yöntem وجيء, hız, süreklilik ve af örneklerine uygulanmalıdır.</w:t>
      </w:r>
    </w:p>
    <w:p>
      <w:pPr/>
      <w:r>
        <w:rPr>
          <w:b/>
        </w:rPr>
        <w:t xml:space="preserve">Önerilen düzeltme: </w:t>
      </w:r>
      <w:r>
        <w:t>“Merrâkuşî, ilgili ziyâdeyi ilâhî kudretin kuvvetiyle ilişkilendirmiştir. Bu açıklama, klasik resm yorumculuğundaki hikmet merkezli yaklaşımı yansıtmaktadır. Bununla birlikte söz konusu yazımın doğrudan bu manayı göstermek amacıyla oluşturulduğunu tarihsel olarak kanıtlamak mümkün değildir.”</w:t>
      </w:r>
    </w:p>
    <w:p>
      <w:pPr/>
      <w:r>
        <w:rPr>
          <w:b/>
        </w:rPr>
        <w:t xml:space="preserve">Kaynak kontrolü gerekli: </w:t>
      </w:r>
      <w:r>
        <w:t>Her mana yorumunun hangi müellife ait olduğu ve tam bağlamı kaynaktan doğrulanmalıdır.</w:t>
      </w:r>
    </w:p>
    <w:p>
      <w:pPr>
        <w:pStyle w:val="Heading3"/>
        <w:keepNext/>
        <w:keepLines/>
      </w:pPr>
      <w:r>
        <w:t>B3-09. “Sırlar ve i‘câz” çağrısı akademik sonuç sınırını aşıyor</w:t>
      </w:r>
    </w:p>
    <w:p>
      <w:pPr/>
      <w:r>
        <w:rPr>
          <w:b/>
        </w:rPr>
        <w:t xml:space="preserve">Kategori: </w:t>
      </w:r>
      <w:r>
        <w:t>Üslup / Metodolojik</w:t>
      </w:r>
    </w:p>
    <w:p>
      <w:pPr/>
      <w:r>
        <w:rPr>
          <w:b/>
        </w:rPr>
        <w:t xml:space="preserve">Önem düzeyi: </w:t>
      </w:r>
      <w:r>
        <w:t>Yüksek</w:t>
      </w:r>
    </w:p>
    <w:p>
      <w:pPr/>
      <w:r>
        <w:rPr>
          <w:b/>
        </w:rPr>
        <w:t xml:space="preserve">Yer: </w:t>
      </w:r>
      <w:r>
        <w:t>3.4 sonu</w:t>
      </w:r>
    </w:p>
    <w:p>
      <w:pPr>
        <w:pStyle w:val="IssueQuote"/>
      </w:pPr>
      <w:r>
        <w:t>“Bu yazımın sırlarının ve i‘câz yönlerinin daha derin biçimde araştırılması gerektiği kanaatindeyiz.”</w:t>
      </w:r>
    </w:p>
    <w:p>
      <w:pPr/>
      <w:r>
        <w:rPr>
          <w:b/>
        </w:rPr>
        <w:t xml:space="preserve">Sorun: </w:t>
      </w:r>
      <w:r>
        <w:t>Girişte her farklılığa gizli mana ve mucizevî hikmet yüklenmeyeceği söylenmiştir. Bu cümle bilimsel sonuçtan savunmacı/hikmet merkezli tona döner.</w:t>
      </w:r>
    </w:p>
    <w:p>
      <w:pPr/>
      <w:r>
        <w:rPr>
          <w:b/>
        </w:rPr>
        <w:t xml:space="preserve">Önerilen düzeltme: </w:t>
      </w:r>
      <w:r>
        <w:t>“Bu örnekler, resm literatüründe teknik yazım açıklamalarıyla hikmet merkezli yorumların birlikte bulunabildiğini göstermektedir. Bilimsel değerlendirmede bu iki açıklama düzeyi birbirinden ayrılmalıdır.”</w:t>
      </w:r>
    </w:p>
    <w:p>
      <w:pPr>
        <w:pStyle w:val="Heading3"/>
        <w:keepNext/>
        <w:keepLines/>
      </w:pPr>
      <w:r>
        <w:t>B3-10. 3.5 başlığı yazım farkının anlam farkını zorunlu gösterdiğini varsayıyor</w:t>
      </w:r>
    </w:p>
    <w:p>
      <w:pPr/>
      <w:r>
        <w:rPr>
          <w:b/>
        </w:rPr>
        <w:t xml:space="preserve">Kategori: </w:t>
      </w:r>
      <w:r>
        <w:t>Başlık / Kavramsal</w:t>
      </w:r>
    </w:p>
    <w:p>
      <w:pPr/>
      <w:r>
        <w:rPr>
          <w:b/>
        </w:rPr>
        <w:t xml:space="preserve">Önem düzeyi: </w:t>
      </w:r>
      <w:r>
        <w:t>Yüksek</w:t>
      </w:r>
    </w:p>
    <w:p>
      <w:pPr/>
      <w:r>
        <w:rPr>
          <w:b/>
        </w:rPr>
        <w:t xml:space="preserve">Yer: </w:t>
      </w:r>
      <w:r>
        <w:t>3.5, s.64</w:t>
      </w:r>
    </w:p>
    <w:p>
      <w:pPr>
        <w:pStyle w:val="IssueQuote"/>
      </w:pPr>
      <w:r>
        <w:t>“Resm-i Osmânî’de Yazım Farkının Anlam Farkına İşaret Etmesi”</w:t>
      </w:r>
    </w:p>
    <w:p>
      <w:pPr/>
      <w:r>
        <w:rPr>
          <w:b/>
        </w:rPr>
        <w:t xml:space="preserve">Sorun: </w:t>
      </w:r>
      <w:r>
        <w:t>Vasl ve fasl gibi yazımlar anlamsal/gramatik yorumlarda kullanılabilir; her farkın bilinçli bir anlam işareti olduğu sonucu önceden verilmemelidir.</w:t>
      </w:r>
    </w:p>
    <w:p>
      <w:pPr/>
      <w:r>
        <w:rPr>
          <w:b/>
        </w:rPr>
        <w:t xml:space="preserve">Önerilen düzeltme: </w:t>
      </w:r>
      <w:r>
        <w:t>“Vasl ve Fasl Yazımlarının Dilsel ve Anlamsal Yorumlarda Kullanılması”</w:t>
      </w:r>
    </w:p>
    <w:p>
      <w:pPr>
        <w:pStyle w:val="Heading3"/>
        <w:keepNext/>
        <w:keepLines/>
      </w:pPr>
      <w:r>
        <w:t>B3-11. İbn Haldûn’a verilen cevap savunmacı ölçüte dayanıyor</w:t>
      </w:r>
    </w:p>
    <w:p>
      <w:pPr/>
      <w:r>
        <w:rPr>
          <w:b/>
        </w:rPr>
        <w:t xml:space="preserve">Kategori: </w:t>
      </w:r>
      <w:r>
        <w:t>Üslup / Metodolojik</w:t>
      </w:r>
    </w:p>
    <w:p>
      <w:pPr/>
      <w:r>
        <w:rPr>
          <w:b/>
        </w:rPr>
        <w:t xml:space="preserve">Önem düzeyi: </w:t>
      </w:r>
      <w:r>
        <w:t>Kritik</w:t>
      </w:r>
    </w:p>
    <w:p>
      <w:pPr/>
      <w:r>
        <w:rPr>
          <w:b/>
        </w:rPr>
        <w:t xml:space="preserve">Yer: </w:t>
      </w:r>
      <w:r>
        <w:t>3.6, s.66–70</w:t>
      </w:r>
    </w:p>
    <w:p>
      <w:pPr>
        <w:pStyle w:val="IssueQuote"/>
      </w:pPr>
      <w:r>
        <w:t>“İbn Haldûn’un bu yaklaşımı kabul edildiğinde resm-i Osmânî’nin delil ve hüccet değerinin zayıflaması gibi bir sonuç ortaya çıkmaktadır.”</w:t>
      </w:r>
    </w:p>
    <w:p>
      <w:pPr/>
      <w:r>
        <w:rPr>
          <w:b/>
        </w:rPr>
        <w:t xml:space="preserve">Sorun: </w:t>
      </w:r>
      <w:r>
        <w:t>Bir tarihsel açıklama, doğuracağı teolojik/normatif sonuç hoş karşılanmadığı için “problemli” sayılmamalıdır. Önce kanıt gücü tartışılmalı; bağlayıcılık sorusu ayrı tutulmalıdır.</w:t>
      </w:r>
    </w:p>
    <w:p>
      <w:pPr/>
      <w:r>
        <w:rPr>
          <w:b/>
        </w:rPr>
        <w:t xml:space="preserve">Önerilen düzeltme: </w:t>
      </w:r>
      <w:r>
        <w:t>“İbn Haldûn’un açıklaması, erken Arap yazısının tarihsel şartlarını öne çıkaran bir yaklaşımı temsil etmektedir. Bu yaklaşımın resm-i Osmânî’nin sonraki normatif bağlayıcılığıyla ilişkisi ise ayrı bir tartışmadır; tarihsel köken açıklaması ile normatif bağlılık birbirine indirgenmemelidir.”</w:t>
      </w:r>
    </w:p>
    <w:p>
      <w:pPr>
        <w:pStyle w:val="Heading3"/>
        <w:keepNext/>
        <w:keepLines/>
      </w:pPr>
      <w:r>
        <w:t>B3-12. “Üç ana çizgi” cümlesi iki çizgi sayıyor</w:t>
      </w:r>
    </w:p>
    <w:p>
      <w:pPr/>
      <w:r>
        <w:rPr>
          <w:b/>
        </w:rPr>
        <w:t xml:space="preserve">Kategori: </w:t>
      </w:r>
      <w:r>
        <w:t>Dil / Mantık</w:t>
      </w:r>
    </w:p>
    <w:p>
      <w:pPr/>
      <w:r>
        <w:rPr>
          <w:b/>
        </w:rPr>
        <w:t xml:space="preserve">Önem düzeyi: </w:t>
      </w:r>
      <w:r>
        <w:t>Orta</w:t>
      </w:r>
    </w:p>
    <w:p>
      <w:pPr/>
      <w:r>
        <w:rPr>
          <w:b/>
        </w:rPr>
        <w:t xml:space="preserve">Yer: </w:t>
      </w:r>
      <w:r>
        <w:t>3.6 sonu</w:t>
      </w:r>
    </w:p>
    <w:p>
      <w:pPr>
        <w:pStyle w:val="IssueQuote"/>
      </w:pPr>
      <w:r>
        <w:t>“Bu görüşleri üç ana çizgide toplamak mümkündür: onu tevkîfî ve bağlayıcı gören yaklaşım; yazım farklılıklarında hikmet ve i‘câz arayan yaklaşım.”</w:t>
      </w:r>
    </w:p>
    <w:p>
      <w:pPr/>
      <w:r>
        <w:rPr>
          <w:b/>
        </w:rPr>
        <w:t xml:space="preserve">Sorun: </w:t>
      </w:r>
      <w:r>
        <w:t>Cümle üç grup vaat edip iki grup verir.</w:t>
      </w:r>
    </w:p>
    <w:p>
      <w:pPr/>
      <w:r>
        <w:rPr>
          <w:b/>
        </w:rPr>
        <w:t xml:space="preserve">Önerilen düzeltme: </w:t>
      </w:r>
      <w:r>
        <w:t>“Bu görüşler üç ana çizgide toplanabilir: resm-i Osmânî’yi tevkîfî ve bağlayıcı gören yaklaşım; yazım farklılıklarını hikmet ve i‘câz çerçevesinde yorumlayan yaklaşım; yazımı erken Arap imlâsı ve tarihsel gelişim içinde açıklayan tarihsel-filolojik yaklaşım.”</w:t>
      </w:r>
    </w:p>
    <w:p>
      <w:pPr>
        <w:pStyle w:val="Heading3"/>
        <w:keepNext/>
        <w:keepLines/>
      </w:pPr>
      <w:r>
        <w:t>B3-13. 3.7 akademik tondan vaaz üslubuna kayıyor</w:t>
      </w:r>
    </w:p>
    <w:p>
      <w:pPr/>
      <w:r>
        <w:rPr>
          <w:b/>
        </w:rPr>
        <w:t xml:space="preserve">Kategori: </w:t>
      </w:r>
      <w:r>
        <w:t>Üslup / Yapısal</w:t>
      </w:r>
    </w:p>
    <w:p>
      <w:pPr/>
      <w:r>
        <w:rPr>
          <w:b/>
        </w:rPr>
        <w:t xml:space="preserve">Önem düzeyi: </w:t>
      </w:r>
      <w:r>
        <w:t>Kritik</w:t>
      </w:r>
    </w:p>
    <w:p>
      <w:pPr/>
      <w:r>
        <w:rPr>
          <w:b/>
        </w:rPr>
        <w:t xml:space="preserve">Yer: </w:t>
      </w:r>
      <w:r>
        <w:t>3.7, s.70–74</w:t>
      </w:r>
    </w:p>
    <w:p>
      <w:pPr>
        <w:pStyle w:val="IssueQuote"/>
      </w:pPr>
      <w:r>
        <w:t>“Kur’an, dünyada yazılmış en yüce metindir.”</w:t>
      </w:r>
    </w:p>
    <w:p>
      <w:pPr/>
      <w:r>
        <w:rPr>
          <w:b/>
        </w:rPr>
        <w:t xml:space="preserve">Sorun: </w:t>
      </w:r>
      <w:r>
        <w:t>Bu değer hükmü teolojik bağlamda anlaşılır olsa da bilimsel kitapta resm-i mushafın tarihsel işlevini ispatlayan argüman değildir. Aynı alt başlıktaki “hayır itimadadır” türü nasihat dili de akademik çözümlemeyi zayıflatır.</w:t>
      </w:r>
    </w:p>
    <w:p>
      <w:pPr/>
      <w:r>
        <w:rPr>
          <w:b/>
        </w:rPr>
        <w:t xml:space="preserve">Önerilen düzeltme: </w:t>
      </w:r>
      <w:r>
        <w:t>“Resm-i Osmânî’ye bağlılık lehinde geliştirilen klasik gerekçeler, mushaf yazısında tarihsel sürekliliğin ve müşterek metin geleneğinin korunmasına vurgu yapmaktadır. Bu gerekçeler normatif mahiyetleri açıkça belirtilerek aktarılmalıdır.”</w:t>
      </w:r>
    </w:p>
    <w:p>
      <w:pPr>
        <w:pStyle w:val="Heading3"/>
        <w:keepNext/>
        <w:keepLines/>
      </w:pPr>
      <w:r>
        <w:t>B3-14. 3.9 “selefin faziletine delalet” kitabın araştırma probleminden uzaklaşıyor</w:t>
      </w:r>
    </w:p>
    <w:p>
      <w:pPr/>
      <w:r>
        <w:rPr>
          <w:b/>
        </w:rPr>
        <w:t xml:space="preserve">Kategori: </w:t>
      </w:r>
      <w:r>
        <w:t>Yapısal / Üslup</w:t>
      </w:r>
    </w:p>
    <w:p>
      <w:pPr/>
      <w:r>
        <w:rPr>
          <w:b/>
        </w:rPr>
        <w:t xml:space="preserve">Önem düzeyi: </w:t>
      </w:r>
      <w:r>
        <w:t>Yüksek</w:t>
      </w:r>
    </w:p>
    <w:p>
      <w:pPr/>
      <w:r>
        <w:rPr>
          <w:b/>
        </w:rPr>
        <w:t xml:space="preserve">Yer: </w:t>
      </w:r>
      <w:r>
        <w:t>3.9, s.75–77</w:t>
      </w:r>
    </w:p>
    <w:p>
      <w:pPr>
        <w:pStyle w:val="IssueQuote"/>
      </w:pPr>
      <w:r>
        <w:t>“Selef-i Sâlihînin İlmî Faziletini İdrâk ve Resm-i Mushaf’ın Bu Fazilete Delaleti”</w:t>
      </w:r>
    </w:p>
    <w:p>
      <w:pPr/>
      <w:r>
        <w:rPr>
          <w:b/>
        </w:rPr>
        <w:t xml:space="preserve">Sorun: </w:t>
      </w:r>
      <w:r>
        <w:t>Başlık resmin tarihsel/kırâat işlevi yerine sahâbe/selefin faziletini kanıtlama işlevini öne çıkarır ve analitik mimariyi apologetik alt başlığa dönüştürür.</w:t>
      </w:r>
    </w:p>
    <w:p>
      <w:pPr/>
      <w:r>
        <w:rPr>
          <w:b/>
        </w:rPr>
        <w:t xml:space="preserve">Önerilen düzeltme: </w:t>
      </w:r>
      <w:r>
        <w:t>Bu alt başlık bağımsız bölüm olmaktan çıkarılmalıdır. Kaynaklarda resme bağlılığın sahâbe uygulamasına ittiba ile gerekçelendirildiği görüşler varsa, 3.6 veya önerilen birleşik 3.7 içinde “Normatif gerekçeler” başlığı altında kısa ve kaynak görüşü olarak aktarılmalıdır.</w:t>
      </w:r>
    </w:p>
    <w:p>
      <w:pPr>
        <w:pStyle w:val="Heading3"/>
        <w:keepNext/>
        <w:keepLines/>
      </w:pPr>
      <w:r>
        <w:t>B3-15. Müşâfeheye yönlendirme bilinçli tasarım olarak anlatılıyor</w:t>
      </w:r>
    </w:p>
    <w:p>
      <w:pPr/>
      <w:r>
        <w:rPr>
          <w:b/>
        </w:rPr>
        <w:t xml:space="preserve">Kategori: </w:t>
      </w:r>
      <w:r>
        <w:t>Kavramsal / Nedensellik</w:t>
      </w:r>
    </w:p>
    <w:p>
      <w:pPr/>
      <w:r>
        <w:rPr>
          <w:b/>
        </w:rPr>
        <w:t xml:space="preserve">Önem düzeyi: </w:t>
      </w:r>
      <w:r>
        <w:t>Kritik</w:t>
      </w:r>
    </w:p>
    <w:p>
      <w:pPr/>
      <w:r>
        <w:rPr>
          <w:b/>
        </w:rPr>
        <w:t xml:space="preserve">Yer: </w:t>
      </w:r>
      <w:r>
        <w:t>3.10, s.77–80</w:t>
      </w:r>
    </w:p>
    <w:p>
      <w:pPr>
        <w:pStyle w:val="IssueQuote"/>
      </w:pPr>
      <w:r>
        <w:t>“Resm-i Osmânî’nin telaffuz ayrıntılarını bütünüyle göstermemesi, okuyucuyu bilinçli biçimde müşâfeheye yönlendiren bir özelliktir.”</w:t>
      </w:r>
    </w:p>
    <w:p>
      <w:pPr/>
      <w:r>
        <w:rPr>
          <w:b/>
        </w:rPr>
        <w:t xml:space="preserve">Sorun: </w:t>
      </w:r>
      <w:r>
        <w:t>Yazının fonetik ayrıntıları tam göstermemesi müşâfeheyi gerekli kılan tarihsel bir durumdur; yazının özellikle bu amaçla eksik bırakıldığı iddiası ayrıca kanıt gerektirir.</w:t>
      </w:r>
    </w:p>
    <w:p>
      <w:pPr/>
      <w:r>
        <w:rPr>
          <w:b/>
        </w:rPr>
        <w:t xml:space="preserve">Önerilen düzeltme: </w:t>
      </w:r>
      <w:r>
        <w:t>“Erken mushaf yazısının seslendirme ayrıntılarını bütünüyle göstermemesi, okuyuşun yalnız yazıdan öğrenilememesine ve telakki ile müşâfehenin aktarım sürecindeki merkezî yerini korumasına yol açmıştır.”</w:t>
      </w:r>
    </w:p>
    <w:p>
      <w:pPr>
        <w:pStyle w:val="Heading3"/>
        <w:keepNext/>
        <w:keepLines/>
      </w:pPr>
      <w:r>
        <w:t>B3-16. “Tam fonetik yazı olsaydı sözlü aktarım zayıflardı” karşı olgusu kanıtsız</w:t>
      </w:r>
    </w:p>
    <w:p>
      <w:pPr/>
      <w:r>
        <w:rPr>
          <w:b/>
        </w:rPr>
        <w:t xml:space="preserve">Kategori: </w:t>
      </w:r>
      <w:r>
        <w:t>Metodolojik</w:t>
      </w:r>
    </w:p>
    <w:p>
      <w:pPr/>
      <w:r>
        <w:rPr>
          <w:b/>
        </w:rPr>
        <w:t xml:space="preserve">Önem düzeyi: </w:t>
      </w:r>
      <w:r>
        <w:t>Yüksek</w:t>
      </w:r>
    </w:p>
    <w:p>
      <w:pPr/>
      <w:r>
        <w:rPr>
          <w:b/>
        </w:rPr>
        <w:t xml:space="preserve">Yer: </w:t>
      </w:r>
      <w:r>
        <w:t>3.10</w:t>
      </w:r>
    </w:p>
    <w:p>
      <w:pPr>
        <w:pStyle w:val="IssueQuote"/>
      </w:pPr>
      <w:r>
        <w:t>“Şayet Kur’an lafızlarının tamamı telaffuza tam uygun biçimde yazılmış olsaydı, müşâfeheye duyulan ihtiyaç zamanla zayıflayabilirdi.”</w:t>
      </w:r>
    </w:p>
    <w:p>
      <w:pPr/>
      <w:r>
        <w:rPr>
          <w:b/>
        </w:rPr>
        <w:t xml:space="preserve">Sorun: </w:t>
      </w:r>
      <w:r>
        <w:t>Bu tarihsel karşı-olgu, yazı teknolojisinin özelliklerinden öğretim geleneğinin zorunlu geleceğine dair spekülatif sonuç üretir.</w:t>
      </w:r>
    </w:p>
    <w:p>
      <w:pPr/>
      <w:r>
        <w:rPr>
          <w:b/>
        </w:rPr>
        <w:t xml:space="preserve">Önerilen düzeltme: </w:t>
      </w:r>
      <w:r>
        <w:t>“Erken mushaf yazısı telaffuzun bütün ayrıntılarını göstermediği için, doğru edânın öğrenilmesinde telakki ve müşâfehe vazgeçilmez olmaya devam etmiştir.”</w:t>
      </w:r>
    </w:p>
    <w:p>
      <w:pPr>
        <w:pStyle w:val="Heading3"/>
        <w:keepNext/>
        <w:keepLines/>
      </w:pPr>
      <w:r>
        <w:t>B3-17. İsrail/Afrika mushafları anlatısı ağır doğrulama ve nedensellik sorunu taşıyor</w:t>
      </w:r>
    </w:p>
    <w:p>
      <w:pPr/>
      <w:r>
        <w:rPr>
          <w:b/>
        </w:rPr>
        <w:t xml:space="preserve">Kategori: </w:t>
      </w:r>
      <w:r>
        <w:t>Kaynak / Üslup / Yapısal</w:t>
      </w:r>
    </w:p>
    <w:p>
      <w:pPr/>
      <w:r>
        <w:rPr>
          <w:b/>
        </w:rPr>
        <w:t xml:space="preserve">Önem düzeyi: </w:t>
      </w:r>
      <w:r>
        <w:t>Kritik</w:t>
      </w:r>
    </w:p>
    <w:p>
      <w:pPr/>
      <w:r>
        <w:rPr>
          <w:b/>
        </w:rPr>
        <w:t xml:space="preserve">Yer: </w:t>
      </w:r>
      <w:r>
        <w:t>3.11, s.80 civarı</w:t>
      </w:r>
    </w:p>
    <w:p>
      <w:pPr>
        <w:pStyle w:val="IssueQuote"/>
      </w:pPr>
      <w:r>
        <w:t>“Afrika ülkelerine dağıtılmak üzere yüz binlerce tahrif edilmiş mushaf bastırıldığı ve bunlarda binden fazla değişiklik bulunduğu iddia edilmiştir.”</w:t>
      </w:r>
    </w:p>
    <w:p>
      <w:pPr/>
      <w:r>
        <w:rPr>
          <w:b/>
        </w:rPr>
        <w:t xml:space="preserve">Sorun: </w:t>
      </w:r>
      <w:r>
        <w:t>Anlatı doğrulansa dahi kötü niyetli sahtecilik/tahrif olayı, modern imlâya geçmenin kendiliğinden tahrife yol açtığını göstermez. Bölümde olay, resm-i Osmânî’den ayrılmanın zorunlu sonucu gibi kullanılarak nedensellik sıçraması oluşturur.</w:t>
      </w:r>
    </w:p>
    <w:p>
      <w:pPr/>
      <w:r>
        <w:rPr>
          <w:b/>
        </w:rPr>
        <w:t xml:space="preserve">Önerilen düzeltme: </w:t>
      </w:r>
      <w:r>
        <w:t>Bu anlatı ana argümanın zorunlu bir parçası değildir ve çıkarılması önerilir. Resm-i Osmânî’nin korunması lehindeki tarihsel gerekçe, klasik resm verilerinin ve mushaf geleneğinin sürekliliği üzerinden kurulmalıdır.</w:t>
      </w:r>
    </w:p>
    <w:p>
      <w:pPr/>
      <w:r>
        <w:rPr>
          <w:b/>
        </w:rPr>
        <w:t xml:space="preserve">Kaynak kontrolü gerekli: </w:t>
      </w:r>
      <w:r>
        <w:t>Olayın tarih, sayı, aktör, kaynak ve güvenilirliği mevcut proje kaynaklarından doğrulanmadan kullanılmamalıdır.</w:t>
      </w:r>
    </w:p>
    <w:p>
      <w:pPr>
        <w:pStyle w:val="Heading3"/>
        <w:keepNext/>
        <w:keepLines/>
      </w:pPr>
      <w:r>
        <w:t>B3-18. Kasıt atfı kaynakça anlatısında kesinleşiyor</w:t>
      </w:r>
    </w:p>
    <w:p>
      <w:pPr/>
      <w:r>
        <w:rPr>
          <w:b/>
        </w:rPr>
        <w:t xml:space="preserve">Kategori: </w:t>
      </w:r>
      <w:r>
        <w:t>Tarihsel / Niyet atfı</w:t>
      </w:r>
    </w:p>
    <w:p>
      <w:pPr/>
      <w:r>
        <w:rPr>
          <w:b/>
        </w:rPr>
        <w:t xml:space="preserve">Önem düzeyi: </w:t>
      </w:r>
      <w:r>
        <w:t>Kritik</w:t>
      </w:r>
    </w:p>
    <w:p>
      <w:pPr/>
      <w:r>
        <w:rPr>
          <w:b/>
        </w:rPr>
        <w:t xml:space="preserve">Yer: </w:t>
      </w:r>
      <w:r>
        <w:t>3.11</w:t>
      </w:r>
    </w:p>
    <w:p>
      <w:pPr>
        <w:pStyle w:val="IssueQuote"/>
      </w:pPr>
      <w:r>
        <w:t>“Bu son silmenin amacı, okuyucunun dikkatini tahrif edilen kısımlardan uzaklaştırmaktır.”</w:t>
      </w:r>
    </w:p>
    <w:p>
      <w:pPr/>
      <w:r>
        <w:rPr>
          <w:b/>
        </w:rPr>
        <w:t xml:space="preserve">Sorun: </w:t>
      </w:r>
      <w:r>
        <w:t>Bir aktörün özel psikolojik/stratejik amacı ancak kaynağın açık ifadesiyle verilebilir. Mevcut cümle yorum sahibini belirtmez.</w:t>
      </w:r>
    </w:p>
    <w:p>
      <w:pPr/>
      <w:r>
        <w:rPr>
          <w:b/>
        </w:rPr>
        <w:t xml:space="preserve">Önerilen düzeltme: </w:t>
      </w:r>
      <w:r>
        <w:t>“İlgili kaynak, bu değişikliği okuyucunun dikkatini başka yöne çekme amacıyla açıklıyorsa bu yorum açıkça kaynağa nispet edilmelidir; kaynakta böyle bir açıklama yoksa amaç cümlesi çıkarılmalıdır.”</w:t>
      </w:r>
    </w:p>
    <w:p>
      <w:pPr/>
      <w:r>
        <w:rPr>
          <w:b/>
        </w:rPr>
        <w:t xml:space="preserve">Kaynak kontrolü gerekli: </w:t>
      </w:r>
      <w:r>
        <w:t>Bu niyet yorumunun doğrudan kaynaktan gelip gelmediği doğrulanmalıdır.</w:t>
      </w:r>
    </w:p>
    <w:p>
      <w:pPr>
        <w:pStyle w:val="Heading3"/>
        <w:keepNext/>
        <w:keepLines/>
      </w:pPr>
      <w:r>
        <w:t>B3-19. Yeni imlânın kırâatleri “kaybettireceği” iddiası ana tezle çelişiyor</w:t>
      </w:r>
    </w:p>
    <w:p>
      <w:pPr/>
      <w:r>
        <w:rPr>
          <w:b/>
        </w:rPr>
        <w:t xml:space="preserve">Kategori: </w:t>
      </w:r>
      <w:r>
        <w:t>Kavramsal</w:t>
      </w:r>
    </w:p>
    <w:p>
      <w:pPr/>
      <w:r>
        <w:rPr>
          <w:b/>
        </w:rPr>
        <w:t xml:space="preserve">Önem düzeyi: </w:t>
      </w:r>
      <w:r>
        <w:t>Kritik</w:t>
      </w:r>
    </w:p>
    <w:p>
      <w:pPr/>
      <w:r>
        <w:rPr>
          <w:b/>
        </w:rPr>
        <w:t xml:space="preserve">Yer: </w:t>
      </w:r>
      <w:r>
        <w:t>3.11</w:t>
      </w:r>
    </w:p>
    <w:p>
      <w:pPr>
        <w:pStyle w:val="IssueQuote"/>
      </w:pPr>
      <w:r>
        <w:t>“Resm-i Osmânî terk edilip kelimeler modern imlâya göre yazıldığında, kırâat farklılıklarının önemli bir kısmı zamanla kaybolacaktır.”</w:t>
      </w:r>
    </w:p>
    <w:p>
      <w:pPr/>
      <w:r>
        <w:rPr>
          <w:b/>
        </w:rPr>
        <w:t xml:space="preserve">Sorun: </w:t>
      </w:r>
      <w:r>
        <w:t>Kitabın ana tezi kırâatlerin aslî taşıyıcısının telakki, müşâfehe, edâ ve isnad olduğunu söyler. Yazı biçimi değişince kırâatlerin “kaybolacağı” iddiası yazıyı aslî taşıyıcı konumuna yükseltir.</w:t>
      </w:r>
    </w:p>
    <w:p>
      <w:pPr/>
      <w:r>
        <w:rPr>
          <w:b/>
        </w:rPr>
        <w:t xml:space="preserve">Önerilen düzeltme: </w:t>
      </w:r>
      <w:r>
        <w:t>“Farklı bir imlâya geçilmesi, bazı kırâatlerin resm ile kurduğu grafik ilişkinin görünürlüğünü azaltabilir. Bununla birlikte kırâatlerin aslî aktarım zemini rivâyet olduğu için, yazım değişikliğinin tek başına rivâyet edilen okuyuşları ortadan kaldırdığı söylenemez.”</w:t>
      </w:r>
    </w:p>
    <w:p>
      <w:pPr>
        <w:pStyle w:val="Heading3"/>
        <w:keepNext/>
        <w:keepLines/>
      </w:pPr>
      <w:r>
        <w:t>B3-20. “Tek metin, tek hat, tek ümmet” türü sloganlaştırıcı birlik dili akademik sınırı aşıyor</w:t>
      </w:r>
    </w:p>
    <w:p>
      <w:pPr/>
      <w:r>
        <w:rPr>
          <w:b/>
        </w:rPr>
        <w:t xml:space="preserve">Kategori: </w:t>
      </w:r>
      <w:r>
        <w:t>Üslup</w:t>
      </w:r>
    </w:p>
    <w:p>
      <w:pPr/>
      <w:r>
        <w:rPr>
          <w:b/>
        </w:rPr>
        <w:t xml:space="preserve">Önem düzeyi: </w:t>
      </w:r>
      <w:r>
        <w:t>Yüksek</w:t>
      </w:r>
    </w:p>
    <w:p>
      <w:pPr/>
      <w:r>
        <w:rPr>
          <w:b/>
        </w:rPr>
        <w:t xml:space="preserve">Yer: </w:t>
      </w:r>
      <w:r>
        <w:t>3.12, s.83–86</w:t>
      </w:r>
    </w:p>
    <w:p>
      <w:pPr>
        <w:pStyle w:val="IssueQuote"/>
      </w:pPr>
      <w:r>
        <w:t>“Tek metin, tek hat, tek ümmet anlayışı bu tarihsel tecrübenin özünü ifade etmektedir.”</w:t>
      </w:r>
    </w:p>
    <w:p>
      <w:pPr/>
      <w:r>
        <w:rPr>
          <w:b/>
        </w:rPr>
        <w:t xml:space="preserve">Sorun: </w:t>
      </w:r>
      <w:r>
        <w:t>Sloganlaştırıcı formül şehir mushaflarındaki sınırlı resm farklılıklarını ve sözlü kırâat çeşitliliğini görünmez kılar; kitabın nüanslı tezinden daha mutlak birlik modeli üretir.</w:t>
      </w:r>
    </w:p>
    <w:p>
      <w:pPr/>
      <w:r>
        <w:rPr>
          <w:b/>
        </w:rPr>
        <w:t xml:space="preserve">Önerilen düzeltme: </w:t>
      </w:r>
      <w:r>
        <w:t>“Osmânî mushafların müşterek otoritesi, farklı bölgelerdeki okuyuşların ortak bir yazılı başvuru alanı içinde değerlendirilmesine katkı sağlamıştır. Bu birlik, kırâat çeşitliliğinin bütünüyle ortadan kalkması anlamına gelmemiştir.”</w:t>
      </w:r>
    </w:p>
    <w:p>
      <w:pPr>
        <w:pStyle w:val="Heading3"/>
        <w:keepNext/>
        <w:keepLines/>
      </w:pPr>
      <w:r>
        <w:t>B3-21. 3.7–3.12 yapısal olarak birleştirilmeli</w:t>
      </w:r>
    </w:p>
    <w:p>
      <w:pPr/>
      <w:r>
        <w:rPr>
          <w:b/>
        </w:rPr>
        <w:t xml:space="preserve">Kategori: </w:t>
      </w:r>
      <w:r>
        <w:t>Yapısal / Tekrar</w:t>
      </w:r>
    </w:p>
    <w:p>
      <w:pPr/>
      <w:r>
        <w:rPr>
          <w:b/>
        </w:rPr>
        <w:t xml:space="preserve">Önem düzeyi: </w:t>
      </w:r>
      <w:r>
        <w:t>Yüksek</w:t>
      </w:r>
    </w:p>
    <w:p>
      <w:pPr/>
      <w:r>
        <w:rPr>
          <w:b/>
        </w:rPr>
        <w:t xml:space="preserve">Yer: </w:t>
      </w:r>
      <w:r>
        <w:t>3.7–3.12</w:t>
      </w:r>
    </w:p>
    <w:p>
      <w:pPr>
        <w:pStyle w:val="IssueQuote"/>
      </w:pPr>
      <w:r>
        <w:t>“Hata ve tahriften korunma / Nebevî rehberlik / selefin fazileti / müşâfehe / aslî yazım / ümmet birliği”</w:t>
      </w:r>
    </w:p>
    <w:p>
      <w:pPr/>
      <w:r>
        <w:rPr>
          <w:b/>
        </w:rPr>
        <w:t xml:space="preserve">Sorun: </w:t>
      </w:r>
      <w:r>
        <w:t>Altı alt başlık büyük ölçüde aynı dört düşünceyi tekrarlar: sahâbe uygulamasına bağlılık, geçmişle süreklilik, müşâfehe gereği ve ümmet birliği.</w:t>
      </w:r>
    </w:p>
    <w:p>
      <w:pPr/>
      <w:r>
        <w:rPr>
          <w:b/>
        </w:rPr>
        <w:t xml:space="preserve">Önerilen düzeltme: </w:t>
      </w:r>
      <w:r>
        <w:t>Önerilen yeni yapı: “3.7. Resm-i Osmânî’ye Bağlılığın Gerekçeleri ve Sınırları”. Altında kısa alt bölümler: (a) normatif/fıkhî bağlılık, (b) tarihsel resm verisinin korunması, (c) telakki–müşâfehe ile tamamlayıcılık, (d) kültürel/simgesel gerekçeler. Hikmet ve fazilet söylemleri açıkça kaynak görüşü olarak sınırlandırılmalıdır.</w:t>
      </w:r>
    </w:p>
    <w:p>
      <w:pPr>
        <w:pStyle w:val="Heading2"/>
        <w:keepNext/>
        <w:keepLines/>
      </w:pPr>
      <w:r>
        <w:t>8. Dördüncü Bölüm</w:t>
      </w:r>
    </w:p>
    <w:p>
      <w:pPr>
        <w:pStyle w:val="Heading3"/>
        <w:keepNext/>
        <w:keepLines/>
      </w:pPr>
      <w:r>
        <w:t>B4-01. Bölüm başlangıcı ana teze uyuyor; hemen ardından resm tekrar belirleyici özneye dönüşüyor</w:t>
      </w:r>
    </w:p>
    <w:p>
      <w:pPr/>
      <w:r>
        <w:rPr>
          <w:b/>
        </w:rPr>
        <w:t xml:space="preserve">Kategori: </w:t>
      </w:r>
      <w:r>
        <w:t>Kavramsal</w:t>
      </w:r>
    </w:p>
    <w:p>
      <w:pPr/>
      <w:r>
        <w:rPr>
          <w:b/>
        </w:rPr>
        <w:t xml:space="preserve">Önem düzeyi: </w:t>
      </w:r>
      <w:r>
        <w:t>Kritik</w:t>
      </w:r>
    </w:p>
    <w:p>
      <w:pPr/>
      <w:r>
        <w:rPr>
          <w:b/>
        </w:rPr>
        <w:t xml:space="preserve">Yer: </w:t>
      </w:r>
      <w:r>
        <w:t>4.1, s.87–90</w:t>
      </w:r>
    </w:p>
    <w:p>
      <w:pPr>
        <w:pStyle w:val="IssueQuote"/>
      </w:pPr>
      <w:r>
        <w:t>“Resm-i Osmânî, kırâatlerin kaynağı olmayıp, sahih rivâyetlerin ortak mushaf yazımıyla bağını gösteren bir ölçüdür.”</w:t>
      </w:r>
    </w:p>
    <w:p>
      <w:pPr/>
      <w:r>
        <w:rPr>
          <w:b/>
        </w:rPr>
        <w:t xml:space="preserve">Sorun: </w:t>
      </w:r>
      <w:r>
        <w:t>Bu isabetli başlangıç ardından resmin “neshedilmiş olanı dışarıda bıraktığı”, “tevâtür ile âhâdı ayırdığı” ve okuyuşları tahdit ettiği türünde tek nedenli ifadeler gelir.</w:t>
      </w:r>
    </w:p>
    <w:p>
      <w:pPr/>
      <w:r>
        <w:rPr>
          <w:b/>
        </w:rPr>
        <w:t xml:space="preserve">Önerilen düzeltme: </w:t>
      </w:r>
      <w:r>
        <w:t>“Resm-i Osmânî’ye uygunluk, kırâat âlimlerinin rivâyetleri değerlendirirken başvurdukları ölçülerden biridir. Resmle bağdaşmayan rivâyetlerin normatif tilâvet alanının dışında değerlendirilmesi, yalnız yazının ‘seçimi’ değil, isnad, dil, ilmî kabul ve müşterek mushaf otoritesiyle birlikte işleyen bir değerlendirme sürecidir.”</w:t>
      </w:r>
    </w:p>
    <w:p>
      <w:pPr>
        <w:pStyle w:val="Heading3"/>
        <w:keepNext/>
        <w:keepLines/>
      </w:pPr>
      <w:r>
        <w:t>B4-02. Dört nüsha “çoğunluk” ifadesi 1.5 ile açık çelişki oluşturuyor</w:t>
      </w:r>
    </w:p>
    <w:p>
      <w:pPr/>
      <w:r>
        <w:rPr>
          <w:b/>
        </w:rPr>
        <w:t xml:space="preserve">Kategori: </w:t>
      </w:r>
      <w:r>
        <w:t>Tarihsel / İç tutarlılık</w:t>
      </w:r>
    </w:p>
    <w:p>
      <w:pPr/>
      <w:r>
        <w:rPr>
          <w:b/>
        </w:rPr>
        <w:t xml:space="preserve">Önem düzeyi: </w:t>
      </w:r>
      <w:r>
        <w:t>Kritik</w:t>
      </w:r>
    </w:p>
    <w:p>
      <w:pPr/>
      <w:r>
        <w:rPr>
          <w:b/>
        </w:rPr>
        <w:t xml:space="preserve">Yer: </w:t>
      </w:r>
      <w:r>
        <w:t>4.1, s.87</w:t>
      </w:r>
    </w:p>
    <w:p>
      <w:pPr>
        <w:pStyle w:val="IssueQuote"/>
      </w:pPr>
      <w:r>
        <w:t>“Hz. Osman’ın İslâm beldelerine kaç mushaf gönderdiği hususunda farklı rivâyetler bulunsa da, çoğunluk bunların dört nüsha olduğu görüşündedir.”</w:t>
      </w:r>
    </w:p>
    <w:p>
      <w:pPr/>
      <w:r>
        <w:rPr>
          <w:b/>
        </w:rPr>
        <w:t xml:space="preserve">Sorun: </w:t>
      </w:r>
      <w:r>
        <w:t>1.5’te altı nüsha “en güçlü/ortak kanaat” olarak savunulur. İki ifade açıklamasız birlikte kalamaz.</w:t>
      </w:r>
    </w:p>
    <w:p>
      <w:pPr/>
      <w:r>
        <w:rPr>
          <w:b/>
        </w:rPr>
        <w:t xml:space="preserve">Önerilen düzeltme: </w:t>
      </w:r>
      <w:r>
        <w:t>“Hz. Osman döneminde çoğaltılan mushafların sayısı ve gönderildikleri merkezler hakkında farklı rivâyetler bulunmaktadır. Bu farklılıkların bir kısmı, halifenin yanında kalan nüsha ile Medine mushafının aynı veya ayrı sayılmasından kaynaklanmaktadır; bu nedenle toplam sayı konusunda kesin bir hüküm yerine rivâyet çeşitliliği korunmalıdır.”</w:t>
      </w:r>
    </w:p>
    <w:p>
      <w:pPr/>
      <w:r>
        <w:rPr>
          <w:b/>
        </w:rPr>
        <w:t xml:space="preserve">Kaynak kontrolü gerekli: </w:t>
      </w:r>
      <w:r>
        <w:t>“Çoğunluk” ifadesinin hangi kaynak kümesini tanımladığı doğrulanmalıdır.</w:t>
      </w:r>
    </w:p>
    <w:p>
      <w:pPr>
        <w:pStyle w:val="Heading3"/>
        <w:keepNext/>
        <w:keepLines/>
      </w:pPr>
      <w:r>
        <w:t>B4-03. Sahâbe mushaflarındaki farklılıklar topluca tefsirî kayıt/neshedilmiş okuyuş sayılıyor</w:t>
      </w:r>
    </w:p>
    <w:p>
      <w:pPr/>
      <w:r>
        <w:rPr>
          <w:b/>
        </w:rPr>
        <w:t xml:space="preserve">Kategori: </w:t>
      </w:r>
      <w:r>
        <w:t>Kavramsal / Kırâat</w:t>
      </w:r>
    </w:p>
    <w:p>
      <w:pPr/>
      <w:r>
        <w:rPr>
          <w:b/>
        </w:rPr>
        <w:t xml:space="preserve">Önem düzeyi: </w:t>
      </w:r>
      <w:r>
        <w:t>Kritik</w:t>
      </w:r>
    </w:p>
    <w:p>
      <w:pPr/>
      <w:r>
        <w:rPr>
          <w:b/>
        </w:rPr>
        <w:t xml:space="preserve">Yer: </w:t>
      </w:r>
      <w:r>
        <w:t>4.2, s.90–94</w:t>
      </w:r>
    </w:p>
    <w:p>
      <w:pPr>
        <w:pStyle w:val="IssueQuote"/>
      </w:pPr>
      <w:r>
        <w:t>“Bu farklılıkların önemli bir kısmı sahâbenin mushaflarına yazdığı tefsirî açıklamalar veya daha sonra terk edilen okuyuşlardır.”</w:t>
      </w:r>
    </w:p>
    <w:p>
      <w:pPr/>
      <w:r>
        <w:rPr>
          <w:b/>
        </w:rPr>
        <w:t xml:space="preserve">Sorun: </w:t>
      </w:r>
      <w:r>
        <w:t>Sahâbe mushaflarına nispet edilen kayıtlar aynı mahiyette değildir. Kırâat rivâyeti, açıklayıcı lafız, tefsir, yazı farklılığı, râvi açıklaması ve ihtilaflı kayıt ayrılmalıdır.</w:t>
      </w:r>
    </w:p>
    <w:p>
      <w:pPr/>
      <w:r>
        <w:rPr>
          <w:b/>
        </w:rPr>
        <w:t xml:space="preserve">Önerilen düzeltme: </w:t>
      </w:r>
      <w:r>
        <w:t>“Sahâbe mushaflarına nispet edilen farklı kayıtlar tek bir kategoriye indirgenemez. Her örnek, rivâyet edilen bir okuyuş, açıklayıcı/tefsirî kayıt, yazı farklılığı veya sonraki râvi açıklaması olma ihtimalleri bakımından ayrı değerlendirilmelidir.”</w:t>
      </w:r>
    </w:p>
    <w:p>
      <w:pPr/>
      <w:r>
        <w:rPr>
          <w:b/>
        </w:rPr>
        <w:t xml:space="preserve">Kaynak kontrolü gerekli: </w:t>
      </w:r>
      <w:r>
        <w:t>Her örneğin mahiyeti ilgili rivâyet ve erken kaynak üzerinden doğrulanmalıdır.</w:t>
      </w:r>
    </w:p>
    <w:p>
      <w:pPr>
        <w:pStyle w:val="Heading3"/>
        <w:keepNext/>
        <w:keepLines/>
      </w:pPr>
      <w:r>
        <w:t>B4-04. Resm “ayıklayan ve seçen kurucu otorite” olarak özneleştiriliyor</w:t>
      </w:r>
    </w:p>
    <w:p>
      <w:pPr/>
      <w:r>
        <w:rPr>
          <w:b/>
        </w:rPr>
        <w:t xml:space="preserve">Kategori: </w:t>
      </w:r>
      <w:r>
        <w:t>Kavramsal / Nedensellik</w:t>
      </w:r>
    </w:p>
    <w:p>
      <w:pPr/>
      <w:r>
        <w:rPr>
          <w:b/>
        </w:rPr>
        <w:t xml:space="preserve">Önem düzeyi: </w:t>
      </w:r>
      <w:r>
        <w:t>Kritik</w:t>
      </w:r>
    </w:p>
    <w:p>
      <w:pPr/>
      <w:r>
        <w:rPr>
          <w:b/>
        </w:rPr>
        <w:t xml:space="preserve">Yer: </w:t>
      </w:r>
      <w:r>
        <w:t>4.2</w:t>
      </w:r>
    </w:p>
    <w:p>
      <w:pPr>
        <w:pStyle w:val="IssueQuote"/>
      </w:pPr>
      <w:r>
        <w:t>“Resm-i Osmânî, sahâbe mushaflarındaki farklı malzemeyi ayıklayan kurucu bir otorite hâline gelmiştir.”</w:t>
      </w:r>
    </w:p>
    <w:p>
      <w:pPr/>
      <w:r>
        <w:rPr>
          <w:b/>
        </w:rPr>
        <w:t xml:space="preserve">Sorun: </w:t>
      </w:r>
      <w:r>
        <w:t>Bu, kitabın ana tezine doğrudan aykırıdır. Seçme/ayıklama tarihsel aktörlerin istinsah kararı ve sonraki ilmî kabul süreçleriyle açıklanmalıdır.</w:t>
      </w:r>
    </w:p>
    <w:p>
      <w:pPr/>
      <w:r>
        <w:rPr>
          <w:b/>
        </w:rPr>
        <w:t xml:space="preserve">Önerilen düzeltme: </w:t>
      </w:r>
      <w:r>
        <w:t>“Osmânî mushaflarla bağdaşmayan sahâbe mushafı rivâyetleri, sonraki kırâat usulünde müşterek tilâvet alanının dışında değerlendirilmiştir. Bu değerlendirmede resme uygunluk, isnad ve dil ölçüleriyle birlikte dikkate alınmıştır.”</w:t>
      </w:r>
    </w:p>
    <w:p>
      <w:pPr>
        <w:pStyle w:val="Heading3"/>
        <w:keepNext/>
        <w:keepLines/>
      </w:pPr>
      <w:r>
        <w:t>B4-05. İbn Mes‘ûd’un psikolojisi kesin niyet anlatısına dönüşüyor</w:t>
      </w:r>
    </w:p>
    <w:p>
      <w:pPr/>
      <w:r>
        <w:rPr>
          <w:b/>
        </w:rPr>
        <w:t xml:space="preserve">Kategori: </w:t>
      </w:r>
      <w:r>
        <w:t>Tarihsel / Niyet atfı</w:t>
      </w:r>
    </w:p>
    <w:p>
      <w:pPr/>
      <w:r>
        <w:rPr>
          <w:b/>
        </w:rPr>
        <w:t xml:space="preserve">Önem düzeyi: </w:t>
      </w:r>
      <w:r>
        <w:t>Yüksek</w:t>
      </w:r>
    </w:p>
    <w:p>
      <w:pPr/>
      <w:r>
        <w:rPr>
          <w:b/>
        </w:rPr>
        <w:t xml:space="preserve">Yer: </w:t>
      </w:r>
      <w:r>
        <w:t>4.2</w:t>
      </w:r>
    </w:p>
    <w:p>
      <w:pPr>
        <w:pStyle w:val="IssueQuote"/>
      </w:pPr>
      <w:r>
        <w:t>“İbn Mes‘ûd’un bu tavrı, istinsah heyetinin dışında bırakılmasında duyduğu kırgınlığın geçici bir yansıması olarak görülmelidir.”</w:t>
      </w:r>
    </w:p>
    <w:p>
      <w:pPr/>
      <w:r>
        <w:rPr>
          <w:b/>
        </w:rPr>
        <w:t xml:space="preserve">Sorun: </w:t>
      </w:r>
      <w:r>
        <w:t>“Kırgınlık” ve bunun “geçici” olduğu tarihsel psikoloji atfıdır. Kaynak yalnız tutumu aktarıyorsa sebep kesinleştirilmemelidir.</w:t>
      </w:r>
    </w:p>
    <w:p>
      <w:pPr/>
      <w:r>
        <w:rPr>
          <w:b/>
        </w:rPr>
        <w:t xml:space="preserve">Önerilen düzeltme: </w:t>
      </w:r>
      <w:r>
        <w:t>“İbn Mes‘ûd’a nispet edilen tutum, kaynaklarda farklı biçimlerde yorumlanmıştır. Bu rivâyetler aktarılırken, tutumun nedeni hakkında kaynakların açıkça bildirdiğinin ötesine geçilmemelidir.”</w:t>
      </w:r>
    </w:p>
    <w:p>
      <w:pPr/>
      <w:r>
        <w:rPr>
          <w:b/>
        </w:rPr>
        <w:t xml:space="preserve">Kaynak kontrolü gerekli: </w:t>
      </w:r>
      <w:r>
        <w:t>Kırgınlık yorumunun hangi kaynakta açıkça yer aldığı doğrulanmalıdır.</w:t>
      </w:r>
    </w:p>
    <w:p>
      <w:pPr>
        <w:pStyle w:val="Heading3"/>
        <w:keepNext/>
        <w:keepLines/>
      </w:pPr>
      <w:r>
        <w:t>B4-06. İbn Şenebûz örneği resme aykırılık = şâzlık/ceza şeklinde aşırı sadeleştiriliyor</w:t>
      </w:r>
    </w:p>
    <w:p>
      <w:pPr/>
      <w:r>
        <w:rPr>
          <w:b/>
        </w:rPr>
        <w:t xml:space="preserve">Kategori: </w:t>
      </w:r>
      <w:r>
        <w:t>Tarihsel / Kırâat</w:t>
      </w:r>
    </w:p>
    <w:p>
      <w:pPr/>
      <w:r>
        <w:rPr>
          <w:b/>
        </w:rPr>
        <w:t xml:space="preserve">Önem düzeyi: </w:t>
      </w:r>
      <w:r>
        <w:t>Yüksek</w:t>
      </w:r>
    </w:p>
    <w:p>
      <w:pPr/>
      <w:r>
        <w:rPr>
          <w:b/>
        </w:rPr>
        <w:t xml:space="preserve">Yer: </w:t>
      </w:r>
      <w:r>
        <w:t>4.3, s.94–97</w:t>
      </w:r>
    </w:p>
    <w:p>
      <w:pPr>
        <w:pStyle w:val="IssueQuote"/>
      </w:pPr>
      <w:r>
        <w:t>“İbn Şenebûz’un cezalandırılması, sahih isnad ve Arapçaya uygunluk bulunsa bile resme aykırı bir okuyuşun kabul edilmeyeceğini göstermektedir.”</w:t>
      </w:r>
    </w:p>
    <w:p>
      <w:pPr/>
      <w:r>
        <w:rPr>
          <w:b/>
        </w:rPr>
        <w:t xml:space="preserve">Sorun: </w:t>
      </w:r>
      <w:r>
        <w:t>Tarihsel hadise hukuki/siyasi müdahale, rivâyet türü, okuma pratiği ve normatif kabul bağlamlarıyla ele alınmalıdır. Tek vaka üçlü kabul ölçüsünün bütün tarihsel gelişimini tek başına ispatlamaz.</w:t>
      </w:r>
    </w:p>
    <w:p>
      <w:pPr/>
      <w:r>
        <w:rPr>
          <w:b/>
        </w:rPr>
        <w:t xml:space="preserve">Önerilen düzeltme: </w:t>
      </w:r>
      <w:r>
        <w:t>“İbn Şenebûz hadisesi, resme uygunluk ölçüsünün belirli bir dönemde normatif tilâvet sınırlarının tartışılmasında etkili olduğunu gösteren örneklerden biri olarak değerlendirilebilir. Bununla birlikte hadisenin bütün ayrıntıları ve gerekçeleri yalnız resme aykırılık üzerinden açıklanmamalıdır.”</w:t>
      </w:r>
    </w:p>
    <w:p>
      <w:pPr/>
      <w:r>
        <w:rPr>
          <w:b/>
        </w:rPr>
        <w:t xml:space="preserve">Kaynak kontrolü gerekli: </w:t>
      </w:r>
      <w:r>
        <w:t>İbn Şenebûz’a nispet edilen okuyuşlar, yargılama gerekçesi ve “tövbe” anlatısı kaynaklardan karşılaştırılmalıdır.</w:t>
      </w:r>
    </w:p>
    <w:p>
      <w:pPr>
        <w:pStyle w:val="Heading3"/>
        <w:keepNext/>
        <w:keepLines/>
      </w:pPr>
      <w:r>
        <w:t>B4-07. “Şâz” tek etiket altında mensuh, resme aykırı ve âhâdı topluyor</w:t>
      </w:r>
    </w:p>
    <w:p>
      <w:pPr/>
      <w:r>
        <w:rPr>
          <w:b/>
        </w:rPr>
        <w:t xml:space="preserve">Kategori: </w:t>
      </w:r>
      <w:r>
        <w:t>Kavramsal</w:t>
      </w:r>
    </w:p>
    <w:p>
      <w:pPr/>
      <w:r>
        <w:rPr>
          <w:b/>
        </w:rPr>
        <w:t xml:space="preserve">Önem düzeyi: </w:t>
      </w:r>
      <w:r>
        <w:t>Kritik</w:t>
      </w:r>
    </w:p>
    <w:p>
      <w:pPr/>
      <w:r>
        <w:rPr>
          <w:b/>
        </w:rPr>
        <w:t xml:space="preserve">Yer: </w:t>
      </w:r>
      <w:r>
        <w:t>4.3</w:t>
      </w:r>
    </w:p>
    <w:p>
      <w:pPr>
        <w:pStyle w:val="IssueQuote"/>
      </w:pPr>
      <w:r>
        <w:t>“Resm-i Osmânî’ye uymayan ve önceki ruhsat alanına ait olan okuyuşlar zamanla şâz kabul edilmiştir.”</w:t>
      </w:r>
    </w:p>
    <w:p>
      <w:pPr/>
      <w:r>
        <w:rPr>
          <w:b/>
        </w:rPr>
        <w:t xml:space="preserve">Sorun: </w:t>
      </w:r>
      <w:r>
        <w:t>Resme aykırılık, nesh teorisi, isnad derecesi, yaygınlık ve normatif tilâvet dışı olma birbirinden ayrıdır. Şâz etiketi bunların hepsini tek neden olarak temsil etmemelidir.</w:t>
      </w:r>
    </w:p>
    <w:p>
      <w:pPr/>
      <w:r>
        <w:rPr>
          <w:b/>
        </w:rPr>
        <w:t xml:space="preserve">Önerilen düzeltme: </w:t>
      </w:r>
      <w:r>
        <w:t>“Klasik kaynaklarda normatif tilâvet alanının dışında değerlendirilen rivâyetler farklı gerekçelerle açıklanmıştır. Resme aykırılık bu değerlendirmede etkili ölçülerden biri olmakla birlikte, isnad, yaygınlık, dil ve nesh yorumları ayrıca belirtilmelidir.”</w:t>
      </w:r>
    </w:p>
    <w:p>
      <w:pPr>
        <w:pStyle w:val="Heading3"/>
        <w:keepNext/>
        <w:keepLines/>
      </w:pPr>
      <w:r>
        <w:t>B4-08. 4.4 başlığında “tercîhî, tevcîhi” gramer/terim uyumsuzluğu</w:t>
      </w:r>
    </w:p>
    <w:p>
      <w:pPr/>
      <w:r>
        <w:rPr>
          <w:b/>
        </w:rPr>
        <w:t xml:space="preserve">Kategori: </w:t>
      </w:r>
      <w:r>
        <w:t>Başlık / Terminoloji</w:t>
      </w:r>
    </w:p>
    <w:p>
      <w:pPr/>
      <w:r>
        <w:rPr>
          <w:b/>
        </w:rPr>
        <w:t xml:space="preserve">Önem düzeyi: </w:t>
      </w:r>
      <w:r>
        <w:t>Orta</w:t>
      </w:r>
    </w:p>
    <w:p>
      <w:pPr/>
      <w:r>
        <w:rPr>
          <w:b/>
        </w:rPr>
        <w:t xml:space="preserve">Yer: </w:t>
      </w:r>
      <w:r>
        <w:t>4.4, s.97</w:t>
      </w:r>
    </w:p>
    <w:p>
      <w:pPr>
        <w:pStyle w:val="IssueQuote"/>
      </w:pPr>
      <w:r>
        <w:t>“Resm-i Osmânî’nin Kırâatlerin Tercîhî, Tevcîhi ve Vakıf Uygulamalarına Etkisi”</w:t>
      </w:r>
    </w:p>
    <w:p>
      <w:pPr/>
      <w:r>
        <w:rPr>
          <w:b/>
        </w:rPr>
        <w:t xml:space="preserve">Sorun: </w:t>
      </w:r>
      <w:r>
        <w:t>“Kırâatlerin tercîhî” sıfat tamlaması başlığın diğer unsurlarıyla paralel değildir.</w:t>
      </w:r>
    </w:p>
    <w:p>
      <w:pPr/>
      <w:r>
        <w:rPr>
          <w:b/>
        </w:rPr>
        <w:t xml:space="preserve">Önerilen düzeltme: </w:t>
      </w:r>
      <w:r>
        <w:t>“Resm-i Osmânî’nin Kırâatlerin Tercihi, Tevcîhi ve Vakıf Uygulamalarıyla İlişkisi”</w:t>
      </w:r>
    </w:p>
    <w:p>
      <w:pPr>
        <w:pStyle w:val="Heading3"/>
        <w:keepNext/>
        <w:keepLines/>
      </w:pPr>
      <w:r>
        <w:t>B4-09. İmamların ham okuyuşlar arasından tercih yapan kurucu seçiciler gibi sunulma riski</w:t>
      </w:r>
    </w:p>
    <w:p>
      <w:pPr/>
      <w:r>
        <w:rPr>
          <w:b/>
        </w:rPr>
        <w:t xml:space="preserve">Kategori: </w:t>
      </w:r>
      <w:r>
        <w:t>Kavramsal / Kırâat</w:t>
      </w:r>
    </w:p>
    <w:p>
      <w:pPr/>
      <w:r>
        <w:rPr>
          <w:b/>
        </w:rPr>
        <w:t xml:space="preserve">Önem düzeyi: </w:t>
      </w:r>
      <w:r>
        <w:t>Yüksek</w:t>
      </w:r>
    </w:p>
    <w:p>
      <w:pPr/>
      <w:r>
        <w:rPr>
          <w:b/>
        </w:rPr>
        <w:t xml:space="preserve">Yer: </w:t>
      </w:r>
      <w:r>
        <w:t>4.4</w:t>
      </w:r>
    </w:p>
    <w:p>
      <w:pPr>
        <w:pStyle w:val="IssueQuote"/>
      </w:pPr>
      <w:r>
        <w:t>“Kırâat imamları kendilerine ulaşan farklı okuyuşlar arasından tercih yapmışlardır.”</w:t>
      </w:r>
    </w:p>
    <w:p>
      <w:pPr/>
      <w:r>
        <w:rPr>
          <w:b/>
        </w:rPr>
        <w:t xml:space="preserve">Sorun: </w:t>
      </w:r>
      <w:r>
        <w:t>Tercih faaliyeti tarihsel olarak vardır; fakat cümle imamın nispet merkezi ve rivâyet zinciri konumunu arka plana iterse okuyuşların imam tarafından üretildiği izlenimi doğar.</w:t>
      </w:r>
    </w:p>
    <w:p>
      <w:pPr/>
      <w:r>
        <w:rPr>
          <w:b/>
        </w:rPr>
        <w:t xml:space="preserve">Önerilen düzeltme: </w:t>
      </w:r>
      <w:r>
        <w:t>“Kırâat imamlarına nispet edilen rivâyetler, kendilerine ulaşan nakil birikimi içinde belirli tercih ve edâ uygulamalarını yansıtır. Bu tercih, okuyuşların bağımsız biçimde imam tarafından oluşturulduğu anlamına gelmez.”</w:t>
      </w:r>
    </w:p>
    <w:p>
      <w:pPr>
        <w:pStyle w:val="Heading3"/>
        <w:keepNext/>
        <w:keepLines/>
      </w:pPr>
      <w:r>
        <w:t>B4-10. Vakıf türleri birbirine karışıyor</w:t>
      </w:r>
    </w:p>
    <w:p>
      <w:pPr/>
      <w:r>
        <w:rPr>
          <w:b/>
        </w:rPr>
        <w:t xml:space="preserve">Kategori: </w:t>
      </w:r>
      <w:r>
        <w:t>Kavramsal / Kırâat</w:t>
      </w:r>
    </w:p>
    <w:p>
      <w:pPr/>
      <w:r>
        <w:rPr>
          <w:b/>
        </w:rPr>
        <w:t xml:space="preserve">Önem düzeyi: </w:t>
      </w:r>
      <w:r>
        <w:t>Kritik</w:t>
      </w:r>
    </w:p>
    <w:p>
      <w:pPr/>
      <w:r>
        <w:rPr>
          <w:b/>
        </w:rPr>
        <w:t xml:space="preserve">Yer: </w:t>
      </w:r>
      <w:r>
        <w:t>4.4 sonu, s.100 civarı</w:t>
      </w:r>
    </w:p>
    <w:p>
      <w:pPr>
        <w:pStyle w:val="IssueQuote"/>
      </w:pPr>
      <w:r>
        <w:t>“Resm, vakıf uygulamalarında da doğrudan belirleyici bir ölçüdür.”</w:t>
      </w:r>
    </w:p>
    <w:p>
      <w:pPr/>
      <w:r>
        <w:rPr>
          <w:b/>
        </w:rPr>
        <w:t xml:space="preserve">Sorun: </w:t>
      </w:r>
      <w:r>
        <w:t>Anlam esaslı vakıf-ibtidâ, resm üzerine vakıf, hemze üzerinde vakıf, öğretim/imtihan vakfı ve rivâyete özgü edâ uygulaması farklı alanlardır. Mevcut anlatı bunları “resmin vakfa etkisi” altında toplar.</w:t>
      </w:r>
    </w:p>
    <w:p>
      <w:pPr/>
      <w:r>
        <w:rPr>
          <w:b/>
        </w:rPr>
        <w:t xml:space="preserve">Önerilen düzeltme: </w:t>
      </w:r>
      <w:r>
        <w:t>“Vakıf meselesinde farklı düzeyler ayrılmalıdır. Anlam esaslı vakıf ve ibtidâ öncelikle mana ve nahiv ilişkisiyle değerlendirilir. Resm üzerine vakıf ise kelime sonlarının ve yazım biçimlerinin belirli edâ uygulamalarında nasıl esas alındığıyla ilgilidir. Hemze üzerinde vakıf ve öğretim/imtihan bağlamındaki vakıflar da kendi rivâyet ve uygulama çerçeveleri içinde ele alınmalıdır.”</w:t>
      </w:r>
    </w:p>
    <w:p>
      <w:pPr>
        <w:pStyle w:val="Heading3"/>
        <w:keepNext/>
        <w:keepLines/>
      </w:pPr>
      <w:r>
        <w:t>B4-11. Resm rivâyetleri “kurucu zemin” olarak tanımlanıyor</w:t>
      </w:r>
    </w:p>
    <w:p>
      <w:pPr/>
      <w:r>
        <w:rPr>
          <w:b/>
        </w:rPr>
        <w:t xml:space="preserve">Kategori: </w:t>
      </w:r>
      <w:r>
        <w:t>Kavramsal</w:t>
      </w:r>
    </w:p>
    <w:p>
      <w:pPr/>
      <w:r>
        <w:rPr>
          <w:b/>
        </w:rPr>
        <w:t xml:space="preserve">Önem düzeyi: </w:t>
      </w:r>
      <w:r>
        <w:t>Yüksek</w:t>
      </w:r>
    </w:p>
    <w:p>
      <w:pPr/>
      <w:r>
        <w:rPr>
          <w:b/>
        </w:rPr>
        <w:t xml:space="preserve">Yer: </w:t>
      </w:r>
      <w:r>
        <w:t>4.5, s.101–104</w:t>
      </w:r>
    </w:p>
    <w:p>
      <w:pPr>
        <w:pStyle w:val="IssueQuote"/>
      </w:pPr>
      <w:r>
        <w:t>“Resm rivâyetleri kırâat ihtilaflarının tespitinde kurucu bir zemin oluşturmaktadır.”</w:t>
      </w:r>
    </w:p>
    <w:p>
      <w:pPr/>
      <w:r>
        <w:rPr>
          <w:b/>
        </w:rPr>
        <w:t xml:space="preserve">Sorun: </w:t>
      </w:r>
      <w:r>
        <w:t>Kırâat ihtilafının aslî kaynağı rivâyet ve edâdır. Resm rivâyetleri şehir mushaflarıyla ilişkili varyantları tespit ve yorumlamada önemli kanıtlardır; “kurucu zemin” rolü büyütür.</w:t>
      </w:r>
    </w:p>
    <w:p>
      <w:pPr/>
      <w:r>
        <w:rPr>
          <w:b/>
        </w:rPr>
        <w:t xml:space="preserve">Önerilen düzeltme: </w:t>
      </w:r>
      <w:r>
        <w:t>“Şehir mushaflarına nispet edilen resm rivâyetleri, bazı kırâat ihtilaflarının yazılı tanıklarla ilişkisini tespit ve yorumlamada önemli bir başvuru malzemesi sunmaktadır.”</w:t>
      </w:r>
    </w:p>
    <w:p>
      <w:pPr>
        <w:pStyle w:val="Heading3"/>
        <w:keepNext/>
        <w:keepLines/>
      </w:pPr>
      <w:r>
        <w:t>B4-12. “Her yazımın hikmeti vardır” görüşü yazar sonucu gibi duruyor</w:t>
      </w:r>
    </w:p>
    <w:p>
      <w:pPr/>
      <w:r>
        <w:rPr>
          <w:b/>
        </w:rPr>
        <w:t xml:space="preserve">Kategori: </w:t>
      </w:r>
      <w:r>
        <w:t>Kaynak / Metodolojik</w:t>
      </w:r>
    </w:p>
    <w:p>
      <w:pPr/>
      <w:r>
        <w:rPr>
          <w:b/>
        </w:rPr>
        <w:t xml:space="preserve">Önem düzeyi: </w:t>
      </w:r>
      <w:r>
        <w:t>Yüksek</w:t>
      </w:r>
    </w:p>
    <w:p>
      <w:pPr/>
      <w:r>
        <w:rPr>
          <w:b/>
        </w:rPr>
        <w:t xml:space="preserve">Yer: </w:t>
      </w:r>
      <w:r>
        <w:t>4.5</w:t>
      </w:r>
    </w:p>
    <w:p>
      <w:pPr>
        <w:pStyle w:val="IssueQuote"/>
      </w:pPr>
      <w:r>
        <w:t>“Zeyd b. Sâbit’in yazdığı her şeyin bir hikmet ve ince sebebe dayandığı belirtilmiştir.”</w:t>
      </w:r>
    </w:p>
    <w:p>
      <w:pPr/>
      <w:r>
        <w:rPr>
          <w:b/>
        </w:rPr>
        <w:t xml:space="preserve">Sorun: </w:t>
      </w:r>
      <w:r>
        <w:t>Bu cümle belirli bir müellifin normatif/hikmet merkezli yorumuyla ilişkiliyse açıkça ona nispet edilmeli ve tarihsel-filolojik düzeyde doğrulanmış sebep gibi kullanılmamalıdır.</w:t>
      </w:r>
    </w:p>
    <w:p>
      <w:pPr/>
      <w:r>
        <w:rPr>
          <w:b/>
        </w:rPr>
        <w:t xml:space="preserve">Önerilen düzeltme: </w:t>
      </w:r>
      <w:r>
        <w:t>“İlgili müellif, Zeyd b. Sâbit’e nispet edilen mushaf yazımındaki ayrıntıları hikmet ve ta‘lîl çerçevesinde yorumlamıştır. Bu yaklaşım klasik resm yorumculuğunun bir örneğidir; her yazım biçiminin tarihsel olarak özel bir hikmet amacıyla oluşturulduğunu tek başına kanıtlamaz.”</w:t>
      </w:r>
    </w:p>
    <w:p>
      <w:pPr/>
      <w:r>
        <w:rPr>
          <w:b/>
        </w:rPr>
        <w:t xml:space="preserve">Kaynak kontrolü gerekli: </w:t>
      </w:r>
      <w:r>
        <w:t>Görüşün sahibi ve bağlamı açıkça doğrulanmalıdır.</w:t>
      </w:r>
    </w:p>
    <w:p>
      <w:pPr>
        <w:pStyle w:val="Heading3"/>
        <w:keepNext/>
        <w:keepLines/>
      </w:pPr>
      <w:r>
        <w:t>B4-13. Erken yazıda hareke/nokta yokluğu kırâat çeşitliliğini koruma amacıyla açıklanıyor</w:t>
      </w:r>
    </w:p>
    <w:p>
      <w:pPr/>
      <w:r>
        <w:rPr>
          <w:b/>
        </w:rPr>
        <w:t xml:space="preserve">Kategori: </w:t>
      </w:r>
      <w:r>
        <w:t>Tarihsel / Nedensellik</w:t>
      </w:r>
    </w:p>
    <w:p>
      <w:pPr/>
      <w:r>
        <w:rPr>
          <w:b/>
        </w:rPr>
        <w:t xml:space="preserve">Önem düzeyi: </w:t>
      </w:r>
      <w:r>
        <w:t>Kritik</w:t>
      </w:r>
    </w:p>
    <w:p>
      <w:pPr/>
      <w:r>
        <w:rPr>
          <w:b/>
        </w:rPr>
        <w:t xml:space="preserve">Yer: </w:t>
      </w:r>
      <w:r>
        <w:t>4.6–4.7 geçişi</w:t>
      </w:r>
    </w:p>
    <w:p>
      <w:pPr>
        <w:pStyle w:val="IssueQuote"/>
      </w:pPr>
      <w:r>
        <w:t>“İlk mushaflarda nokta ve hareke bulunmamasının temel sebebi, farklı sahih kırâatlerin aynı yazı iskeleti içinde korunabilmesidir.”</w:t>
      </w:r>
    </w:p>
    <w:p>
      <w:pPr/>
      <w:r>
        <w:rPr>
          <w:b/>
        </w:rPr>
        <w:t xml:space="preserve">Sorun: </w:t>
      </w:r>
      <w:r>
        <w:t>Erken Arap yazısının grafik özellikleri ile sonradan gözlenen çoklu okuyuş uyumluluğu aynı şey değildir. “Temel sebep” bilinçli amaç atfıdır.</w:t>
      </w:r>
    </w:p>
    <w:p>
      <w:pPr/>
      <w:r>
        <w:rPr>
          <w:b/>
        </w:rPr>
        <w:t xml:space="preserve">Önerilen düzeltme: </w:t>
      </w:r>
      <w:r>
        <w:t>“İlk mushafların nokta ve hareke sisteminin henüz tam gelişmediği bir yazı geleneği içinde yazılmış olması, aynı resmin bazı durumlarda birden fazla rivâyetle bağdaşmasına imkân vermiştir. Bu sonuç, yazımın başlangıçta özellikle çoklu kırâatleri korumak amacıyla bu şekilde bırakıldığını tek başına göstermez.”</w:t>
      </w:r>
    </w:p>
    <w:p>
      <w:pPr>
        <w:pStyle w:val="Heading3"/>
        <w:keepNext/>
        <w:keepLines/>
      </w:pPr>
      <w:r>
        <w:t>B4-14. Matbu mushafların belirli rivâyetleri yaygınlaştırma etkisi fazla tek nedenli kuruluyor</w:t>
      </w:r>
    </w:p>
    <w:p>
      <w:pPr/>
      <w:r>
        <w:rPr>
          <w:b/>
        </w:rPr>
        <w:t xml:space="preserve">Kategori: </w:t>
      </w:r>
      <w:r>
        <w:t>Nedensellik / Modern dönem</w:t>
      </w:r>
    </w:p>
    <w:p>
      <w:pPr/>
      <w:r>
        <w:rPr>
          <w:b/>
        </w:rPr>
        <w:t xml:space="preserve">Önem düzeyi: </w:t>
      </w:r>
      <w:r>
        <w:t>Yüksek</w:t>
      </w:r>
    </w:p>
    <w:p>
      <w:pPr/>
      <w:r>
        <w:rPr>
          <w:b/>
        </w:rPr>
        <w:t xml:space="preserve">Yer: </w:t>
      </w:r>
      <w:r>
        <w:t>4.7, s.109–113</w:t>
      </w:r>
    </w:p>
    <w:p>
      <w:pPr>
        <w:pStyle w:val="IssueQuote"/>
      </w:pPr>
      <w:r>
        <w:t>“Bu gelişme, hangi kırâat rivâyetinin toplum içinde yaygınlık kazandığı ile mushafların hangi rivâyete göre zapt edildiği arasındaki ilişkinin oldukça güçlü olduğunu göstermektedir.”</w:t>
      </w:r>
    </w:p>
    <w:p>
      <w:pPr/>
      <w:r>
        <w:rPr>
          <w:b/>
        </w:rPr>
        <w:t xml:space="preserve">Sorun: </w:t>
      </w:r>
      <w:r>
        <w:t>Basılı mushafların dolaşımı önemli bir etkendir; eğitim kurumları, bölgesel rivâyet geleneği, resmî neşir tercihleri ve öğretim ağları da rol oynar.</w:t>
      </w:r>
    </w:p>
    <w:p>
      <w:pPr/>
      <w:r>
        <w:rPr>
          <w:b/>
        </w:rPr>
        <w:t xml:space="preserve">Önerilen düzeltme: </w:t>
      </w:r>
      <w:r>
        <w:t>“Basılı mushafların belirli rivâyetlere göre zapt edilmesi, mevcut öğretim gelenekleri ve bölgesel kırâat tercihleriyle birlikte, bazı rivâyetlerin geniş çevrelerde görünürlük ve yaygınlık kazanmasına katkı sağlamıştır.”</w:t>
      </w:r>
    </w:p>
    <w:p>
      <w:pPr>
        <w:pStyle w:val="Heading3"/>
        <w:keepNext/>
        <w:keepLines/>
      </w:pPr>
      <w:r>
        <w:t>B4-15. Avrupa/Osmanlı/modern baskı kronolojisi bir blok hâlinde kaynak doğrulaması gerektiriyor</w:t>
      </w:r>
    </w:p>
    <w:p>
      <w:pPr/>
      <w:r>
        <w:rPr>
          <w:b/>
        </w:rPr>
        <w:t xml:space="preserve">Kategori: </w:t>
      </w:r>
      <w:r>
        <w:t>Tarihsel / Kaynak</w:t>
      </w:r>
    </w:p>
    <w:p>
      <w:pPr/>
      <w:r>
        <w:rPr>
          <w:b/>
        </w:rPr>
        <w:t xml:space="preserve">Önem düzeyi: </w:t>
      </w:r>
      <w:r>
        <w:t>Kritik</w:t>
      </w:r>
    </w:p>
    <w:p>
      <w:pPr/>
      <w:r>
        <w:rPr>
          <w:b/>
        </w:rPr>
        <w:t xml:space="preserve">Yer: </w:t>
      </w:r>
      <w:r>
        <w:t>4.7, s.108–113</w:t>
      </w:r>
    </w:p>
    <w:p>
      <w:pPr>
        <w:pStyle w:val="IssueQuote"/>
      </w:pPr>
      <w:r>
        <w:t>“Buna karşılık Kur’an’ın İslâm dünyası içindeki matbu serüveni, 1201/1787’de Rusya’nın Saint Petersburg şehrinde Mevlây Osman (?) tarafından gerçekleştirilen baskıyla yeni bir safhaya girmiştir.”</w:t>
      </w:r>
    </w:p>
    <w:p>
      <w:pPr/>
      <w:r>
        <w:rPr>
          <w:b/>
        </w:rPr>
        <w:t xml:space="preserve">Sorun: </w:t>
      </w:r>
      <w:r>
        <w:t>Soru işaretli kişi adı bizzat metinde doğrulama eksikliğini gösterir. Aynı bölümde Hinkelmann 1694, Marracci 1698, İtalya 1465, Osmanlı 1873/1874, Fuad neşri ve modern kurumlar için de birbirini izleyen kesin kronoloji kurulmaktadır.</w:t>
      </w:r>
    </w:p>
    <w:p>
      <w:pPr/>
      <w:r>
        <w:rPr>
          <w:b/>
        </w:rPr>
        <w:t xml:space="preserve">Önerilen düzeltme: </w:t>
      </w:r>
      <w:r>
        <w:t>Bu paragraf, kişi adı ve baskı bilgisi doğrulandıktan sonra yeniden kurulmalıdır. Doğrulama tamamlanana kadar soru işaretli isim ve “ilk/başlangıç” türü kesinlik ifadeleri çıkarılmalıdır.</w:t>
      </w:r>
    </w:p>
    <w:p>
      <w:pPr/>
      <w:r>
        <w:rPr>
          <w:b/>
        </w:rPr>
        <w:t xml:space="preserve">Kaynak kontrolü gerekli: </w:t>
      </w:r>
      <w:r>
        <w:t>Hinkelmann, Marracci, Saint Petersburg baskısı, Osmanlı resmî mushaf baskısı, Fuad neşri ve çağdaş kurumların tarih/ad bilgileri proje kaynaklarındaki ilgili sayfalardan tek tek doğrulanmalıdır.</w:t>
      </w:r>
    </w:p>
    <w:p>
      <w:pPr>
        <w:pStyle w:val="Heading3"/>
        <w:keepNext/>
        <w:keepLines/>
      </w:pPr>
      <w:r>
        <w:t>B4-16. Osmanlı baskı anlatısında “ilk resmî mushaf” kesinliği doğrulama ister</w:t>
      </w:r>
    </w:p>
    <w:p>
      <w:pPr/>
      <w:r>
        <w:rPr>
          <w:b/>
        </w:rPr>
        <w:t xml:space="preserve">Kategori: </w:t>
      </w:r>
      <w:r>
        <w:t>Tarihsel / Kaynak</w:t>
      </w:r>
    </w:p>
    <w:p>
      <w:pPr/>
      <w:r>
        <w:rPr>
          <w:b/>
        </w:rPr>
        <w:t xml:space="preserve">Önem düzeyi: </w:t>
      </w:r>
      <w:r>
        <w:t>Yüksek</w:t>
      </w:r>
    </w:p>
    <w:p>
      <w:pPr/>
      <w:r>
        <w:rPr>
          <w:b/>
        </w:rPr>
        <w:t xml:space="preserve">Yer: </w:t>
      </w:r>
      <w:r>
        <w:t>4.7, s.108</w:t>
      </w:r>
    </w:p>
    <w:p>
      <w:pPr>
        <w:pStyle w:val="IssueQuote"/>
      </w:pPr>
      <w:r>
        <w:t>“Mushaf basımına resmî olarak ancak XIX. yüzyılın son çeyreğinde izin verilmiş; 1873 yılında alınan kararın ardından 1874’te Maarif Nezâreti’nin denetiminde ilk resmî Osmanlı mushafı basılmıştır.”</w:t>
      </w:r>
    </w:p>
    <w:p>
      <w:pPr/>
      <w:r>
        <w:rPr>
          <w:b/>
        </w:rPr>
        <w:t xml:space="preserve">Sorun: </w:t>
      </w:r>
      <w:r>
        <w:t>“İlk resmî” gibi süperlatif tarih ifadeleri kapsam, kurum ve baskı türüne bağlıdır; kitap içindeki kaynağın bu kapsamı açıkça taşıması gerekir.</w:t>
      </w:r>
    </w:p>
    <w:p>
      <w:pPr/>
      <w:r>
        <w:rPr>
          <w:b/>
        </w:rPr>
        <w:t xml:space="preserve">Önerilen düzeltme: </w:t>
      </w:r>
      <w:r>
        <w:t>“Osmanlı sahasında mushaf basımına ilişkin resmî düzenlemeler XIX. yüzyılda belirginleşmiş; Maarif Nezâreti denetimindeki baskılar bu sürecin önemli aşamalarından birini oluşturmuştur.”</w:t>
      </w:r>
    </w:p>
    <w:p>
      <w:pPr/>
      <w:r>
        <w:rPr>
          <w:b/>
        </w:rPr>
        <w:t xml:space="preserve">Kaynak kontrolü gerekli: </w:t>
      </w:r>
      <w:r>
        <w:t>1873 kararının mahiyeti ve 1874 baskısının “ilk resmî Osmanlı mushafı” olarak nitelenip nitelenemeyeceği kaynaktan doğrulanmalıdır.</w:t>
      </w:r>
    </w:p>
    <w:p>
      <w:pPr>
        <w:pStyle w:val="Heading2"/>
        <w:keepNext/>
        <w:keepLines/>
      </w:pPr>
      <w:r>
        <w:t>9. Sonuç</w:t>
      </w:r>
    </w:p>
    <w:p>
      <w:pPr>
        <w:pStyle w:val="Heading3"/>
        <w:keepNext/>
        <w:keepLines/>
      </w:pPr>
      <w:r>
        <w:t>SON-01. Sonuç ana tezi gövdeden daha dengeli kuruyor; sorun gövdede</w:t>
      </w:r>
    </w:p>
    <w:p>
      <w:pPr/>
      <w:r>
        <w:rPr>
          <w:b/>
        </w:rPr>
        <w:t xml:space="preserve">Kategori: </w:t>
      </w:r>
      <w:r>
        <w:t>Yapısal / Kavramsal</w:t>
      </w:r>
    </w:p>
    <w:p>
      <w:pPr/>
      <w:r>
        <w:rPr>
          <w:b/>
        </w:rPr>
        <w:t xml:space="preserve">Önem düzeyi: </w:t>
      </w:r>
      <w:r>
        <w:t>Yüksek</w:t>
      </w:r>
    </w:p>
    <w:p>
      <w:pPr/>
      <w:r>
        <w:rPr>
          <w:b/>
        </w:rPr>
        <w:t xml:space="preserve">Yer: </w:t>
      </w:r>
      <w:r>
        <w:t>Sonuç, s.114–116</w:t>
      </w:r>
    </w:p>
    <w:p>
      <w:pPr>
        <w:pStyle w:val="IssueQuote"/>
      </w:pPr>
      <w:r>
        <w:t>“Kırâatlerin aslî aktarım zemini telakki, müşâfehe, edâ, isnad ve rivâyettir. Mushaf yazısı, hocadan öğrenilen okuyuşun yerine geçmez ve harf iskeletinden hareketle bağımsız kırâat üretmez.”</w:t>
      </w:r>
    </w:p>
    <w:p>
      <w:pPr/>
      <w:r>
        <w:rPr>
          <w:b/>
        </w:rPr>
        <w:t xml:space="preserve">Sorun: </w:t>
      </w:r>
      <w:r>
        <w:t>Bu cümle korunmalıdır. Ancak ana gövde resme “koruma, seçme, yönlendirme, anlam işaretleme” işlevlerini daha güçlü yüklediği için Sonuç, kitabın fiilen gösterdiğinden daha ihtiyatlı bir araştırmayı özetlemektedir.</w:t>
      </w:r>
    </w:p>
    <w:p>
      <w:pPr/>
      <w:r>
        <w:rPr>
          <w:b/>
        </w:rPr>
        <w:t xml:space="preserve">Önerilen düzeltme: </w:t>
      </w:r>
      <w:r>
        <w:t>Bu temel sonuç korunmalı; 1.–4. bölümler bu sonuçta belirlenen kavramsal sınırlara göre redakte edilmelidir.</w:t>
      </w:r>
    </w:p>
    <w:p>
      <w:pPr>
        <w:pStyle w:val="Heading3"/>
        <w:keepNext/>
        <w:keepLines/>
      </w:pPr>
      <w:r>
        <w:t>SON-02. Matbu mushafların “standartlaştırma” etkisi daha ihtiyatlı ifade edilmeli</w:t>
      </w:r>
    </w:p>
    <w:p>
      <w:pPr/>
      <w:r>
        <w:rPr>
          <w:b/>
        </w:rPr>
        <w:t xml:space="preserve">Kategori: </w:t>
      </w:r>
      <w:r>
        <w:t>Nedensellik</w:t>
      </w:r>
    </w:p>
    <w:p>
      <w:pPr/>
      <w:r>
        <w:rPr>
          <w:b/>
        </w:rPr>
        <w:t xml:space="preserve">Önem düzeyi: </w:t>
      </w:r>
      <w:r>
        <w:t>Orta</w:t>
      </w:r>
    </w:p>
    <w:p>
      <w:pPr/>
      <w:r>
        <w:rPr>
          <w:b/>
        </w:rPr>
        <w:t xml:space="preserve">Yer: </w:t>
      </w:r>
      <w:r>
        <w:t>Sonuç, s.114</w:t>
      </w:r>
    </w:p>
    <w:p>
      <w:pPr>
        <w:pStyle w:val="IssueQuote"/>
      </w:pPr>
      <w:r>
        <w:t>“Basılı mushaflar yalnız mevcut okuyuşları yansıtmamış, belirli rivâyetlerin standartlaşması ve geniş coğrafyalarda yaygınlaşması üzerinde de etkili olmuştur.”</w:t>
      </w:r>
    </w:p>
    <w:p>
      <w:pPr/>
      <w:r>
        <w:rPr>
          <w:b/>
        </w:rPr>
        <w:t xml:space="preserve">Sorun: </w:t>
      </w:r>
      <w:r>
        <w:t>Sonuç makul olmakla birlikte, gövdedeki tarihsel örneklerin bir kısmı henüz kaynak doğrulaması gerektirdiği için nedensellik dili sınırlandırılmalıdır.</w:t>
      </w:r>
    </w:p>
    <w:p>
      <w:pPr/>
      <w:r>
        <w:rPr>
          <w:b/>
        </w:rPr>
        <w:t xml:space="preserve">Önerilen düzeltme: </w:t>
      </w:r>
      <w:r>
        <w:t>“Basılı mushafların belirli rivâyetlere göre hazırlanması, mevcut öğretim ve bölgesel kullanım gelenekleriyle birlikte, bazı rivâyetlerin geniş coğrafyalarda daha görünür ve yaygın hâle gelmesine katkı sağlamıştır.”</w:t>
      </w:r>
    </w:p>
    <w:p>
      <w:pPr/>
      <w:r>
        <w:rPr>
          <w:b/>
        </w:rPr>
        <w:t xml:space="preserve">Kaynak kontrolü gerekli: </w:t>
      </w:r>
      <w:r>
        <w:t>4.7’deki tarihsel kronoloji doğrulandıktan sonra sonuç cümlesinin kapsamı yeniden gözden geçirilmelidir.</w:t>
      </w:r>
    </w:p>
    <w:p>
      <w:pPr>
        <w:pStyle w:val="Heading2"/>
        <w:keepNext/>
        <w:keepLines/>
      </w:pPr>
      <w:r>
        <w:t>10. Bölümler Arası Çelişkiler</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cantSplit/>
          <w:cantSplit/>
        </w:trPr>
        <w:tc>
          <w:tcPr>
            <w:tcW w:type="dxa" w:w="1814"/>
            <w:shd w:fill="D9E2F3"/>
            <w:vAlign w:val="center"/>
          </w:tcPr>
          <w:p>
            <w:r>
              <w:rPr>
                <w:rFonts w:ascii="Times New Roman" w:hAnsi="Times New Roman"/>
                <w:b/>
                <w:sz w:val="16"/>
              </w:rPr>
              <w:t>Konu</w:t>
            </w:r>
          </w:p>
        </w:tc>
        <w:tc>
          <w:tcPr>
            <w:tcW w:type="dxa" w:w="2268"/>
            <w:shd w:fill="D9E2F3"/>
            <w:vAlign w:val="center"/>
          </w:tcPr>
          <w:p>
            <w:r>
              <w:rPr>
                <w:rFonts w:ascii="Times New Roman" w:hAnsi="Times New Roman"/>
                <w:b/>
                <w:sz w:val="16"/>
              </w:rPr>
              <w:t>Birinci ifade</w:t>
            </w:r>
          </w:p>
        </w:tc>
        <w:tc>
          <w:tcPr>
            <w:tcW w:type="dxa" w:w="2268"/>
            <w:shd w:fill="D9E2F3"/>
            <w:vAlign w:val="center"/>
          </w:tcPr>
          <w:p>
            <w:r>
              <w:rPr>
                <w:rFonts w:ascii="Times New Roman" w:hAnsi="Times New Roman"/>
                <w:b/>
                <w:sz w:val="16"/>
              </w:rPr>
              <w:t>İkinci ifade</w:t>
            </w:r>
          </w:p>
        </w:tc>
        <w:tc>
          <w:tcPr>
            <w:tcW w:type="dxa" w:w="2268"/>
            <w:shd w:fill="D9E2F3"/>
            <w:vAlign w:val="center"/>
          </w:tcPr>
          <w:p>
            <w:r>
              <w:rPr>
                <w:rFonts w:ascii="Times New Roman" w:hAnsi="Times New Roman"/>
                <w:b/>
                <w:sz w:val="16"/>
              </w:rPr>
              <w:t>Sorun</w:t>
            </w:r>
          </w:p>
        </w:tc>
        <w:tc>
          <w:tcPr>
            <w:tcW w:type="dxa" w:w="2835"/>
            <w:shd w:fill="D9E2F3"/>
            <w:vAlign w:val="center"/>
          </w:tcPr>
          <w:p>
            <w:r>
              <w:rPr>
                <w:rFonts w:ascii="Times New Roman" w:hAnsi="Times New Roman"/>
                <w:b/>
                <w:sz w:val="16"/>
              </w:rPr>
              <w:t>Ortak formülasyon</w:t>
            </w:r>
          </w:p>
        </w:tc>
      </w:tr>
      <w:tr>
        <w:trPr>
          <w:cantSplit/>
          <w:cantSplit/>
        </w:trPr>
        <w:tc>
          <w:tcPr>
            <w:tcW w:type="dxa" w:w="1814"/>
            <w:vAlign w:val="top"/>
          </w:tcPr>
          <w:p>
            <w:pPr>
              <w:spacing w:after="0" w:line="240" w:lineRule="auto"/>
            </w:pPr>
            <w:r>
              <w:rPr>
                <w:rFonts w:ascii="Times New Roman" w:hAnsi="Times New Roman"/>
                <w:sz w:val="16"/>
              </w:rPr>
              <w:t>Mushaf sayısı</w:t>
            </w:r>
          </w:p>
        </w:tc>
        <w:tc>
          <w:tcPr>
            <w:tcW w:type="dxa" w:w="2268"/>
            <w:vAlign w:val="top"/>
          </w:tcPr>
          <w:p>
            <w:pPr>
              <w:spacing w:after="0" w:line="240" w:lineRule="auto"/>
            </w:pPr>
            <w:r>
              <w:rPr>
                <w:rFonts w:ascii="Times New Roman" w:hAnsi="Times New Roman"/>
                <w:sz w:val="16"/>
              </w:rPr>
              <w:t>1.5: “en güçlü kanaat… toplam altı nüsha”</w:t>
            </w:r>
          </w:p>
        </w:tc>
        <w:tc>
          <w:tcPr>
            <w:tcW w:type="dxa" w:w="2268"/>
            <w:vAlign w:val="top"/>
          </w:tcPr>
          <w:p>
            <w:pPr>
              <w:spacing w:after="0" w:line="240" w:lineRule="auto"/>
            </w:pPr>
            <w:r>
              <w:rPr>
                <w:rFonts w:ascii="Times New Roman" w:hAnsi="Times New Roman"/>
                <w:sz w:val="16"/>
              </w:rPr>
              <w:t>4.1: “çoğunluk… dört nüsha”</w:t>
            </w:r>
          </w:p>
        </w:tc>
        <w:tc>
          <w:tcPr>
            <w:tcW w:type="dxa" w:w="2268"/>
            <w:vAlign w:val="top"/>
          </w:tcPr>
          <w:p>
            <w:pPr>
              <w:spacing w:after="0" w:line="240" w:lineRule="auto"/>
            </w:pPr>
            <w:r>
              <w:rPr>
                <w:rFonts w:ascii="Times New Roman" w:hAnsi="Times New Roman"/>
                <w:sz w:val="16"/>
              </w:rPr>
              <w:t>Toplam nüsha, gönderilen nüsha ve İmam/Medine ayrımı karışıyor.</w:t>
            </w:r>
          </w:p>
        </w:tc>
        <w:tc>
          <w:tcPr>
            <w:tcW w:type="dxa" w:w="2835"/>
            <w:vAlign w:val="top"/>
          </w:tcPr>
          <w:p>
            <w:pPr>
              <w:spacing w:after="0" w:line="240" w:lineRule="auto"/>
            </w:pPr>
            <w:r>
              <w:rPr>
                <w:rFonts w:ascii="Times New Roman" w:hAnsi="Times New Roman"/>
                <w:sz w:val="16"/>
              </w:rPr>
              <w:t>“Kaynaklarda farklı sayılar vardır; toplam sayı kesinleştirilemez. Altı, halifenin nüshasını ayrı sayan bir yeniden inşadır.”</w:t>
            </w:r>
          </w:p>
        </w:tc>
      </w:tr>
      <w:tr>
        <w:trPr>
          <w:cantSplit/>
          <w:cantSplit/>
        </w:trPr>
        <w:tc>
          <w:tcPr>
            <w:tcW w:type="dxa" w:w="1814"/>
            <w:vAlign w:val="top"/>
          </w:tcPr>
          <w:p>
            <w:pPr>
              <w:spacing w:after="0" w:line="240" w:lineRule="auto"/>
            </w:pPr>
            <w:r>
              <w:rPr>
                <w:rFonts w:ascii="Times New Roman" w:hAnsi="Times New Roman"/>
                <w:sz w:val="16"/>
              </w:rPr>
              <w:t>Resm ve kırâatin kaynağı</w:t>
            </w:r>
          </w:p>
        </w:tc>
        <w:tc>
          <w:tcPr>
            <w:tcW w:type="dxa" w:w="2268"/>
            <w:vAlign w:val="top"/>
          </w:tcPr>
          <w:p>
            <w:pPr>
              <w:spacing w:after="0" w:line="240" w:lineRule="auto"/>
            </w:pPr>
            <w:r>
              <w:rPr>
                <w:rFonts w:ascii="Times New Roman" w:hAnsi="Times New Roman"/>
                <w:sz w:val="16"/>
              </w:rPr>
              <w:t>Giriş: resm “okuyuşu üreten değil… ölçü”</w:t>
            </w:r>
          </w:p>
        </w:tc>
        <w:tc>
          <w:tcPr>
            <w:tcW w:type="dxa" w:w="2268"/>
            <w:vAlign w:val="top"/>
          </w:tcPr>
          <w:p>
            <w:pPr>
              <w:spacing w:after="0" w:line="240" w:lineRule="auto"/>
            </w:pPr>
            <w:r>
              <w:rPr>
                <w:rFonts w:ascii="Times New Roman" w:hAnsi="Times New Roman"/>
                <w:sz w:val="16"/>
              </w:rPr>
              <w:t>4.2: resm “ayıklayan kurucu otorite”</w:t>
            </w:r>
          </w:p>
        </w:tc>
        <w:tc>
          <w:tcPr>
            <w:tcW w:type="dxa" w:w="2268"/>
            <w:vAlign w:val="top"/>
          </w:tcPr>
          <w:p>
            <w:pPr>
              <w:spacing w:after="0" w:line="240" w:lineRule="auto"/>
            </w:pPr>
            <w:r>
              <w:rPr>
                <w:rFonts w:ascii="Times New Roman" w:hAnsi="Times New Roman"/>
                <w:sz w:val="16"/>
              </w:rPr>
              <w:t>Ana tez ile uygulama bölümü doğrudan çelişiyor.</w:t>
            </w:r>
          </w:p>
        </w:tc>
        <w:tc>
          <w:tcPr>
            <w:tcW w:type="dxa" w:w="2835"/>
            <w:vAlign w:val="top"/>
          </w:tcPr>
          <w:p>
            <w:pPr>
              <w:spacing w:after="0" w:line="240" w:lineRule="auto"/>
            </w:pPr>
            <w:r>
              <w:rPr>
                <w:rFonts w:ascii="Times New Roman" w:hAnsi="Times New Roman"/>
                <w:sz w:val="16"/>
              </w:rPr>
              <w:t>“Değerlendirme aktörü âlimler ve istinsah/kabul süreçleridir; resme uygunluk bunların ölçülerinden biridir.”</w:t>
            </w:r>
          </w:p>
        </w:tc>
      </w:tr>
      <w:tr>
        <w:trPr>
          <w:cantSplit/>
          <w:cantSplit/>
        </w:trPr>
        <w:tc>
          <w:tcPr>
            <w:tcW w:type="dxa" w:w="1814"/>
            <w:vAlign w:val="top"/>
          </w:tcPr>
          <w:p>
            <w:pPr>
              <w:spacing w:after="0" w:line="240" w:lineRule="auto"/>
            </w:pPr>
            <w:r>
              <w:rPr>
                <w:rFonts w:ascii="Times New Roman" w:hAnsi="Times New Roman"/>
                <w:sz w:val="16"/>
              </w:rPr>
              <w:t>Hikmet yorumlarının delil değeri</w:t>
            </w:r>
          </w:p>
        </w:tc>
        <w:tc>
          <w:tcPr>
            <w:tcW w:type="dxa" w:w="2268"/>
            <w:vAlign w:val="top"/>
          </w:tcPr>
          <w:p>
            <w:pPr>
              <w:spacing w:after="0" w:line="240" w:lineRule="auto"/>
            </w:pPr>
            <w:r>
              <w:rPr>
                <w:rFonts w:ascii="Times New Roman" w:hAnsi="Times New Roman"/>
                <w:sz w:val="16"/>
              </w:rPr>
              <w:t>Giriş: tarihsel-filolojik açıklamalar işârî yorumla aynı kanıt düzeyinde değil</w:t>
            </w:r>
          </w:p>
        </w:tc>
        <w:tc>
          <w:tcPr>
            <w:tcW w:type="dxa" w:w="2268"/>
            <w:vAlign w:val="top"/>
          </w:tcPr>
          <w:p>
            <w:pPr>
              <w:spacing w:after="0" w:line="240" w:lineRule="auto"/>
            </w:pPr>
            <w:r>
              <w:rPr>
                <w:rFonts w:ascii="Times New Roman" w:hAnsi="Times New Roman"/>
                <w:sz w:val="16"/>
              </w:rPr>
              <w:t>3.4: resm “anlam işaretleme sistemi”</w:t>
            </w:r>
          </w:p>
        </w:tc>
        <w:tc>
          <w:tcPr>
            <w:tcW w:type="dxa" w:w="2268"/>
            <w:vAlign w:val="top"/>
          </w:tcPr>
          <w:p>
            <w:pPr>
              <w:spacing w:after="0" w:line="240" w:lineRule="auto"/>
            </w:pPr>
            <w:r>
              <w:rPr>
                <w:rFonts w:ascii="Times New Roman" w:hAnsi="Times New Roman"/>
                <w:sz w:val="16"/>
              </w:rPr>
              <w:t>Yöntem beyanı uygulanmıyor.</w:t>
            </w:r>
          </w:p>
        </w:tc>
        <w:tc>
          <w:tcPr>
            <w:tcW w:type="dxa" w:w="2835"/>
            <w:vAlign w:val="top"/>
          </w:tcPr>
          <w:p>
            <w:pPr>
              <w:spacing w:after="0" w:line="240" w:lineRule="auto"/>
            </w:pPr>
            <w:r>
              <w:rPr>
                <w:rFonts w:ascii="Times New Roman" w:hAnsi="Times New Roman"/>
                <w:sz w:val="16"/>
              </w:rPr>
              <w:t>“Hikmet yorumları müellife nispet edilir; tarihsel amaç iddiasına dönüştürülmez.”</w:t>
            </w:r>
          </w:p>
        </w:tc>
      </w:tr>
      <w:tr>
        <w:trPr>
          <w:cantSplit/>
          <w:cantSplit/>
        </w:trPr>
        <w:tc>
          <w:tcPr>
            <w:tcW w:type="dxa" w:w="1814"/>
            <w:vAlign w:val="top"/>
          </w:tcPr>
          <w:p>
            <w:pPr>
              <w:spacing w:after="0" w:line="240" w:lineRule="auto"/>
            </w:pPr>
            <w:r>
              <w:rPr>
                <w:rFonts w:ascii="Times New Roman" w:hAnsi="Times New Roman"/>
                <w:sz w:val="16"/>
              </w:rPr>
              <w:t>Kırâatlerin korunması</w:t>
            </w:r>
          </w:p>
        </w:tc>
        <w:tc>
          <w:tcPr>
            <w:tcW w:type="dxa" w:w="2268"/>
            <w:vAlign w:val="top"/>
          </w:tcPr>
          <w:p>
            <w:pPr>
              <w:spacing w:after="0" w:line="240" w:lineRule="auto"/>
            </w:pPr>
            <w:r>
              <w:rPr>
                <w:rFonts w:ascii="Times New Roman" w:hAnsi="Times New Roman"/>
                <w:sz w:val="16"/>
              </w:rPr>
              <w:t>Giriş/Sonuç: aslî zemin telakki, müşâfehe, edâ, isnad</w:t>
            </w:r>
          </w:p>
        </w:tc>
        <w:tc>
          <w:tcPr>
            <w:tcW w:type="dxa" w:w="2268"/>
            <w:vAlign w:val="top"/>
          </w:tcPr>
          <w:p>
            <w:pPr>
              <w:spacing w:after="0" w:line="240" w:lineRule="auto"/>
            </w:pPr>
            <w:r>
              <w:rPr>
                <w:rFonts w:ascii="Times New Roman" w:hAnsi="Times New Roman"/>
                <w:sz w:val="16"/>
              </w:rPr>
              <w:t>3.11: modern imlâya geçilirse kırâatlerin önemli kısmı kaybolur</w:t>
            </w:r>
          </w:p>
        </w:tc>
        <w:tc>
          <w:tcPr>
            <w:tcW w:type="dxa" w:w="2268"/>
            <w:vAlign w:val="top"/>
          </w:tcPr>
          <w:p>
            <w:pPr>
              <w:spacing w:after="0" w:line="240" w:lineRule="auto"/>
            </w:pPr>
            <w:r>
              <w:rPr>
                <w:rFonts w:ascii="Times New Roman" w:hAnsi="Times New Roman"/>
                <w:sz w:val="16"/>
              </w:rPr>
              <w:t>Yazı aslî taşıyıcı konumuna kayıyor.</w:t>
            </w:r>
          </w:p>
        </w:tc>
        <w:tc>
          <w:tcPr>
            <w:tcW w:type="dxa" w:w="2835"/>
            <w:vAlign w:val="top"/>
          </w:tcPr>
          <w:p>
            <w:pPr>
              <w:spacing w:after="0" w:line="240" w:lineRule="auto"/>
            </w:pPr>
            <w:r>
              <w:rPr>
                <w:rFonts w:ascii="Times New Roman" w:hAnsi="Times New Roman"/>
                <w:sz w:val="16"/>
              </w:rPr>
              <w:t>“İmlâ değişikliği grafik ilişkinin görünürlüğünü etkileyebilir; rivâyeti tek başına ortadan kaldırmaz.”</w:t>
            </w:r>
          </w:p>
        </w:tc>
      </w:tr>
      <w:tr>
        <w:trPr>
          <w:cantSplit/>
          <w:cantSplit/>
        </w:trPr>
        <w:tc>
          <w:tcPr>
            <w:tcW w:type="dxa" w:w="1814"/>
            <w:vAlign w:val="top"/>
          </w:tcPr>
          <w:p>
            <w:pPr>
              <w:spacing w:after="0" w:line="240" w:lineRule="auto"/>
            </w:pPr>
            <w:r>
              <w:rPr>
                <w:rFonts w:ascii="Times New Roman" w:hAnsi="Times New Roman"/>
                <w:sz w:val="16"/>
              </w:rPr>
              <w:t>Resm-i mushaf / resm-i Osmânî</w:t>
            </w:r>
          </w:p>
        </w:tc>
        <w:tc>
          <w:tcPr>
            <w:tcW w:type="dxa" w:w="2268"/>
            <w:vAlign w:val="top"/>
          </w:tcPr>
          <w:p>
            <w:pPr>
              <w:spacing w:after="0" w:line="240" w:lineRule="auto"/>
            </w:pPr>
            <w:r>
              <w:rPr>
                <w:rFonts w:ascii="Times New Roman" w:hAnsi="Times New Roman"/>
                <w:sz w:val="16"/>
              </w:rPr>
              <w:t>Giriş: bütün bağlamlarda eş anlamlı değildir</w:t>
            </w:r>
          </w:p>
        </w:tc>
        <w:tc>
          <w:tcPr>
            <w:tcW w:type="dxa" w:w="2268"/>
            <w:vAlign w:val="top"/>
          </w:tcPr>
          <w:p>
            <w:pPr>
              <w:spacing w:after="0" w:line="240" w:lineRule="auto"/>
            </w:pPr>
            <w:r>
              <w:rPr>
                <w:rFonts w:ascii="Times New Roman" w:hAnsi="Times New Roman"/>
                <w:sz w:val="16"/>
              </w:rPr>
              <w:t>1.9: “Resm-i Mushaf (resm-i Osmânî)”</w:t>
            </w:r>
          </w:p>
        </w:tc>
        <w:tc>
          <w:tcPr>
            <w:tcW w:type="dxa" w:w="2268"/>
            <w:vAlign w:val="top"/>
          </w:tcPr>
          <w:p>
            <w:pPr>
              <w:spacing w:after="0" w:line="240" w:lineRule="auto"/>
            </w:pPr>
            <w:r>
              <w:rPr>
                <w:rFonts w:ascii="Times New Roman" w:hAnsi="Times New Roman"/>
                <w:sz w:val="16"/>
              </w:rPr>
              <w:t>Terminolojik sınır bozuluyor.</w:t>
            </w:r>
          </w:p>
        </w:tc>
        <w:tc>
          <w:tcPr>
            <w:tcW w:type="dxa" w:w="2835"/>
            <w:vAlign w:val="top"/>
          </w:tcPr>
          <w:p>
            <w:pPr>
              <w:spacing w:after="0" w:line="240" w:lineRule="auto"/>
            </w:pPr>
            <w:r>
              <w:rPr>
                <w:rFonts w:ascii="Times New Roman" w:hAnsi="Times New Roman"/>
                <w:sz w:val="16"/>
              </w:rPr>
              <w:t>Genel alan ile Osmânî tarihsel gelenek ayrı adlandırılmalı.</w:t>
            </w:r>
          </w:p>
        </w:tc>
      </w:tr>
      <w:tr>
        <w:trPr>
          <w:cantSplit/>
          <w:cantSplit/>
        </w:trPr>
        <w:tc>
          <w:tcPr>
            <w:tcW w:type="dxa" w:w="1814"/>
            <w:vAlign w:val="top"/>
          </w:tcPr>
          <w:p>
            <w:pPr>
              <w:spacing w:after="0" w:line="240" w:lineRule="auto"/>
            </w:pPr>
            <w:r>
              <w:rPr>
                <w:rFonts w:ascii="Times New Roman" w:hAnsi="Times New Roman"/>
                <w:sz w:val="16"/>
              </w:rPr>
              <w:t>Kronoloji</w:t>
            </w:r>
          </w:p>
        </w:tc>
        <w:tc>
          <w:tcPr>
            <w:tcW w:type="dxa" w:w="2268"/>
            <w:vAlign w:val="top"/>
          </w:tcPr>
          <w:p>
            <w:pPr>
              <w:spacing w:after="0" w:line="240" w:lineRule="auto"/>
            </w:pPr>
            <w:r>
              <w:rPr>
                <w:rFonts w:ascii="Times New Roman" w:hAnsi="Times New Roman"/>
                <w:sz w:val="16"/>
              </w:rPr>
              <w:t>İbnü’l-Cezerî ö. 833/1429</w:t>
            </w:r>
          </w:p>
        </w:tc>
        <w:tc>
          <w:tcPr>
            <w:tcW w:type="dxa" w:w="2268"/>
            <w:vAlign w:val="top"/>
          </w:tcPr>
          <w:p>
            <w:pPr>
              <w:spacing w:after="0" w:line="240" w:lineRule="auto"/>
            </w:pPr>
            <w:r>
              <w:rPr>
                <w:rFonts w:ascii="Times New Roman" w:hAnsi="Times New Roman"/>
                <w:sz w:val="16"/>
              </w:rPr>
              <w:t>Zerkeşî ö. 794/1392 “İbnü’l-Cezerî’nin prensiplerini benimseyen sonraki âlim”</w:t>
            </w:r>
          </w:p>
        </w:tc>
        <w:tc>
          <w:tcPr>
            <w:tcW w:type="dxa" w:w="2268"/>
            <w:vAlign w:val="top"/>
          </w:tcPr>
          <w:p>
            <w:pPr>
              <w:spacing w:after="0" w:line="240" w:lineRule="auto"/>
            </w:pPr>
            <w:r>
              <w:rPr>
                <w:rFonts w:ascii="Times New Roman" w:hAnsi="Times New Roman"/>
                <w:sz w:val="16"/>
              </w:rPr>
              <w:t>Açık kronolojik terslik.</w:t>
            </w:r>
          </w:p>
        </w:tc>
        <w:tc>
          <w:tcPr>
            <w:tcW w:type="dxa" w:w="2835"/>
            <w:vAlign w:val="top"/>
          </w:tcPr>
          <w:p>
            <w:pPr>
              <w:spacing w:after="0" w:line="240" w:lineRule="auto"/>
            </w:pPr>
            <w:r>
              <w:rPr>
                <w:rFonts w:ascii="Times New Roman" w:hAnsi="Times New Roman"/>
                <w:sz w:val="16"/>
              </w:rPr>
              <w:t>Kabul ölçülerinin tarihsel formülasyonu kronolojik sırayla yeniden yazılmalı.</w:t>
            </w:r>
          </w:p>
        </w:tc>
      </w:tr>
      <w:tr>
        <w:trPr>
          <w:cantSplit/>
          <w:cantSplit/>
        </w:trPr>
        <w:tc>
          <w:tcPr>
            <w:tcW w:type="dxa" w:w="1814"/>
            <w:vAlign w:val="top"/>
          </w:tcPr>
          <w:p>
            <w:pPr>
              <w:spacing w:after="0" w:line="240" w:lineRule="auto"/>
            </w:pPr>
            <w:r>
              <w:rPr>
                <w:rFonts w:ascii="Times New Roman" w:hAnsi="Times New Roman"/>
                <w:sz w:val="16"/>
              </w:rPr>
              <w:t>Ebû Şâme ölüm tarihi</w:t>
            </w:r>
          </w:p>
        </w:tc>
        <w:tc>
          <w:tcPr>
            <w:tcW w:type="dxa" w:w="2268"/>
            <w:vAlign w:val="top"/>
          </w:tcPr>
          <w:p>
            <w:pPr>
              <w:spacing w:after="0" w:line="240" w:lineRule="auto"/>
            </w:pPr>
            <w:r>
              <w:rPr>
                <w:rFonts w:ascii="Times New Roman" w:hAnsi="Times New Roman"/>
                <w:sz w:val="16"/>
              </w:rPr>
              <w:t>1.5: 665/1276</w:t>
            </w:r>
          </w:p>
        </w:tc>
        <w:tc>
          <w:tcPr>
            <w:tcW w:type="dxa" w:w="2268"/>
            <w:vAlign w:val="top"/>
          </w:tcPr>
          <w:p>
            <w:pPr>
              <w:spacing w:after="0" w:line="240" w:lineRule="auto"/>
            </w:pPr>
            <w:r>
              <w:rPr>
                <w:rFonts w:ascii="Times New Roman" w:hAnsi="Times New Roman"/>
                <w:sz w:val="16"/>
              </w:rPr>
              <w:t>1.10 ve sonraki yerler: 665/1267</w:t>
            </w:r>
          </w:p>
        </w:tc>
        <w:tc>
          <w:tcPr>
            <w:tcW w:type="dxa" w:w="2268"/>
            <w:vAlign w:val="top"/>
          </w:tcPr>
          <w:p>
            <w:pPr>
              <w:spacing w:after="0" w:line="240" w:lineRule="auto"/>
            </w:pPr>
            <w:r>
              <w:rPr>
                <w:rFonts w:ascii="Times New Roman" w:hAnsi="Times New Roman"/>
                <w:sz w:val="16"/>
              </w:rPr>
              <w:t>Aynı kişiye farklı milâdî yıl verilmiş.</w:t>
            </w:r>
          </w:p>
        </w:tc>
        <w:tc>
          <w:tcPr>
            <w:tcW w:type="dxa" w:w="2835"/>
            <w:vAlign w:val="top"/>
          </w:tcPr>
          <w:p>
            <w:pPr>
              <w:spacing w:after="0" w:line="240" w:lineRule="auto"/>
            </w:pPr>
            <w:r>
              <w:rPr>
                <w:rFonts w:ascii="Times New Roman" w:hAnsi="Times New Roman"/>
                <w:sz w:val="16"/>
              </w:rPr>
              <w:t>Kaynak kontrolüyle tek tarih seçilmeli; doğrulanmadan sayı önerilmemeli.</w:t>
            </w:r>
          </w:p>
        </w:tc>
      </w:tr>
    </w:tbl>
    <w:p>
      <w:pPr>
        <w:pStyle w:val="Compact"/>
      </w:pPr>
    </w:p>
    <w:p>
      <w:pPr>
        <w:pStyle w:val="Heading2"/>
        <w:keepNext/>
        <w:keepLines/>
      </w:pPr>
      <w:r>
        <w:t>11. Tekrarlar ve Kısaltılabilecek Yerler</w:t>
      </w:r>
    </w:p>
    <w:p>
      <w:pPr/>
      <w:r>
        <w:t>Metin hacim olarak dengesizdir. En belirgin sorun tek başına uzunluk değil, aynı tarihsel anlatının farklı bölüm işlevleri içinde yeniden kurulmasıdır. Kısaltma yeni bilgi çıkarmaktan çok aynı argümanın tek bir “asıl yer”de tutulmasıyla yapılmalıdır.</w:t>
      </w:r>
    </w:p>
    <w:tbl>
      <w:tblPr>
        <w:tblStyle w:val="TableGrid"/>
        <w:tblW w:type="auto" w:w="0"/>
        <w:jc w:val="center"/>
        <w:tblLook w:firstColumn="1" w:firstRow="1" w:lastColumn="0" w:lastRow="0" w:noHBand="0" w:noVBand="1" w:val="04A0"/>
      </w:tblPr>
      <w:tblGrid>
        <w:gridCol w:w="2422"/>
        <w:gridCol w:w="2422"/>
        <w:gridCol w:w="2422"/>
        <w:gridCol w:w="2422"/>
      </w:tblGrid>
      <w:tr>
        <w:trPr>
          <w:cantSplit/>
          <w:cantSplit/>
        </w:trPr>
        <w:tc>
          <w:tcPr>
            <w:tcW w:type="dxa" w:w="2268"/>
            <w:shd w:fill="D9E2F3"/>
            <w:vAlign w:val="center"/>
          </w:tcPr>
          <w:p>
            <w:r>
              <w:rPr>
                <w:rFonts w:ascii="Times New Roman" w:hAnsi="Times New Roman"/>
                <w:b/>
                <w:sz w:val="16"/>
              </w:rPr>
              <w:t>Tekrar kümesi</w:t>
            </w:r>
          </w:p>
        </w:tc>
        <w:tc>
          <w:tcPr>
            <w:tcW w:type="dxa" w:w="2268"/>
            <w:shd w:fill="D9E2F3"/>
            <w:vAlign w:val="center"/>
          </w:tcPr>
          <w:p>
            <w:r>
              <w:rPr>
                <w:rFonts w:ascii="Times New Roman" w:hAnsi="Times New Roman"/>
                <w:b/>
                <w:sz w:val="16"/>
              </w:rPr>
              <w:t>Asıl korunacak yer</w:t>
            </w:r>
          </w:p>
        </w:tc>
        <w:tc>
          <w:tcPr>
            <w:tcW w:type="dxa" w:w="2268"/>
            <w:shd w:fill="D9E2F3"/>
            <w:vAlign w:val="center"/>
          </w:tcPr>
          <w:p>
            <w:r>
              <w:rPr>
                <w:rFonts w:ascii="Times New Roman" w:hAnsi="Times New Roman"/>
                <w:b/>
                <w:sz w:val="16"/>
              </w:rPr>
              <w:t>Kısaltılacak/taşınacak yer</w:t>
            </w:r>
          </w:p>
        </w:tc>
        <w:tc>
          <w:tcPr>
            <w:tcW w:type="dxa" w:w="3969"/>
            <w:shd w:fill="D9E2F3"/>
            <w:vAlign w:val="center"/>
          </w:tcPr>
          <w:p>
            <w:r>
              <w:rPr>
                <w:rFonts w:ascii="Times New Roman" w:hAnsi="Times New Roman"/>
                <w:b/>
                <w:sz w:val="16"/>
              </w:rPr>
              <w:t>Öneri</w:t>
            </w:r>
          </w:p>
        </w:tc>
      </w:tr>
      <w:tr>
        <w:trPr>
          <w:cantSplit/>
          <w:cantSplit/>
        </w:trPr>
        <w:tc>
          <w:tcPr>
            <w:tcW w:type="dxa" w:w="2268"/>
            <w:vAlign w:val="top"/>
          </w:tcPr>
          <w:p>
            <w:pPr>
              <w:spacing w:after="0" w:line="240" w:lineRule="auto"/>
            </w:pPr>
            <w:r>
              <w:rPr>
                <w:rFonts w:ascii="Times New Roman" w:hAnsi="Times New Roman"/>
                <w:sz w:val="16"/>
              </w:rPr>
              <w:t>Ebû Bekir cemi / Huzeyfe / Osmânî istinsah</w:t>
            </w:r>
          </w:p>
        </w:tc>
        <w:tc>
          <w:tcPr>
            <w:tcW w:type="dxa" w:w="2268"/>
            <w:vAlign w:val="top"/>
          </w:tcPr>
          <w:p>
            <w:pPr>
              <w:spacing w:after="0" w:line="240" w:lineRule="auto"/>
            </w:pPr>
            <w:r>
              <w:rPr>
                <w:rFonts w:ascii="Times New Roman" w:hAnsi="Times New Roman"/>
                <w:sz w:val="16"/>
              </w:rPr>
              <w:t>1.3–1.4</w:t>
            </w:r>
          </w:p>
        </w:tc>
        <w:tc>
          <w:tcPr>
            <w:tcW w:type="dxa" w:w="2268"/>
            <w:vAlign w:val="top"/>
          </w:tcPr>
          <w:p>
            <w:pPr>
              <w:spacing w:after="0" w:line="240" w:lineRule="auto"/>
            </w:pPr>
            <w:r>
              <w:rPr>
                <w:rFonts w:ascii="Times New Roman" w:hAnsi="Times New Roman"/>
                <w:sz w:val="16"/>
              </w:rPr>
              <w:t>4.1–4.3</w:t>
            </w:r>
          </w:p>
        </w:tc>
        <w:tc>
          <w:tcPr>
            <w:tcW w:type="dxa" w:w="3969"/>
            <w:vAlign w:val="top"/>
          </w:tcPr>
          <w:p>
            <w:pPr>
              <w:spacing w:after="0" w:line="240" w:lineRule="auto"/>
            </w:pPr>
            <w:r>
              <w:rPr>
                <w:rFonts w:ascii="Times New Roman" w:hAnsi="Times New Roman"/>
                <w:sz w:val="16"/>
              </w:rPr>
              <w:t>Dördüncü Bölümde tarih özetini 1–2 paragrafa indir; doğrudan örneğe geç.</w:t>
            </w:r>
          </w:p>
        </w:tc>
      </w:tr>
      <w:tr>
        <w:trPr>
          <w:cantSplit/>
          <w:cantSplit/>
        </w:trPr>
        <w:tc>
          <w:tcPr>
            <w:tcW w:type="dxa" w:w="2268"/>
            <w:vAlign w:val="top"/>
          </w:tcPr>
          <w:p>
            <w:pPr>
              <w:spacing w:after="0" w:line="240" w:lineRule="auto"/>
            </w:pPr>
            <w:r>
              <w:rPr>
                <w:rFonts w:ascii="Times New Roman" w:hAnsi="Times New Roman"/>
                <w:sz w:val="16"/>
              </w:rPr>
              <w:t>Yedi harf / arza-i âhire</w:t>
            </w:r>
          </w:p>
        </w:tc>
        <w:tc>
          <w:tcPr>
            <w:tcW w:type="dxa" w:w="2268"/>
            <w:vAlign w:val="top"/>
          </w:tcPr>
          <w:p>
            <w:pPr>
              <w:spacing w:after="0" w:line="240" w:lineRule="auto"/>
            </w:pPr>
            <w:r>
              <w:rPr>
                <w:rFonts w:ascii="Times New Roman" w:hAnsi="Times New Roman"/>
                <w:sz w:val="16"/>
              </w:rPr>
              <w:t>1.3 ve 2.3</w:t>
            </w:r>
          </w:p>
        </w:tc>
        <w:tc>
          <w:tcPr>
            <w:tcW w:type="dxa" w:w="2268"/>
            <w:vAlign w:val="top"/>
          </w:tcPr>
          <w:p>
            <w:pPr>
              <w:spacing w:after="0" w:line="240" w:lineRule="auto"/>
            </w:pPr>
            <w:r>
              <w:rPr>
                <w:rFonts w:ascii="Times New Roman" w:hAnsi="Times New Roman"/>
                <w:sz w:val="16"/>
              </w:rPr>
              <w:t>1.4, 4.1, 4.3</w:t>
            </w:r>
          </w:p>
        </w:tc>
        <w:tc>
          <w:tcPr>
            <w:tcW w:type="dxa" w:w="3969"/>
            <w:vAlign w:val="top"/>
          </w:tcPr>
          <w:p>
            <w:pPr>
              <w:spacing w:after="0" w:line="240" w:lineRule="auto"/>
            </w:pPr>
            <w:r>
              <w:rPr>
                <w:rFonts w:ascii="Times New Roman" w:hAnsi="Times New Roman"/>
                <w:sz w:val="16"/>
              </w:rPr>
              <w:t>2.3’te kavramsal çerçeve; diğer bölümlerde yalnız ilgili örnek kadar hatırlatma.</w:t>
            </w:r>
          </w:p>
        </w:tc>
      </w:tr>
      <w:tr>
        <w:trPr>
          <w:cantSplit/>
          <w:cantSplit/>
        </w:trPr>
        <w:tc>
          <w:tcPr>
            <w:tcW w:type="dxa" w:w="2268"/>
            <w:vAlign w:val="top"/>
          </w:tcPr>
          <w:p>
            <w:pPr>
              <w:spacing w:after="0" w:line="240" w:lineRule="auto"/>
            </w:pPr>
            <w:r>
              <w:rPr>
                <w:rFonts w:ascii="Times New Roman" w:hAnsi="Times New Roman"/>
                <w:sz w:val="16"/>
              </w:rPr>
              <w:t>Sahâbe mushafları</w:t>
            </w:r>
          </w:p>
        </w:tc>
        <w:tc>
          <w:tcPr>
            <w:tcW w:type="dxa" w:w="2268"/>
            <w:vAlign w:val="top"/>
          </w:tcPr>
          <w:p>
            <w:pPr>
              <w:spacing w:after="0" w:line="240" w:lineRule="auto"/>
            </w:pPr>
            <w:r>
              <w:rPr>
                <w:rFonts w:ascii="Times New Roman" w:hAnsi="Times New Roman"/>
                <w:sz w:val="16"/>
              </w:rPr>
              <w:t>4.2</w:t>
            </w:r>
          </w:p>
        </w:tc>
        <w:tc>
          <w:tcPr>
            <w:tcW w:type="dxa" w:w="2268"/>
            <w:vAlign w:val="top"/>
          </w:tcPr>
          <w:p>
            <w:pPr>
              <w:spacing w:after="0" w:line="240" w:lineRule="auto"/>
            </w:pPr>
            <w:r>
              <w:rPr>
                <w:rFonts w:ascii="Times New Roman" w:hAnsi="Times New Roman"/>
                <w:sz w:val="16"/>
              </w:rPr>
              <w:t>1.4 ve 4.3</w:t>
            </w:r>
          </w:p>
        </w:tc>
        <w:tc>
          <w:tcPr>
            <w:tcW w:type="dxa" w:w="3969"/>
            <w:vAlign w:val="top"/>
          </w:tcPr>
          <w:p>
            <w:pPr>
              <w:spacing w:after="0" w:line="240" w:lineRule="auto"/>
            </w:pPr>
            <w:r>
              <w:rPr>
                <w:rFonts w:ascii="Times New Roman" w:hAnsi="Times New Roman"/>
                <w:sz w:val="16"/>
              </w:rPr>
              <w:t>1.4’te tarihsel bağlam, 4.2’de tipoloji ve örnek; 4.3’te tekrar etme.</w:t>
            </w:r>
          </w:p>
        </w:tc>
      </w:tr>
      <w:tr>
        <w:trPr>
          <w:cantSplit/>
          <w:cantSplit/>
        </w:trPr>
        <w:tc>
          <w:tcPr>
            <w:tcW w:type="dxa" w:w="2268"/>
            <w:vAlign w:val="top"/>
          </w:tcPr>
          <w:p>
            <w:pPr>
              <w:spacing w:after="0" w:line="240" w:lineRule="auto"/>
            </w:pPr>
            <w:r>
              <w:rPr>
                <w:rFonts w:ascii="Times New Roman" w:hAnsi="Times New Roman"/>
                <w:sz w:val="16"/>
              </w:rPr>
              <w:t>Müşâfehe gereği</w:t>
            </w:r>
          </w:p>
        </w:tc>
        <w:tc>
          <w:tcPr>
            <w:tcW w:type="dxa" w:w="2268"/>
            <w:vAlign w:val="top"/>
          </w:tcPr>
          <w:p>
            <w:pPr>
              <w:spacing w:after="0" w:line="240" w:lineRule="auto"/>
            </w:pPr>
            <w:r>
              <w:rPr>
                <w:rFonts w:ascii="Times New Roman" w:hAnsi="Times New Roman"/>
                <w:sz w:val="16"/>
              </w:rPr>
              <w:t>2. Bölüm yeni alt başlık</w:t>
            </w:r>
          </w:p>
        </w:tc>
        <w:tc>
          <w:tcPr>
            <w:tcW w:type="dxa" w:w="2268"/>
            <w:vAlign w:val="top"/>
          </w:tcPr>
          <w:p>
            <w:pPr>
              <w:spacing w:after="0" w:line="240" w:lineRule="auto"/>
            </w:pPr>
            <w:r>
              <w:rPr>
                <w:rFonts w:ascii="Times New Roman" w:hAnsi="Times New Roman"/>
                <w:sz w:val="16"/>
              </w:rPr>
              <w:t>3.10 ve 4.1</w:t>
            </w:r>
          </w:p>
        </w:tc>
        <w:tc>
          <w:tcPr>
            <w:tcW w:type="dxa" w:w="3969"/>
            <w:vAlign w:val="top"/>
          </w:tcPr>
          <w:p>
            <w:pPr>
              <w:spacing w:after="0" w:line="240" w:lineRule="auto"/>
            </w:pPr>
            <w:r>
              <w:rPr>
                <w:rFonts w:ascii="Times New Roman" w:hAnsi="Times New Roman"/>
                <w:sz w:val="16"/>
              </w:rPr>
              <w:t>3.10’u bağımsız başlık olmaktan çıkar; 2. Bölüm teorik omurga olsun.</w:t>
            </w:r>
          </w:p>
        </w:tc>
      </w:tr>
      <w:tr>
        <w:trPr>
          <w:cantSplit/>
          <w:cantSplit/>
        </w:trPr>
        <w:tc>
          <w:tcPr>
            <w:tcW w:type="dxa" w:w="2268"/>
            <w:vAlign w:val="top"/>
          </w:tcPr>
          <w:p>
            <w:pPr>
              <w:spacing w:after="0" w:line="240" w:lineRule="auto"/>
            </w:pPr>
            <w:r>
              <w:rPr>
                <w:rFonts w:ascii="Times New Roman" w:hAnsi="Times New Roman"/>
                <w:sz w:val="16"/>
              </w:rPr>
              <w:t>Resme bağlılığın gerekçeleri</w:t>
            </w:r>
          </w:p>
        </w:tc>
        <w:tc>
          <w:tcPr>
            <w:tcW w:type="dxa" w:w="2268"/>
            <w:vAlign w:val="top"/>
          </w:tcPr>
          <w:p>
            <w:pPr>
              <w:spacing w:after="0" w:line="240" w:lineRule="auto"/>
            </w:pPr>
            <w:r>
              <w:rPr>
                <w:rFonts w:ascii="Times New Roman" w:hAnsi="Times New Roman"/>
                <w:sz w:val="16"/>
              </w:rPr>
              <w:t>3.6–3.7 birleşik yapı</w:t>
            </w:r>
          </w:p>
        </w:tc>
        <w:tc>
          <w:tcPr>
            <w:tcW w:type="dxa" w:w="2268"/>
            <w:vAlign w:val="top"/>
          </w:tcPr>
          <w:p>
            <w:pPr>
              <w:spacing w:after="0" w:line="240" w:lineRule="auto"/>
            </w:pPr>
            <w:r>
              <w:rPr>
                <w:rFonts w:ascii="Times New Roman" w:hAnsi="Times New Roman"/>
                <w:sz w:val="16"/>
              </w:rPr>
              <w:t>3.8–3.12</w:t>
            </w:r>
          </w:p>
        </w:tc>
        <w:tc>
          <w:tcPr>
            <w:tcW w:type="dxa" w:w="3969"/>
            <w:vAlign w:val="top"/>
          </w:tcPr>
          <w:p>
            <w:pPr>
              <w:spacing w:after="0" w:line="240" w:lineRule="auto"/>
            </w:pPr>
            <w:r>
              <w:rPr>
                <w:rFonts w:ascii="Times New Roman" w:hAnsi="Times New Roman"/>
                <w:sz w:val="16"/>
              </w:rPr>
              <w:t>Altı başlığı tek ana başlık ve kısa alt parçalara indir.</w:t>
            </w:r>
          </w:p>
        </w:tc>
      </w:tr>
      <w:tr>
        <w:trPr>
          <w:cantSplit/>
          <w:cantSplit/>
        </w:trPr>
        <w:tc>
          <w:tcPr>
            <w:tcW w:type="dxa" w:w="2268"/>
            <w:vAlign w:val="top"/>
          </w:tcPr>
          <w:p>
            <w:pPr>
              <w:spacing w:after="0" w:line="240" w:lineRule="auto"/>
            </w:pPr>
            <w:r>
              <w:rPr>
                <w:rFonts w:ascii="Times New Roman" w:hAnsi="Times New Roman"/>
                <w:sz w:val="16"/>
              </w:rPr>
              <w:t>Resme uygunluk kabul ölçüsü</w:t>
            </w:r>
          </w:p>
        </w:tc>
        <w:tc>
          <w:tcPr>
            <w:tcW w:type="dxa" w:w="2268"/>
            <w:vAlign w:val="top"/>
          </w:tcPr>
          <w:p>
            <w:pPr>
              <w:spacing w:after="0" w:line="240" w:lineRule="auto"/>
            </w:pPr>
            <w:r>
              <w:rPr>
                <w:rFonts w:ascii="Times New Roman" w:hAnsi="Times New Roman"/>
                <w:sz w:val="16"/>
              </w:rPr>
              <w:t>1.10 / 2. Bölüm</w:t>
            </w:r>
          </w:p>
        </w:tc>
        <w:tc>
          <w:tcPr>
            <w:tcW w:type="dxa" w:w="2268"/>
            <w:vAlign w:val="top"/>
          </w:tcPr>
          <w:p>
            <w:pPr>
              <w:spacing w:after="0" w:line="240" w:lineRule="auto"/>
            </w:pPr>
            <w:r>
              <w:rPr>
                <w:rFonts w:ascii="Times New Roman" w:hAnsi="Times New Roman"/>
                <w:sz w:val="16"/>
              </w:rPr>
              <w:t>4.3</w:t>
            </w:r>
          </w:p>
        </w:tc>
        <w:tc>
          <w:tcPr>
            <w:tcW w:type="dxa" w:w="3969"/>
            <w:vAlign w:val="top"/>
          </w:tcPr>
          <w:p>
            <w:pPr>
              <w:spacing w:after="0" w:line="240" w:lineRule="auto"/>
            </w:pPr>
            <w:r>
              <w:rPr>
                <w:rFonts w:ascii="Times New Roman" w:hAnsi="Times New Roman"/>
                <w:sz w:val="16"/>
              </w:rPr>
              <w:t>4.3’te ilke tekrarından çok örnek analizi ver.</w:t>
            </w:r>
          </w:p>
        </w:tc>
      </w:tr>
      <w:tr>
        <w:trPr>
          <w:cantSplit/>
          <w:cantSplit/>
        </w:trPr>
        <w:tc>
          <w:tcPr>
            <w:tcW w:type="dxa" w:w="2268"/>
            <w:vAlign w:val="top"/>
          </w:tcPr>
          <w:p>
            <w:pPr>
              <w:spacing w:after="0" w:line="240" w:lineRule="auto"/>
            </w:pPr>
            <w:r>
              <w:rPr>
                <w:rFonts w:ascii="Times New Roman" w:hAnsi="Times New Roman"/>
                <w:sz w:val="16"/>
              </w:rPr>
              <w:t>Ümmet birliği</w:t>
            </w:r>
          </w:p>
        </w:tc>
        <w:tc>
          <w:tcPr>
            <w:tcW w:type="dxa" w:w="2268"/>
            <w:vAlign w:val="top"/>
          </w:tcPr>
          <w:p>
            <w:pPr>
              <w:spacing w:after="0" w:line="240" w:lineRule="auto"/>
            </w:pPr>
            <w:r>
              <w:rPr>
                <w:rFonts w:ascii="Times New Roman" w:hAnsi="Times New Roman"/>
                <w:sz w:val="16"/>
              </w:rPr>
              <w:t>1.4 tarihsel gerekçe</w:t>
            </w:r>
          </w:p>
        </w:tc>
        <w:tc>
          <w:tcPr>
            <w:tcW w:type="dxa" w:w="2268"/>
            <w:vAlign w:val="top"/>
          </w:tcPr>
          <w:p>
            <w:pPr>
              <w:spacing w:after="0" w:line="240" w:lineRule="auto"/>
            </w:pPr>
            <w:r>
              <w:rPr>
                <w:rFonts w:ascii="Times New Roman" w:hAnsi="Times New Roman"/>
                <w:sz w:val="16"/>
              </w:rPr>
              <w:t>3.12 ve 4.2 sonları</w:t>
            </w:r>
          </w:p>
        </w:tc>
        <w:tc>
          <w:tcPr>
            <w:tcW w:type="dxa" w:w="3969"/>
            <w:vAlign w:val="top"/>
          </w:tcPr>
          <w:p>
            <w:pPr>
              <w:spacing w:after="0" w:line="240" w:lineRule="auto"/>
            </w:pPr>
            <w:r>
              <w:rPr>
                <w:rFonts w:ascii="Times New Roman" w:hAnsi="Times New Roman"/>
                <w:sz w:val="16"/>
              </w:rPr>
              <w:t>Sloganlaştırıcı tekrarları kaldır; yalnız tarihsel/normatif düzeyde bir kez ele al.</w:t>
            </w:r>
          </w:p>
        </w:tc>
      </w:tr>
    </w:tbl>
    <w:p>
      <w:pPr>
        <w:pStyle w:val="Compact"/>
      </w:pPr>
    </w:p>
    <w:p>
      <w:pPr/>
      <w:r>
        <w:t>Hedef kısaltma: Birinci Bölümde yaklaşık %8–10, Üçüncü Bölümde %20–30, Dördüncü Bölümde %10–15. İkinci Bölüm kısaltılmamalı; tersine teorik iki alt başlıkla güçlendirilmelidir.</w:t>
      </w:r>
    </w:p>
    <w:p>
      <w:pPr>
        <w:pStyle w:val="Heading2"/>
        <w:keepNext/>
        <w:keepLines/>
      </w:pPr>
      <w:r>
        <w:t>12. Kavramsal ve Terminolojik Tutarlılık</w:t>
      </w:r>
    </w:p>
    <w:tbl>
      <w:tblPr>
        <w:tblStyle w:val="TableGrid"/>
        <w:tblW w:type="auto" w:w="0"/>
        <w:jc w:val="center"/>
        <w:tblLook w:firstColumn="1" w:firstRow="1" w:lastColumn="0" w:lastRow="0" w:noHBand="0" w:noVBand="1" w:val="04A0"/>
      </w:tblPr>
      <w:tblGrid>
        <w:gridCol w:w="2422"/>
        <w:gridCol w:w="2422"/>
        <w:gridCol w:w="2422"/>
        <w:gridCol w:w="2422"/>
      </w:tblGrid>
      <w:tr>
        <w:trPr>
          <w:cantSplit/>
          <w:cantSplit/>
        </w:trPr>
        <w:tc>
          <w:tcPr>
            <w:tcW w:type="dxa" w:w="2268"/>
            <w:shd w:fill="D9E2F3"/>
            <w:vAlign w:val="center"/>
          </w:tcPr>
          <w:p>
            <w:r>
              <w:rPr>
                <w:rFonts w:ascii="Times New Roman" w:hAnsi="Times New Roman"/>
                <w:b/>
                <w:sz w:val="16"/>
              </w:rPr>
              <w:t>Terim/ayrım</w:t>
            </w:r>
          </w:p>
        </w:tc>
        <w:tc>
          <w:tcPr>
            <w:tcW w:type="dxa" w:w="2268"/>
            <w:shd w:fill="D9E2F3"/>
            <w:vAlign w:val="center"/>
          </w:tcPr>
          <w:p>
            <w:r>
              <w:rPr>
                <w:rFonts w:ascii="Times New Roman" w:hAnsi="Times New Roman"/>
                <w:b/>
                <w:sz w:val="16"/>
              </w:rPr>
              <w:t>Güncel durum</w:t>
            </w:r>
          </w:p>
        </w:tc>
        <w:tc>
          <w:tcPr>
            <w:tcW w:type="dxa" w:w="2835"/>
            <w:shd w:fill="D9E2F3"/>
            <w:vAlign w:val="center"/>
          </w:tcPr>
          <w:p>
            <w:r>
              <w:rPr>
                <w:rFonts w:ascii="Times New Roman" w:hAnsi="Times New Roman"/>
                <w:b/>
                <w:sz w:val="16"/>
              </w:rPr>
              <w:t>Sorun</w:t>
            </w:r>
          </w:p>
        </w:tc>
        <w:tc>
          <w:tcPr>
            <w:tcW w:type="dxa" w:w="3402"/>
            <w:shd w:fill="D9E2F3"/>
            <w:vAlign w:val="center"/>
          </w:tcPr>
          <w:p>
            <w:r>
              <w:rPr>
                <w:rFonts w:ascii="Times New Roman" w:hAnsi="Times New Roman"/>
                <w:b/>
                <w:sz w:val="16"/>
              </w:rPr>
              <w:t>Kural</w:t>
            </w:r>
          </w:p>
        </w:tc>
      </w:tr>
      <w:tr>
        <w:trPr>
          <w:cantSplit/>
          <w:cantSplit/>
        </w:trPr>
        <w:tc>
          <w:tcPr>
            <w:tcW w:type="dxa" w:w="2268"/>
            <w:vAlign w:val="top"/>
          </w:tcPr>
          <w:p>
            <w:pPr>
              <w:spacing w:after="0" w:line="240" w:lineRule="auto"/>
            </w:pPr>
            <w:r>
              <w:rPr>
                <w:rFonts w:ascii="Times New Roman" w:hAnsi="Times New Roman"/>
                <w:sz w:val="16"/>
              </w:rPr>
              <w:t>resm / resm-i mushaf / resm-i Osmânî</w:t>
            </w:r>
          </w:p>
        </w:tc>
        <w:tc>
          <w:tcPr>
            <w:tcW w:type="dxa" w:w="2268"/>
            <w:vAlign w:val="top"/>
          </w:tcPr>
          <w:p>
            <w:pPr>
              <w:spacing w:after="0" w:line="240" w:lineRule="auto"/>
            </w:pPr>
            <w:r>
              <w:rPr>
                <w:rFonts w:ascii="Times New Roman" w:hAnsi="Times New Roman"/>
                <w:sz w:val="16"/>
              </w:rPr>
              <w:t>Kısmen tutarlı</w:t>
            </w:r>
          </w:p>
        </w:tc>
        <w:tc>
          <w:tcPr>
            <w:tcW w:type="dxa" w:w="2835"/>
            <w:vAlign w:val="top"/>
          </w:tcPr>
          <w:p>
            <w:pPr>
              <w:spacing w:after="0" w:line="240" w:lineRule="auto"/>
            </w:pPr>
            <w:r>
              <w:rPr>
                <w:rFonts w:ascii="Times New Roman" w:hAnsi="Times New Roman"/>
                <w:sz w:val="16"/>
              </w:rPr>
              <w:t>1.9’da eşitleniyor.</w:t>
            </w:r>
          </w:p>
        </w:tc>
        <w:tc>
          <w:tcPr>
            <w:tcW w:type="dxa" w:w="3402"/>
            <w:vAlign w:val="top"/>
          </w:tcPr>
          <w:p>
            <w:pPr>
              <w:spacing w:after="0" w:line="240" w:lineRule="auto"/>
            </w:pPr>
            <w:r>
              <w:rPr>
                <w:rFonts w:ascii="Times New Roman" w:hAnsi="Times New Roman"/>
                <w:sz w:val="16"/>
              </w:rPr>
              <w:t>Genel yazı biçimi / mushaf yazımı alanı / Osmânî tarihsel gelenek ayrı tutulmalı.</w:t>
            </w:r>
          </w:p>
        </w:tc>
      </w:tr>
      <w:tr>
        <w:trPr>
          <w:cantSplit/>
          <w:cantSplit/>
        </w:trPr>
        <w:tc>
          <w:tcPr>
            <w:tcW w:type="dxa" w:w="2268"/>
            <w:vAlign w:val="top"/>
          </w:tcPr>
          <w:p>
            <w:pPr>
              <w:spacing w:after="0" w:line="240" w:lineRule="auto"/>
            </w:pPr>
            <w:r>
              <w:rPr>
                <w:rFonts w:ascii="Times New Roman" w:hAnsi="Times New Roman"/>
                <w:sz w:val="16"/>
              </w:rPr>
              <w:t>kırâat / rivâyet / tarîk / vecih</w:t>
            </w:r>
          </w:p>
        </w:tc>
        <w:tc>
          <w:tcPr>
            <w:tcW w:type="dxa" w:w="2268"/>
            <w:vAlign w:val="top"/>
          </w:tcPr>
          <w:p>
            <w:pPr>
              <w:spacing w:after="0" w:line="240" w:lineRule="auto"/>
            </w:pPr>
            <w:r>
              <w:rPr>
                <w:rFonts w:ascii="Times New Roman" w:hAnsi="Times New Roman"/>
                <w:sz w:val="16"/>
              </w:rPr>
              <w:t>Giriş güçlü, 2. Bölüm yetersiz</w:t>
            </w:r>
          </w:p>
        </w:tc>
        <w:tc>
          <w:tcPr>
            <w:tcW w:type="dxa" w:w="2835"/>
            <w:vAlign w:val="top"/>
          </w:tcPr>
          <w:p>
            <w:pPr>
              <w:spacing w:after="0" w:line="240" w:lineRule="auto"/>
            </w:pPr>
            <w:r>
              <w:rPr>
                <w:rFonts w:ascii="Times New Roman" w:hAnsi="Times New Roman"/>
                <w:sz w:val="16"/>
              </w:rPr>
              <w:t>İmam tercihi/nispet merkezi ayrımı bulanık.</w:t>
            </w:r>
          </w:p>
        </w:tc>
        <w:tc>
          <w:tcPr>
            <w:tcW w:type="dxa" w:w="3402"/>
            <w:vAlign w:val="top"/>
          </w:tcPr>
          <w:p>
            <w:pPr>
              <w:spacing w:after="0" w:line="240" w:lineRule="auto"/>
            </w:pPr>
            <w:r>
              <w:rPr>
                <w:rFonts w:ascii="Times New Roman" w:hAnsi="Times New Roman"/>
                <w:sz w:val="16"/>
              </w:rPr>
              <w:t>İmam = nispet merkezi; rivâyet = râvi hattı; tarîk = sonraki nakil kolu; vecih = belirli nakil içindeki edâ seçeneği.</w:t>
            </w:r>
          </w:p>
        </w:tc>
      </w:tr>
      <w:tr>
        <w:trPr>
          <w:cantSplit/>
          <w:cantSplit/>
        </w:trPr>
        <w:tc>
          <w:tcPr>
            <w:tcW w:type="dxa" w:w="2268"/>
            <w:vAlign w:val="top"/>
          </w:tcPr>
          <w:p>
            <w:pPr>
              <w:spacing w:after="0" w:line="240" w:lineRule="auto"/>
            </w:pPr>
            <w:r>
              <w:rPr>
                <w:rFonts w:ascii="Times New Roman" w:hAnsi="Times New Roman"/>
                <w:sz w:val="16"/>
              </w:rPr>
              <w:t>telakki / müşâfehe / edâ</w:t>
            </w:r>
          </w:p>
        </w:tc>
        <w:tc>
          <w:tcPr>
            <w:tcW w:type="dxa" w:w="2268"/>
            <w:vAlign w:val="top"/>
          </w:tcPr>
          <w:p>
            <w:pPr>
              <w:spacing w:after="0" w:line="240" w:lineRule="auto"/>
            </w:pPr>
            <w:r>
              <w:rPr>
                <w:rFonts w:ascii="Times New Roman" w:hAnsi="Times New Roman"/>
                <w:sz w:val="16"/>
              </w:rPr>
              <w:t>Girişte ayrılmış</w:t>
            </w:r>
          </w:p>
        </w:tc>
        <w:tc>
          <w:tcPr>
            <w:tcW w:type="dxa" w:w="2835"/>
            <w:vAlign w:val="top"/>
          </w:tcPr>
          <w:p>
            <w:pPr>
              <w:spacing w:after="0" w:line="240" w:lineRule="auto"/>
            </w:pPr>
            <w:r>
              <w:rPr>
                <w:rFonts w:ascii="Times New Roman" w:hAnsi="Times New Roman"/>
                <w:sz w:val="16"/>
              </w:rPr>
              <w:t>3.10’da müşâfeheyi resmin amacı yapıyor.</w:t>
            </w:r>
          </w:p>
        </w:tc>
        <w:tc>
          <w:tcPr>
            <w:tcW w:type="dxa" w:w="3402"/>
            <w:vAlign w:val="top"/>
          </w:tcPr>
          <w:p>
            <w:pPr>
              <w:spacing w:after="0" w:line="240" w:lineRule="auto"/>
            </w:pPr>
            <w:r>
              <w:rPr>
                <w:rFonts w:ascii="Times New Roman" w:hAnsi="Times New Roman"/>
                <w:sz w:val="16"/>
              </w:rPr>
              <w:t>Telakki alma süreci; müşâfehe yüz yüze yön; edâ icra.</w:t>
            </w:r>
          </w:p>
        </w:tc>
      </w:tr>
      <w:tr>
        <w:trPr>
          <w:cantSplit/>
          <w:cantSplit/>
        </w:trPr>
        <w:tc>
          <w:tcPr>
            <w:tcW w:type="dxa" w:w="2268"/>
            <w:vAlign w:val="top"/>
          </w:tcPr>
          <w:p>
            <w:pPr>
              <w:spacing w:after="0" w:line="240" w:lineRule="auto"/>
            </w:pPr>
            <w:r>
              <w:rPr>
                <w:rFonts w:ascii="Times New Roman" w:hAnsi="Times New Roman"/>
                <w:sz w:val="16"/>
              </w:rPr>
              <w:t>gerçek / ihtimalî uygunluk</w:t>
            </w:r>
          </w:p>
        </w:tc>
        <w:tc>
          <w:tcPr>
            <w:tcW w:type="dxa" w:w="2268"/>
            <w:vAlign w:val="top"/>
          </w:tcPr>
          <w:p>
            <w:pPr>
              <w:spacing w:after="0" w:line="240" w:lineRule="auto"/>
            </w:pPr>
            <w:r>
              <w:rPr>
                <w:rFonts w:ascii="Times New Roman" w:hAnsi="Times New Roman"/>
                <w:sz w:val="16"/>
              </w:rPr>
              <w:t>Tanım iyi</w:t>
            </w:r>
          </w:p>
        </w:tc>
        <w:tc>
          <w:tcPr>
            <w:tcW w:type="dxa" w:w="2835"/>
            <w:vAlign w:val="top"/>
          </w:tcPr>
          <w:p>
            <w:pPr>
              <w:spacing w:after="0" w:line="240" w:lineRule="auto"/>
            </w:pPr>
            <w:r>
              <w:rPr>
                <w:rFonts w:ascii="Times New Roman" w:hAnsi="Times New Roman"/>
                <w:sz w:val="16"/>
              </w:rPr>
              <w:t>Uzun örnek listesinde sistematik etiket yok.</w:t>
            </w:r>
          </w:p>
        </w:tc>
        <w:tc>
          <w:tcPr>
            <w:tcW w:type="dxa" w:w="3402"/>
            <w:vAlign w:val="top"/>
          </w:tcPr>
          <w:p>
            <w:pPr>
              <w:spacing w:after="0" w:line="240" w:lineRule="auto"/>
            </w:pPr>
            <w:r>
              <w:rPr>
                <w:rFonts w:ascii="Times New Roman" w:hAnsi="Times New Roman"/>
                <w:sz w:val="16"/>
              </w:rPr>
              <w:t>Her örnek uygunluk türüyle açıkça sınıflandırılmalı.</w:t>
            </w:r>
          </w:p>
        </w:tc>
      </w:tr>
      <w:tr>
        <w:trPr>
          <w:cantSplit/>
          <w:cantSplit/>
        </w:trPr>
        <w:tc>
          <w:tcPr>
            <w:tcW w:type="dxa" w:w="2268"/>
            <w:vAlign w:val="top"/>
          </w:tcPr>
          <w:p>
            <w:pPr>
              <w:spacing w:after="0" w:line="240" w:lineRule="auto"/>
            </w:pPr>
            <w:r>
              <w:rPr>
                <w:rFonts w:ascii="Times New Roman" w:hAnsi="Times New Roman"/>
                <w:sz w:val="16"/>
              </w:rPr>
              <w:t>şâz / âhâd / resme aykırı / tefsirî</w:t>
            </w:r>
          </w:p>
        </w:tc>
        <w:tc>
          <w:tcPr>
            <w:tcW w:type="dxa" w:w="2268"/>
            <w:vAlign w:val="top"/>
          </w:tcPr>
          <w:p>
            <w:pPr>
              <w:spacing w:after="0" w:line="240" w:lineRule="auto"/>
            </w:pPr>
            <w:r>
              <w:rPr>
                <w:rFonts w:ascii="Times New Roman" w:hAnsi="Times New Roman"/>
                <w:sz w:val="16"/>
              </w:rPr>
              <w:t>Karışıyor</w:t>
            </w:r>
          </w:p>
        </w:tc>
        <w:tc>
          <w:tcPr>
            <w:tcW w:type="dxa" w:w="2835"/>
            <w:vAlign w:val="top"/>
          </w:tcPr>
          <w:p>
            <w:pPr>
              <w:spacing w:after="0" w:line="240" w:lineRule="auto"/>
            </w:pPr>
            <w:r>
              <w:rPr>
                <w:rFonts w:ascii="Times New Roman" w:hAnsi="Times New Roman"/>
                <w:sz w:val="16"/>
              </w:rPr>
              <w:t>4.2–4.3 tek etikete kayıyor.</w:t>
            </w:r>
          </w:p>
        </w:tc>
        <w:tc>
          <w:tcPr>
            <w:tcW w:type="dxa" w:w="3402"/>
            <w:vAlign w:val="top"/>
          </w:tcPr>
          <w:p>
            <w:pPr>
              <w:spacing w:after="0" w:line="240" w:lineRule="auto"/>
            </w:pPr>
            <w:r>
              <w:rPr>
                <w:rFonts w:ascii="Times New Roman" w:hAnsi="Times New Roman"/>
                <w:sz w:val="16"/>
              </w:rPr>
              <w:t>Her rivâyette hangi ölçünün sorunlu olduğu ayrı belirtilmeli.</w:t>
            </w:r>
          </w:p>
        </w:tc>
      </w:tr>
      <w:tr>
        <w:trPr>
          <w:cantSplit/>
          <w:cantSplit/>
        </w:trPr>
        <w:tc>
          <w:tcPr>
            <w:tcW w:type="dxa" w:w="2268"/>
            <w:vAlign w:val="top"/>
          </w:tcPr>
          <w:p>
            <w:pPr>
              <w:spacing w:after="0" w:line="240" w:lineRule="auto"/>
            </w:pPr>
            <w:r>
              <w:rPr>
                <w:rFonts w:ascii="Times New Roman" w:hAnsi="Times New Roman"/>
                <w:sz w:val="16"/>
              </w:rPr>
              <w:t>tevkîfîlik / bağlayıcılık</w:t>
            </w:r>
          </w:p>
        </w:tc>
        <w:tc>
          <w:tcPr>
            <w:tcW w:type="dxa" w:w="2268"/>
            <w:vAlign w:val="top"/>
          </w:tcPr>
          <w:p>
            <w:pPr>
              <w:spacing w:after="0" w:line="240" w:lineRule="auto"/>
            </w:pPr>
            <w:r>
              <w:rPr>
                <w:rFonts w:ascii="Times New Roman" w:hAnsi="Times New Roman"/>
                <w:sz w:val="16"/>
              </w:rPr>
              <w:t>Giriş iyi</w:t>
            </w:r>
          </w:p>
        </w:tc>
        <w:tc>
          <w:tcPr>
            <w:tcW w:type="dxa" w:w="2835"/>
            <w:vAlign w:val="top"/>
          </w:tcPr>
          <w:p>
            <w:pPr>
              <w:spacing w:after="0" w:line="240" w:lineRule="auto"/>
            </w:pPr>
            <w:r>
              <w:rPr>
                <w:rFonts w:ascii="Times New Roman" w:hAnsi="Times New Roman"/>
                <w:sz w:val="16"/>
              </w:rPr>
              <w:t>1.8 sıralaması ayrımı zayıflatıyor.</w:t>
            </w:r>
          </w:p>
        </w:tc>
        <w:tc>
          <w:tcPr>
            <w:tcW w:type="dxa" w:w="3402"/>
            <w:vAlign w:val="top"/>
          </w:tcPr>
          <w:p>
            <w:pPr>
              <w:spacing w:after="0" w:line="240" w:lineRule="auto"/>
            </w:pPr>
            <w:r>
              <w:rPr>
                <w:rFonts w:ascii="Times New Roman" w:hAnsi="Times New Roman"/>
                <w:sz w:val="16"/>
              </w:rPr>
              <w:t>Önce ayrımı koy, sonra görüşleri tartış.</w:t>
            </w:r>
          </w:p>
        </w:tc>
      </w:tr>
      <w:tr>
        <w:trPr>
          <w:cantSplit/>
          <w:cantSplit/>
        </w:trPr>
        <w:tc>
          <w:tcPr>
            <w:tcW w:type="dxa" w:w="2268"/>
            <w:vAlign w:val="top"/>
          </w:tcPr>
          <w:p>
            <w:pPr>
              <w:spacing w:after="0" w:line="240" w:lineRule="auto"/>
            </w:pPr>
            <w:r>
              <w:rPr>
                <w:rFonts w:ascii="Times New Roman" w:hAnsi="Times New Roman"/>
                <w:sz w:val="16"/>
              </w:rPr>
              <w:t>suhuf / mushaf</w:t>
            </w:r>
          </w:p>
        </w:tc>
        <w:tc>
          <w:tcPr>
            <w:tcW w:type="dxa" w:w="2268"/>
            <w:vAlign w:val="top"/>
          </w:tcPr>
          <w:p>
            <w:pPr>
              <w:spacing w:after="0" w:line="240" w:lineRule="auto"/>
            </w:pPr>
            <w:r>
              <w:rPr>
                <w:rFonts w:ascii="Times New Roman" w:hAnsi="Times New Roman"/>
                <w:sz w:val="16"/>
              </w:rPr>
              <w:t>Yer yer karışıyor</w:t>
            </w:r>
          </w:p>
        </w:tc>
        <w:tc>
          <w:tcPr>
            <w:tcW w:type="dxa" w:w="2835"/>
            <w:vAlign w:val="top"/>
          </w:tcPr>
          <w:p>
            <w:pPr>
              <w:spacing w:after="0" w:line="240" w:lineRule="auto"/>
            </w:pPr>
            <w:r>
              <w:rPr>
                <w:rFonts w:ascii="Times New Roman" w:hAnsi="Times New Roman"/>
                <w:sz w:val="16"/>
              </w:rPr>
              <w:t>Hz. Hafsa’daki malzeme için bazen “mushaf”.</w:t>
            </w:r>
          </w:p>
        </w:tc>
        <w:tc>
          <w:tcPr>
            <w:tcW w:type="dxa" w:w="3402"/>
            <w:vAlign w:val="top"/>
          </w:tcPr>
          <w:p>
            <w:pPr>
              <w:spacing w:after="0" w:line="240" w:lineRule="auto"/>
            </w:pPr>
            <w:r>
              <w:rPr>
                <w:rFonts w:ascii="Times New Roman" w:hAnsi="Times New Roman"/>
                <w:sz w:val="16"/>
              </w:rPr>
              <w:t>Kaynağın terimini ve tarihsel bağlamı koru.</w:t>
            </w:r>
          </w:p>
        </w:tc>
      </w:tr>
      <w:tr>
        <w:trPr>
          <w:cantSplit/>
          <w:cantSplit/>
        </w:trPr>
        <w:tc>
          <w:tcPr>
            <w:tcW w:type="dxa" w:w="2268"/>
            <w:vAlign w:val="top"/>
          </w:tcPr>
          <w:p>
            <w:pPr>
              <w:spacing w:after="0" w:line="240" w:lineRule="auto"/>
            </w:pPr>
            <w:r>
              <w:rPr>
                <w:rFonts w:ascii="Times New Roman" w:hAnsi="Times New Roman"/>
                <w:sz w:val="16"/>
              </w:rPr>
              <w:t>tercih / tercîhî</w:t>
            </w:r>
          </w:p>
        </w:tc>
        <w:tc>
          <w:tcPr>
            <w:tcW w:type="dxa" w:w="2268"/>
            <w:vAlign w:val="top"/>
          </w:tcPr>
          <w:p>
            <w:pPr>
              <w:spacing w:after="0" w:line="240" w:lineRule="auto"/>
            </w:pPr>
            <w:r>
              <w:rPr>
                <w:rFonts w:ascii="Times New Roman" w:hAnsi="Times New Roman"/>
                <w:sz w:val="16"/>
              </w:rPr>
              <w:t>Tutarsız</w:t>
            </w:r>
          </w:p>
        </w:tc>
        <w:tc>
          <w:tcPr>
            <w:tcW w:type="dxa" w:w="2835"/>
            <w:vAlign w:val="top"/>
          </w:tcPr>
          <w:p>
            <w:pPr>
              <w:spacing w:after="0" w:line="240" w:lineRule="auto"/>
            </w:pPr>
            <w:r>
              <w:rPr>
                <w:rFonts w:ascii="Times New Roman" w:hAnsi="Times New Roman"/>
                <w:sz w:val="16"/>
              </w:rPr>
              <w:t>4.4 başlığı ve Girişte “tercîhî” isim yerine sıfat.</w:t>
            </w:r>
          </w:p>
        </w:tc>
        <w:tc>
          <w:tcPr>
            <w:tcW w:type="dxa" w:w="3402"/>
            <w:vAlign w:val="top"/>
          </w:tcPr>
          <w:p>
            <w:pPr>
              <w:spacing w:after="0" w:line="240" w:lineRule="auto"/>
            </w:pPr>
            <w:r>
              <w:rPr>
                <w:rFonts w:ascii="Times New Roman" w:hAnsi="Times New Roman"/>
                <w:sz w:val="16"/>
              </w:rPr>
              <w:t>Proje tercihi belirlenmeli; başlıkta “tercih” önerilir.</w:t>
            </w:r>
          </w:p>
        </w:tc>
      </w:tr>
      <w:tr>
        <w:trPr>
          <w:cantSplit/>
          <w:cantSplit/>
        </w:trPr>
        <w:tc>
          <w:tcPr>
            <w:tcW w:type="dxa" w:w="2268"/>
            <w:vAlign w:val="top"/>
          </w:tcPr>
          <w:p>
            <w:pPr>
              <w:spacing w:after="0" w:line="240" w:lineRule="auto"/>
            </w:pPr>
            <w:r>
              <w:rPr>
                <w:rFonts w:ascii="Times New Roman" w:hAnsi="Times New Roman"/>
                <w:sz w:val="16"/>
              </w:rPr>
              <w:t>Kur’an / Kur’ân</w:t>
            </w:r>
          </w:p>
        </w:tc>
        <w:tc>
          <w:tcPr>
            <w:tcW w:type="dxa" w:w="2268"/>
            <w:vAlign w:val="top"/>
          </w:tcPr>
          <w:p>
            <w:pPr>
              <w:spacing w:after="0" w:line="240" w:lineRule="auto"/>
            </w:pPr>
            <w:r>
              <w:rPr>
                <w:rFonts w:ascii="Times New Roman" w:hAnsi="Times New Roman"/>
                <w:sz w:val="16"/>
              </w:rPr>
              <w:t>Ana metinde büyük ölçüde düzeltilmiş</w:t>
            </w:r>
          </w:p>
        </w:tc>
        <w:tc>
          <w:tcPr>
            <w:tcW w:type="dxa" w:w="2835"/>
            <w:vAlign w:val="top"/>
          </w:tcPr>
          <w:p>
            <w:pPr>
              <w:spacing w:after="0" w:line="240" w:lineRule="auto"/>
            </w:pPr>
            <w:r>
              <w:rPr>
                <w:rFonts w:ascii="Times New Roman" w:hAnsi="Times New Roman"/>
                <w:sz w:val="16"/>
              </w:rPr>
              <w:t>8 “Kur’ân” + bir düz apostroflu “Kur'an” kaçağı.</w:t>
            </w:r>
          </w:p>
        </w:tc>
        <w:tc>
          <w:tcPr>
            <w:tcW w:type="dxa" w:w="3402"/>
            <w:vAlign w:val="top"/>
          </w:tcPr>
          <w:p>
            <w:pPr>
              <w:spacing w:after="0" w:line="240" w:lineRule="auto"/>
            </w:pPr>
            <w:r>
              <w:rPr>
                <w:rFonts w:ascii="Times New Roman" w:hAnsi="Times New Roman"/>
                <w:sz w:val="16"/>
              </w:rPr>
              <w:t>Ana metin Kur’an; eser adı/doğrudan alıntı özgün başlığı korur.</w:t>
            </w:r>
          </w:p>
        </w:tc>
      </w:tr>
      <w:tr>
        <w:trPr>
          <w:cantSplit/>
          <w:cantSplit/>
        </w:trPr>
        <w:tc>
          <w:tcPr>
            <w:tcW w:type="dxa" w:w="2268"/>
            <w:vAlign w:val="top"/>
          </w:tcPr>
          <w:p>
            <w:pPr>
              <w:spacing w:after="0" w:line="240" w:lineRule="auto"/>
            </w:pPr>
            <w:r>
              <w:rPr>
                <w:rFonts w:ascii="Times New Roman" w:hAnsi="Times New Roman"/>
                <w:sz w:val="16"/>
              </w:rPr>
              <w:t>İmam Mushaf / İmam mushaf</w:t>
            </w:r>
          </w:p>
        </w:tc>
        <w:tc>
          <w:tcPr>
            <w:tcW w:type="dxa" w:w="2268"/>
            <w:vAlign w:val="top"/>
          </w:tcPr>
          <w:p>
            <w:pPr>
              <w:spacing w:after="0" w:line="240" w:lineRule="auto"/>
            </w:pPr>
            <w:r>
              <w:rPr>
                <w:rFonts w:ascii="Times New Roman" w:hAnsi="Times New Roman"/>
                <w:sz w:val="16"/>
              </w:rPr>
              <w:t>Büyük-küçük harf değişiyor</w:t>
            </w:r>
          </w:p>
        </w:tc>
        <w:tc>
          <w:tcPr>
            <w:tcW w:type="dxa" w:w="2835"/>
            <w:vAlign w:val="top"/>
          </w:tcPr>
          <w:p>
            <w:pPr>
              <w:spacing w:after="0" w:line="240" w:lineRule="auto"/>
            </w:pPr>
            <w:r>
              <w:rPr>
                <w:rFonts w:ascii="Times New Roman" w:hAnsi="Times New Roman"/>
                <w:sz w:val="16"/>
              </w:rPr>
              <w:t>Özel tarihsel adlandırma tutarsız.</w:t>
            </w:r>
          </w:p>
        </w:tc>
        <w:tc>
          <w:tcPr>
            <w:tcW w:type="dxa" w:w="3402"/>
            <w:vAlign w:val="top"/>
          </w:tcPr>
          <w:p>
            <w:pPr>
              <w:spacing w:after="0" w:line="240" w:lineRule="auto"/>
            </w:pPr>
            <w:r>
              <w:rPr>
                <w:rFonts w:ascii="Times New Roman" w:hAnsi="Times New Roman"/>
                <w:sz w:val="16"/>
              </w:rPr>
              <w:t>Ev stili seçilip tüm metne uygulanmalı.</w:t>
            </w:r>
          </w:p>
        </w:tc>
      </w:tr>
    </w:tbl>
    <w:p>
      <w:pPr>
        <w:pStyle w:val="Compact"/>
      </w:pPr>
    </w:p>
    <w:p>
      <w:pPr>
        <w:pStyle w:val="Heading2"/>
        <w:keepNext/>
        <w:keepLines/>
      </w:pPr>
      <w:r>
        <w:t>13. Kaynak ve İddia Uyumu</w:t>
      </w:r>
    </w:p>
    <w:p>
      <w:pPr/>
      <w:r>
        <w:t>Bu aşamada proje dışı kaynak kullanılmadı. Bu nedenle aşağıdaki maddeler “atıf var mı?” denetiminden daha ileri bir kaynak–iddia kontrol listesi olarak işaretlenmiştir. Dipnotun varlığı, cümlenin bütün yorum katmanlarını otomatik olarak doğrulamaz.</w:t>
      </w:r>
    </w:p>
    <w:tbl>
      <w:tblPr>
        <w:tblStyle w:val="TableGrid"/>
        <w:tblW w:type="auto" w:w="0"/>
        <w:jc w:val="center"/>
        <w:tblLook w:firstColumn="1" w:firstRow="1" w:lastColumn="0" w:lastRow="0" w:noHBand="0" w:noVBand="1" w:val="04A0"/>
      </w:tblPr>
      <w:tblGrid>
        <w:gridCol w:w="3230"/>
        <w:gridCol w:w="3230"/>
        <w:gridCol w:w="3230"/>
      </w:tblGrid>
      <w:tr>
        <w:trPr>
          <w:cantSplit/>
          <w:cantSplit/>
        </w:trPr>
        <w:tc>
          <w:tcPr>
            <w:tcW w:type="dxa" w:w="3402"/>
            <w:shd w:fill="D9E2F3"/>
            <w:vAlign w:val="center"/>
          </w:tcPr>
          <w:p>
            <w:r>
              <w:rPr>
                <w:rFonts w:ascii="Times New Roman" w:hAnsi="Times New Roman"/>
                <w:b/>
                <w:sz w:val="16"/>
              </w:rPr>
              <w:t>Riskli iddia kümesi</w:t>
            </w:r>
          </w:p>
        </w:tc>
        <w:tc>
          <w:tcPr>
            <w:tcW w:type="dxa" w:w="2835"/>
            <w:shd w:fill="D9E2F3"/>
            <w:vAlign w:val="center"/>
          </w:tcPr>
          <w:p>
            <w:r>
              <w:rPr>
                <w:rFonts w:ascii="Times New Roman" w:hAnsi="Times New Roman"/>
                <w:b/>
                <w:sz w:val="16"/>
              </w:rPr>
              <w:t>Sorun türü</w:t>
            </w:r>
          </w:p>
        </w:tc>
        <w:tc>
          <w:tcPr>
            <w:tcW w:type="dxa" w:w="4535"/>
            <w:shd w:fill="D9E2F3"/>
            <w:vAlign w:val="center"/>
          </w:tcPr>
          <w:p>
            <w:r>
              <w:rPr>
                <w:rFonts w:ascii="Times New Roman" w:hAnsi="Times New Roman"/>
                <w:b/>
                <w:sz w:val="16"/>
              </w:rPr>
              <w:t>İşlem</w:t>
            </w:r>
          </w:p>
        </w:tc>
      </w:tr>
      <w:tr>
        <w:trPr>
          <w:cantSplit/>
          <w:cantSplit/>
        </w:trPr>
        <w:tc>
          <w:tcPr>
            <w:tcW w:type="dxa" w:w="3402"/>
            <w:vAlign w:val="top"/>
          </w:tcPr>
          <w:p>
            <w:pPr>
              <w:spacing w:after="0" w:line="240" w:lineRule="auto"/>
            </w:pPr>
            <w:r>
              <w:rPr>
                <w:rFonts w:ascii="Times New Roman" w:hAnsi="Times New Roman"/>
                <w:sz w:val="16"/>
              </w:rPr>
              <w:t>Mekkî vahyin kapsamı</w:t>
            </w:r>
          </w:p>
        </w:tc>
        <w:tc>
          <w:tcPr>
            <w:tcW w:type="dxa" w:w="2835"/>
            <w:vAlign w:val="top"/>
          </w:tcPr>
          <w:p>
            <w:pPr>
              <w:spacing w:after="0" w:line="240" w:lineRule="auto"/>
            </w:pPr>
            <w:r>
              <w:rPr>
                <w:rFonts w:ascii="Times New Roman" w:hAnsi="Times New Roman"/>
                <w:sz w:val="16"/>
              </w:rPr>
              <w:t>Eski sürümde aşırı kesinlik; güncel metinde düzeltilmiş</w:t>
            </w:r>
          </w:p>
        </w:tc>
        <w:tc>
          <w:tcPr>
            <w:tcW w:type="dxa" w:w="4535"/>
            <w:vAlign w:val="top"/>
          </w:tcPr>
          <w:p>
            <w:pPr>
              <w:spacing w:after="0" w:line="240" w:lineRule="auto"/>
            </w:pPr>
            <w:r>
              <w:rPr>
                <w:rFonts w:ascii="Times New Roman" w:hAnsi="Times New Roman"/>
                <w:sz w:val="16"/>
              </w:rPr>
              <w:t>Mevcut ihtiyatlı form korunmalı.</w:t>
            </w:r>
          </w:p>
        </w:tc>
      </w:tr>
      <w:tr>
        <w:trPr>
          <w:cantSplit/>
          <w:cantSplit/>
        </w:trPr>
        <w:tc>
          <w:tcPr>
            <w:tcW w:type="dxa" w:w="3402"/>
            <w:vAlign w:val="top"/>
          </w:tcPr>
          <w:p>
            <w:pPr>
              <w:spacing w:after="0" w:line="240" w:lineRule="auto"/>
            </w:pPr>
            <w:r>
              <w:rPr>
                <w:rFonts w:ascii="Times New Roman" w:hAnsi="Times New Roman"/>
                <w:sz w:val="16"/>
              </w:rPr>
              <w:t>Ebû Bekir suhufu = yedi harfin tamamı</w:t>
            </w:r>
          </w:p>
        </w:tc>
        <w:tc>
          <w:tcPr>
            <w:tcW w:type="dxa" w:w="2835"/>
            <w:vAlign w:val="top"/>
          </w:tcPr>
          <w:p>
            <w:pPr>
              <w:spacing w:after="0" w:line="240" w:lineRule="auto"/>
            </w:pPr>
            <w:r>
              <w:rPr>
                <w:rFonts w:ascii="Times New Roman" w:hAnsi="Times New Roman"/>
                <w:sz w:val="16"/>
              </w:rPr>
              <w:t>İhtilaflı görüş tarihsel olguya dönüşüyor</w:t>
            </w:r>
          </w:p>
        </w:tc>
        <w:tc>
          <w:tcPr>
            <w:tcW w:type="dxa" w:w="4535"/>
            <w:vAlign w:val="top"/>
          </w:tcPr>
          <w:p>
            <w:pPr>
              <w:spacing w:after="0" w:line="240" w:lineRule="auto"/>
            </w:pPr>
            <w:r>
              <w:rPr>
                <w:rFonts w:ascii="Times New Roman" w:hAnsi="Times New Roman"/>
                <w:sz w:val="16"/>
              </w:rPr>
              <w:t>Görüş sahibine nispet et; alternatif açıklamayı an.</w:t>
            </w:r>
          </w:p>
        </w:tc>
      </w:tr>
      <w:tr>
        <w:trPr>
          <w:cantSplit/>
          <w:cantSplit/>
        </w:trPr>
        <w:tc>
          <w:tcPr>
            <w:tcW w:type="dxa" w:w="3402"/>
            <w:vAlign w:val="top"/>
          </w:tcPr>
          <w:p>
            <w:pPr>
              <w:spacing w:after="0" w:line="240" w:lineRule="auto"/>
            </w:pPr>
            <w:r>
              <w:rPr>
                <w:rFonts w:ascii="Times New Roman" w:hAnsi="Times New Roman"/>
                <w:sz w:val="16"/>
              </w:rPr>
              <w:t>Mervân’ın imha gerekçesi = yedi harf/arza-i âhire</w:t>
            </w:r>
          </w:p>
        </w:tc>
        <w:tc>
          <w:tcPr>
            <w:tcW w:type="dxa" w:w="2835"/>
            <w:vAlign w:val="top"/>
          </w:tcPr>
          <w:p>
            <w:pPr>
              <w:spacing w:after="0" w:line="240" w:lineRule="auto"/>
            </w:pPr>
            <w:r>
              <w:rPr>
                <w:rFonts w:ascii="Times New Roman" w:hAnsi="Times New Roman"/>
                <w:sz w:val="16"/>
              </w:rPr>
              <w:t>Kaynak sözü ile yazarın çıkarımı karışıyor</w:t>
            </w:r>
          </w:p>
        </w:tc>
        <w:tc>
          <w:tcPr>
            <w:tcW w:type="dxa" w:w="4535"/>
            <w:vAlign w:val="top"/>
          </w:tcPr>
          <w:p>
            <w:pPr>
              <w:spacing w:after="0" w:line="240" w:lineRule="auto"/>
            </w:pPr>
            <w:r>
              <w:rPr>
                <w:rFonts w:ascii="Times New Roman" w:hAnsi="Times New Roman"/>
                <w:sz w:val="16"/>
              </w:rPr>
              <w:t>Mervân’ın kendi gerekçesini ayrı, sonraki yorumu ayrı ver.</w:t>
            </w:r>
          </w:p>
        </w:tc>
      </w:tr>
      <w:tr>
        <w:trPr>
          <w:cantSplit/>
          <w:cantSplit/>
        </w:trPr>
        <w:tc>
          <w:tcPr>
            <w:tcW w:type="dxa" w:w="3402"/>
            <w:vAlign w:val="top"/>
          </w:tcPr>
          <w:p>
            <w:pPr>
              <w:spacing w:after="0" w:line="240" w:lineRule="auto"/>
            </w:pPr>
            <w:r>
              <w:rPr>
                <w:rFonts w:ascii="Times New Roman" w:hAnsi="Times New Roman"/>
                <w:sz w:val="16"/>
              </w:rPr>
              <w:t>Osmânî istinsah doğrudan arza-i âhireyi esas aldı</w:t>
            </w:r>
          </w:p>
        </w:tc>
        <w:tc>
          <w:tcPr>
            <w:tcW w:type="dxa" w:w="2835"/>
            <w:vAlign w:val="top"/>
          </w:tcPr>
          <w:p>
            <w:pPr>
              <w:spacing w:after="0" w:line="240" w:lineRule="auto"/>
            </w:pPr>
            <w:r>
              <w:rPr>
                <w:rFonts w:ascii="Times New Roman" w:hAnsi="Times New Roman"/>
                <w:sz w:val="16"/>
              </w:rPr>
              <w:t>Mekanizma kesinleştiriliyor</w:t>
            </w:r>
          </w:p>
        </w:tc>
        <w:tc>
          <w:tcPr>
            <w:tcW w:type="dxa" w:w="4535"/>
            <w:vAlign w:val="top"/>
          </w:tcPr>
          <w:p>
            <w:pPr>
              <w:spacing w:after="0" w:line="240" w:lineRule="auto"/>
            </w:pPr>
            <w:r>
              <w:rPr>
                <w:rFonts w:ascii="Times New Roman" w:hAnsi="Times New Roman"/>
                <w:sz w:val="16"/>
              </w:rPr>
              <w:t>“Bazı klasik kaynaklarda...” formuna geçir.</w:t>
            </w:r>
          </w:p>
        </w:tc>
      </w:tr>
      <w:tr>
        <w:trPr>
          <w:cantSplit/>
          <w:cantSplit/>
        </w:trPr>
        <w:tc>
          <w:tcPr>
            <w:tcW w:type="dxa" w:w="3402"/>
            <w:vAlign w:val="top"/>
          </w:tcPr>
          <w:p>
            <w:pPr>
              <w:spacing w:after="0" w:line="240" w:lineRule="auto"/>
            </w:pPr>
            <w:r>
              <w:rPr>
                <w:rFonts w:ascii="Times New Roman" w:hAnsi="Times New Roman"/>
                <w:sz w:val="16"/>
              </w:rPr>
              <w:t>Altı mushaf modern araştırmacıların ortak görüşüdür</w:t>
            </w:r>
          </w:p>
        </w:tc>
        <w:tc>
          <w:tcPr>
            <w:tcW w:type="dxa" w:w="2835"/>
            <w:vAlign w:val="top"/>
          </w:tcPr>
          <w:p>
            <w:pPr>
              <w:spacing w:after="0" w:line="240" w:lineRule="auto"/>
            </w:pPr>
            <w:r>
              <w:rPr>
                <w:rFonts w:ascii="Times New Roman" w:hAnsi="Times New Roman"/>
                <w:sz w:val="16"/>
              </w:rPr>
              <w:t>Toplu nispet</w:t>
            </w:r>
          </w:p>
        </w:tc>
        <w:tc>
          <w:tcPr>
            <w:tcW w:type="dxa" w:w="4535"/>
            <w:vAlign w:val="top"/>
          </w:tcPr>
          <w:p>
            <w:pPr>
              <w:spacing w:after="0" w:line="240" w:lineRule="auto"/>
            </w:pPr>
            <w:r>
              <w:rPr>
                <w:rFonts w:ascii="Times New Roman" w:hAnsi="Times New Roman"/>
                <w:sz w:val="16"/>
              </w:rPr>
              <w:t>Her araştırmacının açık sonucunu tek tek doğrula.</w:t>
            </w:r>
          </w:p>
        </w:tc>
      </w:tr>
      <w:tr>
        <w:trPr>
          <w:cantSplit/>
          <w:cantSplit/>
        </w:trPr>
        <w:tc>
          <w:tcPr>
            <w:tcW w:type="dxa" w:w="3402"/>
            <w:vAlign w:val="top"/>
          </w:tcPr>
          <w:p>
            <w:pPr>
              <w:spacing w:after="0" w:line="240" w:lineRule="auto"/>
            </w:pPr>
            <w:r>
              <w:rPr>
                <w:rFonts w:ascii="Times New Roman" w:hAnsi="Times New Roman"/>
                <w:sz w:val="16"/>
              </w:rPr>
              <w:t>Motzki/Sinai/Déroche kitabın tezini doğrudan doğrular</w:t>
            </w:r>
          </w:p>
        </w:tc>
        <w:tc>
          <w:tcPr>
            <w:tcW w:type="dxa" w:w="2835"/>
            <w:vAlign w:val="top"/>
          </w:tcPr>
          <w:p>
            <w:pPr>
              <w:spacing w:after="0" w:line="240" w:lineRule="auto"/>
            </w:pPr>
            <w:r>
              <w:rPr>
                <w:rFonts w:ascii="Times New Roman" w:hAnsi="Times New Roman"/>
                <w:sz w:val="16"/>
              </w:rPr>
              <w:t>Modern kaynak sonucunu genişletme riski</w:t>
            </w:r>
          </w:p>
        </w:tc>
        <w:tc>
          <w:tcPr>
            <w:tcW w:type="dxa" w:w="4535"/>
            <w:vAlign w:val="top"/>
          </w:tcPr>
          <w:p>
            <w:pPr>
              <w:spacing w:after="0" w:line="240" w:lineRule="auto"/>
            </w:pPr>
            <w:r>
              <w:rPr>
                <w:rFonts w:ascii="Times New Roman" w:hAnsi="Times New Roman"/>
                <w:sz w:val="16"/>
              </w:rPr>
              <w:t>Kaynağın söylediği ile yazar sentezini iki ayrı cümle yap.</w:t>
            </w:r>
          </w:p>
        </w:tc>
      </w:tr>
      <w:tr>
        <w:trPr>
          <w:cantSplit/>
          <w:cantSplit/>
        </w:trPr>
        <w:tc>
          <w:tcPr>
            <w:tcW w:type="dxa" w:w="3402"/>
            <w:vAlign w:val="top"/>
          </w:tcPr>
          <w:p>
            <w:pPr>
              <w:spacing w:after="0" w:line="240" w:lineRule="auto"/>
            </w:pPr>
            <w:r>
              <w:rPr>
                <w:rFonts w:ascii="Times New Roman" w:hAnsi="Times New Roman"/>
                <w:sz w:val="16"/>
              </w:rPr>
              <w:t>Resm çoklu kırâatleri korumak amacıyla tasarlandı</w:t>
            </w:r>
          </w:p>
        </w:tc>
        <w:tc>
          <w:tcPr>
            <w:tcW w:type="dxa" w:w="2835"/>
            <w:vAlign w:val="top"/>
          </w:tcPr>
          <w:p>
            <w:pPr>
              <w:spacing w:after="0" w:line="240" w:lineRule="auto"/>
            </w:pPr>
            <w:r>
              <w:rPr>
                <w:rFonts w:ascii="Times New Roman" w:hAnsi="Times New Roman"/>
                <w:sz w:val="16"/>
              </w:rPr>
              <w:t>Tarihsel niyet atfı</w:t>
            </w:r>
          </w:p>
        </w:tc>
        <w:tc>
          <w:tcPr>
            <w:tcW w:type="dxa" w:w="4535"/>
            <w:vAlign w:val="top"/>
          </w:tcPr>
          <w:p>
            <w:pPr>
              <w:spacing w:after="0" w:line="240" w:lineRule="auto"/>
            </w:pPr>
            <w:r>
              <w:rPr>
                <w:rFonts w:ascii="Times New Roman" w:hAnsi="Times New Roman"/>
                <w:sz w:val="16"/>
              </w:rPr>
              <w:t>Gözlenen bağdaşabilirlik ile tasarım amacı ayrılmalı.</w:t>
            </w:r>
          </w:p>
        </w:tc>
      </w:tr>
      <w:tr>
        <w:trPr>
          <w:cantSplit/>
          <w:cantSplit/>
        </w:trPr>
        <w:tc>
          <w:tcPr>
            <w:tcW w:type="dxa" w:w="3402"/>
            <w:vAlign w:val="top"/>
          </w:tcPr>
          <w:p>
            <w:pPr>
              <w:spacing w:after="0" w:line="240" w:lineRule="auto"/>
            </w:pPr>
            <w:r>
              <w:rPr>
                <w:rFonts w:ascii="Times New Roman" w:hAnsi="Times New Roman"/>
                <w:sz w:val="16"/>
              </w:rPr>
              <w:t>Hikmet/i‘câz yorumları</w:t>
            </w:r>
          </w:p>
        </w:tc>
        <w:tc>
          <w:tcPr>
            <w:tcW w:type="dxa" w:w="2835"/>
            <w:vAlign w:val="top"/>
          </w:tcPr>
          <w:p>
            <w:pPr>
              <w:spacing w:after="0" w:line="240" w:lineRule="auto"/>
            </w:pPr>
            <w:r>
              <w:rPr>
                <w:rFonts w:ascii="Times New Roman" w:hAnsi="Times New Roman"/>
                <w:sz w:val="16"/>
              </w:rPr>
              <w:t>Klasik yorum tarihsel açıklamaya dönüşüyor</w:t>
            </w:r>
          </w:p>
        </w:tc>
        <w:tc>
          <w:tcPr>
            <w:tcW w:type="dxa" w:w="4535"/>
            <w:vAlign w:val="top"/>
          </w:tcPr>
          <w:p>
            <w:pPr>
              <w:spacing w:after="0" w:line="240" w:lineRule="auto"/>
            </w:pPr>
            <w:r>
              <w:rPr>
                <w:rFonts w:ascii="Times New Roman" w:hAnsi="Times New Roman"/>
                <w:sz w:val="16"/>
              </w:rPr>
              <w:t>Müellif adı + “yorumlamıştır”; sonra delil sınırı.</w:t>
            </w:r>
          </w:p>
        </w:tc>
      </w:tr>
      <w:tr>
        <w:trPr>
          <w:cantSplit/>
          <w:cantSplit/>
        </w:trPr>
        <w:tc>
          <w:tcPr>
            <w:tcW w:type="dxa" w:w="3402"/>
            <w:vAlign w:val="top"/>
          </w:tcPr>
          <w:p>
            <w:pPr>
              <w:spacing w:after="0" w:line="240" w:lineRule="auto"/>
            </w:pPr>
            <w:r>
              <w:rPr>
                <w:rFonts w:ascii="Times New Roman" w:hAnsi="Times New Roman"/>
                <w:sz w:val="16"/>
              </w:rPr>
              <w:t>İbn Mes‘ûd’un kırgınlığı</w:t>
            </w:r>
          </w:p>
        </w:tc>
        <w:tc>
          <w:tcPr>
            <w:tcW w:type="dxa" w:w="2835"/>
            <w:vAlign w:val="top"/>
          </w:tcPr>
          <w:p>
            <w:pPr>
              <w:spacing w:after="0" w:line="240" w:lineRule="auto"/>
            </w:pPr>
            <w:r>
              <w:rPr>
                <w:rFonts w:ascii="Times New Roman" w:hAnsi="Times New Roman"/>
                <w:sz w:val="16"/>
              </w:rPr>
              <w:t>Psikoloji atfı</w:t>
            </w:r>
          </w:p>
        </w:tc>
        <w:tc>
          <w:tcPr>
            <w:tcW w:type="dxa" w:w="4535"/>
            <w:vAlign w:val="top"/>
          </w:tcPr>
          <w:p>
            <w:pPr>
              <w:spacing w:after="0" w:line="240" w:lineRule="auto"/>
            </w:pPr>
            <w:r>
              <w:rPr>
                <w:rFonts w:ascii="Times New Roman" w:hAnsi="Times New Roman"/>
                <w:sz w:val="16"/>
              </w:rPr>
              <w:t>Kaynak açık değilse çıkar.</w:t>
            </w:r>
          </w:p>
        </w:tc>
      </w:tr>
      <w:tr>
        <w:trPr>
          <w:cantSplit/>
          <w:cantSplit/>
        </w:trPr>
        <w:tc>
          <w:tcPr>
            <w:tcW w:type="dxa" w:w="3402"/>
            <w:vAlign w:val="top"/>
          </w:tcPr>
          <w:p>
            <w:pPr>
              <w:spacing w:after="0" w:line="240" w:lineRule="auto"/>
            </w:pPr>
            <w:r>
              <w:rPr>
                <w:rFonts w:ascii="Times New Roman" w:hAnsi="Times New Roman"/>
                <w:sz w:val="16"/>
              </w:rPr>
              <w:t>İbn Şenebûz hadisesi</w:t>
            </w:r>
          </w:p>
        </w:tc>
        <w:tc>
          <w:tcPr>
            <w:tcW w:type="dxa" w:w="2835"/>
            <w:vAlign w:val="top"/>
          </w:tcPr>
          <w:p>
            <w:pPr>
              <w:spacing w:after="0" w:line="240" w:lineRule="auto"/>
            </w:pPr>
            <w:r>
              <w:rPr>
                <w:rFonts w:ascii="Times New Roman" w:hAnsi="Times New Roman"/>
                <w:sz w:val="16"/>
              </w:rPr>
              <w:t>Karmaşık tarihsel vaka tek ölçüye indirgeniyor</w:t>
            </w:r>
          </w:p>
        </w:tc>
        <w:tc>
          <w:tcPr>
            <w:tcW w:type="dxa" w:w="4535"/>
            <w:vAlign w:val="top"/>
          </w:tcPr>
          <w:p>
            <w:pPr>
              <w:spacing w:after="0" w:line="240" w:lineRule="auto"/>
            </w:pPr>
            <w:r>
              <w:rPr>
                <w:rFonts w:ascii="Times New Roman" w:hAnsi="Times New Roman"/>
                <w:sz w:val="16"/>
              </w:rPr>
              <w:t>Vaka kaynaklarını ve gerekçeleri ayrı doğrula.</w:t>
            </w:r>
          </w:p>
        </w:tc>
      </w:tr>
      <w:tr>
        <w:trPr>
          <w:cantSplit/>
          <w:cantSplit/>
        </w:trPr>
        <w:tc>
          <w:tcPr>
            <w:tcW w:type="dxa" w:w="3402"/>
            <w:vAlign w:val="top"/>
          </w:tcPr>
          <w:p>
            <w:pPr>
              <w:spacing w:after="0" w:line="240" w:lineRule="auto"/>
            </w:pPr>
            <w:r>
              <w:rPr>
                <w:rFonts w:ascii="Times New Roman" w:hAnsi="Times New Roman"/>
                <w:sz w:val="16"/>
              </w:rPr>
              <w:t>İsrail/Afrika tahrif edilmiş mushaf anlatısı</w:t>
            </w:r>
          </w:p>
        </w:tc>
        <w:tc>
          <w:tcPr>
            <w:tcW w:type="dxa" w:w="2835"/>
            <w:vAlign w:val="top"/>
          </w:tcPr>
          <w:p>
            <w:pPr>
              <w:spacing w:after="0" w:line="240" w:lineRule="auto"/>
            </w:pPr>
            <w:r>
              <w:rPr>
                <w:rFonts w:ascii="Times New Roman" w:hAnsi="Times New Roman"/>
                <w:sz w:val="16"/>
              </w:rPr>
              <w:t>Sansasyonel, sayı ve niyet atfı</w:t>
            </w:r>
          </w:p>
        </w:tc>
        <w:tc>
          <w:tcPr>
            <w:tcW w:type="dxa" w:w="4535"/>
            <w:vAlign w:val="top"/>
          </w:tcPr>
          <w:p>
            <w:pPr>
              <w:spacing w:after="0" w:line="240" w:lineRule="auto"/>
            </w:pPr>
            <w:r>
              <w:rPr>
                <w:rFonts w:ascii="Times New Roman" w:hAnsi="Times New Roman"/>
                <w:sz w:val="16"/>
              </w:rPr>
              <w:t>Kaynak doğrulanmazsa çıkar; doğrulansa bile modern imlâ argümanına nedensel kanıt yapma.</w:t>
            </w:r>
          </w:p>
        </w:tc>
      </w:tr>
      <w:tr>
        <w:trPr>
          <w:cantSplit/>
          <w:cantSplit/>
        </w:trPr>
        <w:tc>
          <w:tcPr>
            <w:tcW w:type="dxa" w:w="3402"/>
            <w:vAlign w:val="top"/>
          </w:tcPr>
          <w:p>
            <w:pPr>
              <w:spacing w:after="0" w:line="240" w:lineRule="auto"/>
            </w:pPr>
            <w:r>
              <w:rPr>
                <w:rFonts w:ascii="Times New Roman" w:hAnsi="Times New Roman"/>
                <w:sz w:val="16"/>
              </w:rPr>
              <w:t>Matbu mushaf kronolojisi</w:t>
            </w:r>
          </w:p>
        </w:tc>
        <w:tc>
          <w:tcPr>
            <w:tcW w:type="dxa" w:w="2835"/>
            <w:vAlign w:val="top"/>
          </w:tcPr>
          <w:p>
            <w:pPr>
              <w:spacing w:after="0" w:line="240" w:lineRule="auto"/>
            </w:pPr>
            <w:r>
              <w:rPr>
                <w:rFonts w:ascii="Times New Roman" w:hAnsi="Times New Roman"/>
                <w:sz w:val="16"/>
              </w:rPr>
              <w:t>“ilk”, tarih, kurum, kişi ayrıntıları</w:t>
            </w:r>
          </w:p>
        </w:tc>
        <w:tc>
          <w:tcPr>
            <w:tcW w:type="dxa" w:w="4535"/>
            <w:vAlign w:val="top"/>
          </w:tcPr>
          <w:p>
            <w:pPr>
              <w:spacing w:after="0" w:line="240" w:lineRule="auto"/>
            </w:pPr>
            <w:r>
              <w:rPr>
                <w:rFonts w:ascii="Times New Roman" w:hAnsi="Times New Roman"/>
                <w:sz w:val="16"/>
              </w:rPr>
              <w:t>Her tarih ve kurum adını proje kaynaklarından doğrula.</w:t>
            </w:r>
          </w:p>
        </w:tc>
      </w:tr>
    </w:tbl>
    <w:p>
      <w:pPr>
        <w:pStyle w:val="Compact"/>
      </w:pPr>
    </w:p>
    <w:p>
      <w:pPr>
        <w:pStyle w:val="Heading2"/>
        <w:keepNext/>
        <w:keepLines/>
      </w:pPr>
      <w:r>
        <w:t>14. Dipnot ve İSNAD 2</w:t>
      </w:r>
    </w:p>
    <w:p>
      <w:pPr/>
      <w:r>
        <w:t>Dosyada 469 numaralı Word dipnotu vardır. Zotero alanlarının aktif oluşu çalışma dosyası bakımından yararlıdır; ancak ilk/takip eden kullanım düzeni ve proje ev stili otomatik veri girişindeki farklılıklar nedeniyle tam tekdüze değildir.</w:t>
      </w:r>
    </w:p>
    <w:p>
      <w:pPr>
        <w:pStyle w:val="Heading3"/>
        <w:keepNext/>
        <w:keepLines/>
      </w:pPr>
      <w:r>
        <w:t>İSN-01. Aynı eser bazı yerlerde yeniden tam künye ile veriliyor</w:t>
      </w:r>
    </w:p>
    <w:p>
      <w:pPr/>
      <w:r>
        <w:rPr>
          <w:b/>
        </w:rPr>
        <w:t xml:space="preserve">Kategori: </w:t>
      </w:r>
      <w:r>
        <w:t>Dipnot / İSNAD 2</w:t>
      </w:r>
    </w:p>
    <w:p>
      <w:pPr/>
      <w:r>
        <w:rPr>
          <w:b/>
        </w:rPr>
        <w:t xml:space="preserve">Önem düzeyi: </w:t>
      </w:r>
      <w:r>
        <w:t>Yüksek</w:t>
      </w:r>
    </w:p>
    <w:p>
      <w:pPr/>
      <w:r>
        <w:rPr>
          <w:b/>
        </w:rPr>
        <w:t xml:space="preserve">Yer: </w:t>
      </w:r>
      <w:r>
        <w:t>Dipnotların geneli</w:t>
      </w:r>
    </w:p>
    <w:p>
      <w:pPr>
        <w:pStyle w:val="IssueQuote"/>
      </w:pPr>
      <w:r>
        <w:t>“Örnek: Subhî es-Sâlih’in aynı baskısı farklı dipnotlarda yeniden tam künye ile yer almaktadır.”</w:t>
      </w:r>
    </w:p>
    <w:p>
      <w:pPr/>
      <w:r>
        <w:rPr>
          <w:b/>
        </w:rPr>
        <w:t xml:space="preserve">Sorun: </w:t>
      </w:r>
      <w:r>
        <w:t>İSNAD 2 dipnotlu sistemde kitap genelinde ilk kullanım tam, sonraki kullanımlar kısa olmalıdır; bölüm başında sistemi sıfırlama yapılacaksa bu da bütün bölümlerde aynı yöntemle uygulanmalıdır.</w:t>
      </w:r>
    </w:p>
    <w:p>
      <w:pPr/>
      <w:r>
        <w:rPr>
          <w:b/>
        </w:rPr>
        <w:t xml:space="preserve">Önerilen düzeltme: </w:t>
      </w:r>
      <w:r>
        <w:t>Yayınevi başka bir yöntem istemiyorsa kitap genelinde ilk kullanımda tam künye, sonraki kullanımlarda “Müellif, Kısa Eser Adı, cilt/sayfa” düzeni uygulanmalıdır.</w:t>
      </w:r>
    </w:p>
    <w:p>
      <w:pPr>
        <w:pStyle w:val="Heading3"/>
        <w:keepNext/>
        <w:keepLines/>
      </w:pPr>
      <w:r>
        <w:t>İSN-02. Aynı dipnot içindeki kaynak ayraçları tek biçimde değil</w:t>
      </w:r>
    </w:p>
    <w:p>
      <w:pPr/>
      <w:r>
        <w:rPr>
          <w:b/>
        </w:rPr>
        <w:t xml:space="preserve">Kategori: </w:t>
      </w:r>
      <w:r>
        <w:t>Dipnot / İSNAD 2</w:t>
      </w:r>
    </w:p>
    <w:p>
      <w:pPr/>
      <w:r>
        <w:rPr>
          <w:b/>
        </w:rPr>
        <w:t xml:space="preserve">Önem düzeyi: </w:t>
      </w:r>
      <w:r>
        <w:t>Orta</w:t>
      </w:r>
    </w:p>
    <w:p>
      <w:pPr/>
      <w:r>
        <w:rPr>
          <w:b/>
        </w:rPr>
        <w:t xml:space="preserve">Yer: </w:t>
      </w:r>
      <w:r>
        <w:t>Dipnotların geneli</w:t>
      </w:r>
    </w:p>
    <w:p>
      <w:pPr>
        <w:pStyle w:val="IssueQuote"/>
      </w:pPr>
      <w:r>
        <w:t>“Bazı dipnotlarda iki kaynak nokta ile, bazılarında noktalı virgülle ayrılmaktadır.”</w:t>
      </w:r>
    </w:p>
    <w:p>
      <w:pPr/>
      <w:r>
        <w:rPr>
          <w:b/>
        </w:rPr>
        <w:t xml:space="preserve">Sorun: </w:t>
      </w:r>
      <w:r>
        <w:t>Bir dipnot içindeki ayrı kaynak künyelerinin noktalı virgülle ayrılması sınırı daha açık gösterir.</w:t>
      </w:r>
    </w:p>
    <w:p>
      <w:pPr/>
      <w:r>
        <w:rPr>
          <w:b/>
        </w:rPr>
        <w:t xml:space="preserve">Önerilen düzeltme: </w:t>
      </w:r>
      <w:r>
        <w:t>Aynı dipnot içindeki ayrı kaynaklar noktalı virgülle ayrılmalı; aynı esere ilişkin ek sayfalar virgülle sürdürülmelidir.</w:t>
      </w:r>
    </w:p>
    <w:p>
      <w:pPr>
        <w:pStyle w:val="Heading3"/>
        <w:keepNext/>
        <w:keepLines/>
      </w:pPr>
      <w:r>
        <w:t>İSN-03. Müellif adlarındaki el-/ez-/es-/en- proje tercihi tamamlanmamış</w:t>
      </w:r>
    </w:p>
    <w:p>
      <w:pPr/>
      <w:r>
        <w:rPr>
          <w:b/>
        </w:rPr>
        <w:t xml:space="preserve">Kategori: </w:t>
      </w:r>
      <w:r>
        <w:t>Dipnot / Proje stili</w:t>
      </w:r>
    </w:p>
    <w:p>
      <w:pPr/>
      <w:r>
        <w:rPr>
          <w:b/>
        </w:rPr>
        <w:t xml:space="preserve">Önem düzeyi: </w:t>
      </w:r>
      <w:r>
        <w:t>Orta</w:t>
      </w:r>
    </w:p>
    <w:p>
      <w:pPr/>
      <w:r>
        <w:rPr>
          <w:b/>
        </w:rPr>
        <w:t xml:space="preserve">Yer: </w:t>
      </w:r>
      <w:r>
        <w:t>Dipnotların geneli</w:t>
      </w:r>
    </w:p>
    <w:p>
      <w:pPr>
        <w:pStyle w:val="IssueQuote"/>
      </w:pPr>
      <w:r>
        <w:t>“Muhammed b. et-Tayyib ... el-Bâkıllânî / ... ed-Dânî / ... ez-Zerkeşî gibi biçimler hâlâ dipnotlarda bulunmaktadır.”</w:t>
      </w:r>
    </w:p>
    <w:p>
      <w:pPr/>
      <w:r>
        <w:rPr>
          <w:b/>
        </w:rPr>
        <w:t xml:space="preserve">Sorun: </w:t>
      </w:r>
      <w:r>
        <w:t>“Düzeltilecekler” dosyası dipnot müellif isimlerinin başındaki artikellerin kaldırılmasını istiyor. Bu, bibliyografik adın özgün biçimi ve İSNAD 2 uygulamasıyla çatışabilecek bir ev stili tercihidir; sessizce toplu silme yapılmamalıdır.</w:t>
      </w:r>
    </w:p>
    <w:p>
      <w:pPr/>
      <w:r>
        <w:rPr>
          <w:b/>
        </w:rPr>
        <w:t xml:space="preserve">Önerilen düzeltme: </w:t>
      </w:r>
      <w:r>
        <w:t>Proje tercihi ile İSNAD 2 standardı arasında karar verilmeli; karar “müellif adı alanı”na uygulanmalı, eser başlıkları ve sûre adlarındaki artikeller dokunulmamalıdır.</w:t>
      </w:r>
    </w:p>
    <w:p>
      <w:pPr>
        <w:pStyle w:val="Heading3"/>
        <w:keepNext/>
        <w:keepLines/>
      </w:pPr>
      <w:r>
        <w:t>İSN-04. Sûre adlarında artikel kullanımı tutarlı değil</w:t>
      </w:r>
    </w:p>
    <w:p>
      <w:pPr/>
      <w:r>
        <w:rPr>
          <w:b/>
        </w:rPr>
        <w:t xml:space="preserve">Kategori: </w:t>
      </w:r>
      <w:r>
        <w:t>Dipnot / Ev stili</w:t>
      </w:r>
    </w:p>
    <w:p>
      <w:pPr/>
      <w:r>
        <w:rPr>
          <w:b/>
        </w:rPr>
        <w:t xml:space="preserve">Önem düzeyi: </w:t>
      </w:r>
      <w:r>
        <w:t>Orta</w:t>
      </w:r>
    </w:p>
    <w:p>
      <w:pPr/>
      <w:r>
        <w:rPr>
          <w:b/>
        </w:rPr>
        <w:t xml:space="preserve">Yer: </w:t>
      </w:r>
      <w:r>
        <w:t>Dipnotlar</w:t>
      </w:r>
    </w:p>
    <w:p>
      <w:pPr>
        <w:pStyle w:val="IssueQuote"/>
      </w:pPr>
      <w:r>
        <w:t>“Bakara 2/218, Nisâ’ 4/109, Tevbe 9/47, Mâide 5/29, Kehf, Enbiyâ, Neml, Zumer, Şûrâ biçimleri görülmektedir.”</w:t>
      </w:r>
    </w:p>
    <w:p>
      <w:pPr/>
      <w:r>
        <w:rPr>
          <w:b/>
        </w:rPr>
        <w:t xml:space="preserve">Sorun: </w:t>
      </w:r>
      <w:r>
        <w:t>Kullanıcının özel kontrol listesi sûre adlarında el-/en-/et-/eş- biçimlerinin kullanılmasını istiyor.</w:t>
      </w:r>
    </w:p>
    <w:p>
      <w:pPr/>
      <w:r>
        <w:rPr>
          <w:b/>
        </w:rPr>
        <w:t xml:space="preserve">Önerilen düzeltme: </w:t>
      </w:r>
      <w:r>
        <w:t>Ev stili örnekleri: el-Bakara, Âl-i İmrân, en-Nisâ, et-Tevbe, el-Mâide, el-A‘râf, el-Kehf, el-Enbiyâ, en-Neml, ez-Zümer, eş-Şûrâ. Yâsîn gibi artikel almayan adlar ayrıca korunmalıdır.</w:t>
      </w:r>
    </w:p>
    <w:p>
      <w:pPr>
        <w:pStyle w:val="Heading3"/>
        <w:keepNext/>
        <w:keepLines/>
      </w:pPr>
      <w:r>
        <w:t>İSN-05. Dipnotlarda editoryal çalışma notları bulunuyor</w:t>
      </w:r>
    </w:p>
    <w:p>
      <w:pPr/>
      <w:r>
        <w:rPr>
          <w:b/>
        </w:rPr>
        <w:t xml:space="preserve">Kategori: </w:t>
      </w:r>
      <w:r>
        <w:t>Teknik / Dipnot</w:t>
      </w:r>
    </w:p>
    <w:p>
      <w:pPr/>
      <w:r>
        <w:rPr>
          <w:b/>
        </w:rPr>
        <w:t xml:space="preserve">Önem düzeyi: </w:t>
      </w:r>
      <w:r>
        <w:t>Kritik</w:t>
      </w:r>
    </w:p>
    <w:p>
      <w:pPr/>
      <w:r>
        <w:rPr>
          <w:b/>
        </w:rPr>
        <w:t xml:space="preserve">Yer: </w:t>
      </w:r>
      <w:r>
        <w:t>Dipnot 32, 41, 105</w:t>
      </w:r>
    </w:p>
    <w:p>
      <w:pPr>
        <w:pStyle w:val="IssueQuote"/>
      </w:pPr>
      <w:r>
        <w:t>“İbn Sa’d, et-Tabakâtü’l-kübrâ, 3/355. (bu dipnot daha önce geçmiş midir.yoksa kitabın ilk adı bu şekilde mi) buna bakılması.”</w:t>
      </w:r>
    </w:p>
    <w:p>
      <w:pPr/>
      <w:r>
        <w:rPr>
          <w:b/>
        </w:rPr>
        <w:t xml:space="preserve">Sorun: </w:t>
      </w:r>
      <w:r>
        <w:t>Çalışma notu dipnot metnine karışmıştır. Aynı sorun “müellifi meçhuldür...” ve “bu eser daha önce tam adıyla geçmiş miydi” notlarında da vardır.</w:t>
      </w:r>
    </w:p>
    <w:p>
      <w:pPr/>
      <w:r>
        <w:rPr>
          <w:b/>
        </w:rPr>
        <w:t xml:space="preserve">Önerilen düzeltme: </w:t>
      </w:r>
      <w:r>
        <w:t>Dipnotlardan bütün editoryal notlar çıkarılmalı; ilk kullanım durumu ve müellif kimliği kaynak/Zotero kaydı üzerinden çözüldükten sonra yalnız bibliyografik atıf bırakılmalıdır.</w:t>
      </w:r>
    </w:p>
    <w:p>
      <w:pPr>
        <w:pStyle w:val="Heading3"/>
        <w:keepNext/>
        <w:keepLines/>
      </w:pPr>
      <w:r>
        <w:t>İSN-06. Aynı eserin farklı baskıları bibliyografik olarak ayrıştırılmalı</w:t>
      </w:r>
    </w:p>
    <w:p>
      <w:pPr/>
      <w:r>
        <w:rPr>
          <w:b/>
        </w:rPr>
        <w:t xml:space="preserve">Kategori: </w:t>
      </w:r>
      <w:r>
        <w:t>Dipnot / Kaynakça</w:t>
      </w:r>
    </w:p>
    <w:p>
      <w:pPr/>
      <w:r>
        <w:rPr>
          <w:b/>
        </w:rPr>
        <w:t xml:space="preserve">Önem düzeyi: </w:t>
      </w:r>
      <w:r>
        <w:t>Orta</w:t>
      </w:r>
    </w:p>
    <w:p>
      <w:pPr/>
      <w:r>
        <w:rPr>
          <w:b/>
        </w:rPr>
        <w:t xml:space="preserve">Yer: </w:t>
      </w:r>
      <w:r>
        <w:t>İbn Ebû Dâvud, Ebû Dâvud Süleymân b. Necâh, İbn Hacer, İbn Kuteybe kayıtları</w:t>
      </w:r>
    </w:p>
    <w:p>
      <w:pPr>
        <w:pStyle w:val="IssueQuote"/>
      </w:pPr>
      <w:r>
        <w:t>“Aynı eser için farklı tahkik ve baskılar hem dipnotlarda hem kaynakçada yer almaktadır.”</w:t>
      </w:r>
    </w:p>
    <w:p>
      <w:pPr/>
      <w:r>
        <w:rPr>
          <w:b/>
        </w:rPr>
        <w:t xml:space="preserve">Sorun: </w:t>
      </w:r>
      <w:r>
        <w:t>Bu durum otomatik olarak mükerrer hata değildir; gerçekten farklı baskılardan farklı sayfalar kullanılmış olabilir. Fakat kısa dipnot aşamasında hangi baskıya dönüldüğü belirsizleşmemelidir.</w:t>
      </w:r>
    </w:p>
    <w:p>
      <w:pPr/>
      <w:r>
        <w:rPr>
          <w:b/>
        </w:rPr>
        <w:t xml:space="preserve">Önerilen düzeltme: </w:t>
      </w:r>
      <w:r>
        <w:t>Her farklı baskı gerçekten kullanılmışsa kaynakçada ayrı tutulmalı ve ilk kullanımı açık olmalıdır. Kullanılmayan ikinci kayıt kaldırılmalı; kısa dipnotlarda baskı ayrımı gerekiyorsa tahkik/yıl gibi ayırt edici unsur eklenmelidir.</w:t>
      </w:r>
    </w:p>
    <w:p>
      <w:pPr>
        <w:pStyle w:val="Heading2"/>
        <w:keepNext/>
        <w:keepLines/>
      </w:pPr>
      <w:r>
        <w:t>15. Kaynakça</w:t>
      </w:r>
    </w:p>
    <w:p>
      <w:pPr>
        <w:pStyle w:val="Heading3"/>
        <w:keepNext/>
        <w:keepLines/>
      </w:pPr>
      <w:r>
        <w:t>KAY-01. İki DOI yapısal olarak bozuk</w:t>
      </w:r>
    </w:p>
    <w:p>
      <w:pPr/>
      <w:r>
        <w:rPr>
          <w:b/>
        </w:rPr>
        <w:t xml:space="preserve">Kategori: </w:t>
      </w:r>
      <w:r>
        <w:t>Kaynakça / Teknik</w:t>
      </w:r>
    </w:p>
    <w:p>
      <w:pPr/>
      <w:r>
        <w:rPr>
          <w:b/>
        </w:rPr>
        <w:t xml:space="preserve">Önem düzeyi: </w:t>
      </w:r>
      <w:r>
        <w:t>Kritik</w:t>
      </w:r>
    </w:p>
    <w:p>
      <w:pPr/>
      <w:r>
        <w:rPr>
          <w:b/>
        </w:rPr>
        <w:t xml:space="preserve">Yer: </w:t>
      </w:r>
      <w:r>
        <w:t>Kaynakça</w:t>
      </w:r>
    </w:p>
    <w:p>
      <w:pPr>
        <w:pStyle w:val="IssueQuote"/>
      </w:pPr>
      <w:r>
        <w:t>“https://doi.org/http://doi.org/1051702/esoguifd.791085  /  https://doi.org/https://doi.org/10.56361/usul.173700”</w:t>
      </w:r>
    </w:p>
    <w:p>
      <w:pPr/>
      <w:r>
        <w:rPr>
          <w:b/>
        </w:rPr>
        <w:t xml:space="preserve">Sorun: </w:t>
      </w:r>
      <w:r>
        <w:t>İlk kayıtta DOI öneki iki farklı şema ile üst üste binmiş; ikinci kayıtta https://doi.org iki kez yazılmıştır. İlk kaydın DOI numarasının kendisi de doğrulama gerektirir.</w:t>
      </w:r>
    </w:p>
    <w:p>
      <w:pPr/>
      <w:r>
        <w:rPr>
          <w:b/>
        </w:rPr>
        <w:t xml:space="preserve">Önerilen düzeltme: </w:t>
      </w:r>
      <w:r>
        <w:t>İkinci bağlantı tek DOI önekine indirilmelidir. İlk bağlantının doğru DOI gövdesi kaynaktan doğrulanmalı; doğrulanmadan sayı tahmin edilmemelidir.</w:t>
      </w:r>
    </w:p>
    <w:p>
      <w:pPr/>
      <w:r>
        <w:rPr>
          <w:b/>
        </w:rPr>
        <w:t xml:space="preserve">Kaynak kontrolü gerekli: </w:t>
      </w:r>
      <w:r>
        <w:t>Her iki DOI ilgili dergi/yayıncı kaydı üzerinden doğrulanmalıdır.</w:t>
      </w:r>
    </w:p>
    <w:p>
      <w:pPr>
        <w:pStyle w:val="Heading3"/>
        <w:keepNext/>
        <w:keepLines/>
      </w:pPr>
      <w:r>
        <w:t>KAY-02. Aynı eser/farklı baskı kayıtları otomatik mükerrer sayılmamalı</w:t>
      </w:r>
    </w:p>
    <w:p>
      <w:pPr/>
      <w:r>
        <w:rPr>
          <w:b/>
        </w:rPr>
        <w:t xml:space="preserve">Kategori: </w:t>
      </w:r>
      <w:r>
        <w:t>Kaynakça</w:t>
      </w:r>
    </w:p>
    <w:p>
      <w:pPr/>
      <w:r>
        <w:rPr>
          <w:b/>
        </w:rPr>
        <w:t xml:space="preserve">Önem düzeyi: </w:t>
      </w:r>
      <w:r>
        <w:t>Orta</w:t>
      </w:r>
    </w:p>
    <w:p>
      <w:pPr/>
      <w:r>
        <w:rPr>
          <w:b/>
        </w:rPr>
        <w:t xml:space="preserve">Yer: </w:t>
      </w:r>
      <w:r>
        <w:t>Kaynakça</w:t>
      </w:r>
    </w:p>
    <w:p>
      <w:pPr>
        <w:pStyle w:val="IssueQuote"/>
      </w:pPr>
      <w:r>
        <w:t>“İbn Ebû Dâvud’un Kitâbu’l-mesâhif’i, İbn Hacer’in Fethu’l-bârî’si, İbn Kuteybe’nin Te’vîlu muhtelifi’l-hadîs’i ve Ebû Dâvud Süleymân b. Necâh’ın Muhtasaru’t-Tebyîn’i farklı baskılarla birden çok kayıt hâlinde bulunmaktadır.”</w:t>
      </w:r>
    </w:p>
    <w:p>
      <w:pPr/>
      <w:r>
        <w:rPr>
          <w:b/>
        </w:rPr>
        <w:t xml:space="preserve">Sorun: </w:t>
      </w:r>
      <w:r>
        <w:t>Farklı baskılar gerçekten dipnotlarda kullanılıyorsa iki kayıt meşrudur. Sorun, baskıların kısa atıflarda ayırt edilmemesi veya bibliyografyada kullanılmayan bir baskının kalmasıdır.</w:t>
      </w:r>
    </w:p>
    <w:p>
      <w:pPr/>
      <w:r>
        <w:rPr>
          <w:b/>
        </w:rPr>
        <w:t xml:space="preserve">Önerilen düzeltme: </w:t>
      </w:r>
      <w:r>
        <w:t>Her kayıt dipnotlarla çift yönlü eşleştirilmeli. Kullanılan farklı baskılar korunmalı; hiç atıf almayan mükerrer/alternatif Zotero kaydı kaldırılmalıdır.</w:t>
      </w:r>
    </w:p>
    <w:p>
      <w:pPr>
        <w:pStyle w:val="Heading3"/>
        <w:keepNext/>
        <w:keepLines/>
      </w:pPr>
      <w:r>
        <w:t>KAY-03. Müellif adlarındaki ters çevrilmiş artikel biçimleri ev stili kararı gerektiriyor</w:t>
      </w:r>
    </w:p>
    <w:p>
      <w:pPr/>
      <w:r>
        <w:rPr>
          <w:b/>
        </w:rPr>
        <w:t xml:space="preserve">Kategori: </w:t>
      </w:r>
      <w:r>
        <w:t>Kaynakça / İSNAD 2</w:t>
      </w:r>
    </w:p>
    <w:p>
      <w:pPr/>
      <w:r>
        <w:rPr>
          <w:b/>
        </w:rPr>
        <w:t xml:space="preserve">Önem düzeyi: </w:t>
      </w:r>
      <w:r>
        <w:t>Orta</w:t>
      </w:r>
    </w:p>
    <w:p>
      <w:pPr/>
      <w:r>
        <w:rPr>
          <w:b/>
        </w:rPr>
        <w:t xml:space="preserve">Yer: </w:t>
      </w:r>
      <w:r>
        <w:t>Kaynakça</w:t>
      </w:r>
    </w:p>
    <w:p>
      <w:pPr>
        <w:pStyle w:val="IssueQuote"/>
      </w:pPr>
      <w:r>
        <w:t>“Kârî, Abdülazîz b. Abdülfettâh el-.”</w:t>
      </w:r>
    </w:p>
    <w:p>
      <w:pPr/>
      <w:r>
        <w:rPr>
          <w:b/>
        </w:rPr>
        <w:t xml:space="preserve">Sorun: </w:t>
      </w:r>
      <w:r>
        <w:t>“el-.” gibi ters çevrilmiş artikel biçimleri Zotero sıralama mantığının kalıntısı olabilir. Okuyucuya dönük kaynakçada doğal Türkçe/İSNAD 2 görünümüne uygunluk ayrıca kontrol edilmelidir.</w:t>
      </w:r>
    </w:p>
    <w:p>
      <w:pPr/>
      <w:r>
        <w:rPr>
          <w:b/>
        </w:rPr>
        <w:t xml:space="preserve">Önerilen düzeltme: </w:t>
      </w:r>
      <w:r>
        <w:t>Proje ev stili belirlendikten sonra Zotero “author” alanı ve kaynakça CSL çıktısı birlikte düzeltilmeli; metin üzerinde tek tek elle düzeltme yapılması önerilmez.</w:t>
      </w:r>
    </w:p>
    <w:p>
      <w:pPr>
        <w:pStyle w:val="Heading3"/>
        <w:keepNext/>
        <w:keepLines/>
      </w:pPr>
      <w:r>
        <w:t>KAY-04. Kaynakça otomatik çıktıya güvenilerek bırakılmamalı</w:t>
      </w:r>
    </w:p>
    <w:p>
      <w:pPr/>
      <w:r>
        <w:rPr>
          <w:b/>
        </w:rPr>
        <w:t xml:space="preserve">Kategori: </w:t>
      </w:r>
      <w:r>
        <w:t>Kaynakça / Teknik</w:t>
      </w:r>
    </w:p>
    <w:p>
      <w:pPr/>
      <w:r>
        <w:rPr>
          <w:b/>
        </w:rPr>
        <w:t xml:space="preserve">Önem düzeyi: </w:t>
      </w:r>
      <w:r>
        <w:t>Yüksek</w:t>
      </w:r>
    </w:p>
    <w:p>
      <w:pPr/>
      <w:r>
        <w:rPr>
          <w:b/>
        </w:rPr>
        <w:t xml:space="preserve">Yer: </w:t>
      </w:r>
      <w:r>
        <w:t>Kaynakça bütünü</w:t>
      </w:r>
    </w:p>
    <w:p>
      <w:pPr>
        <w:pStyle w:val="IssueQuote"/>
      </w:pPr>
      <w:r>
        <w:t>“Kaynakçada Arapça/Türkçe/İngilizce kayıtların şehir, yayınevi, tahkik, cilt ve tarih sıralamaları tam tekdüze değildir.”</w:t>
      </w:r>
    </w:p>
    <w:p>
      <w:pPr/>
      <w:r>
        <w:rPr>
          <w:b/>
        </w:rPr>
        <w:t xml:space="preserve">Sorun: </w:t>
      </w:r>
      <w:r>
        <w:t>Zotero alanları çok sayıdadır ve kaynakça geniştir. Bu ölçekte tek tek elle düzeltme yerine önce Zotero kayıtlarının veri alanları temizlenmeli, sonra kaynakça yeniden üretilmelidir.</w:t>
      </w:r>
    </w:p>
    <w:p>
      <w:pPr/>
      <w:r>
        <w:rPr>
          <w:b/>
        </w:rPr>
        <w:t xml:space="preserve">Önerilen düzeltme: </w:t>
      </w:r>
      <w:r>
        <w:t>Kaynakça son turunda müellif adı, eser adı, tahkik/çeviri, yayın yeri, yayınevi, tarih, cilt, makale cilt/sayı/sayfa, DOI/URL ve “ts.” kullanımı ayrı sütunlu kontrol listesiyle denetlenmelidir.</w:t>
      </w:r>
    </w:p>
    <w:p>
      <w:pPr>
        <w:pStyle w:val="Heading2"/>
        <w:pageBreakBefore w:val="0"/>
        <w:keepNext/>
        <w:keepLines/>
      </w:pPr>
      <w:r>
        <w:t>16. Dil ve Tashih</w:t>
      </w:r>
    </w:p>
    <w:tbl>
      <w:tblPr>
        <w:tblStyle w:val="TableGrid"/>
        <w:tblW w:type="auto" w:w="0"/>
        <w:jc w:val="center"/>
        <w:tblLook w:firstColumn="1" w:firstRow="1" w:lastColumn="0" w:lastRow="0" w:noHBand="0" w:noVBand="1" w:val="04A0"/>
      </w:tblPr>
      <w:tblGrid>
        <w:gridCol w:w="2422"/>
        <w:gridCol w:w="2422"/>
        <w:gridCol w:w="2422"/>
        <w:gridCol w:w="2422"/>
      </w:tblGrid>
      <w:tr>
        <w:trPr>
          <w:cantSplit/>
          <w:cantSplit/>
        </w:trPr>
        <w:tc>
          <w:tcPr>
            <w:tcW w:type="dxa" w:w="1871"/>
            <w:shd w:fill="D9E2F3"/>
            <w:vAlign w:val="center"/>
          </w:tcPr>
          <w:p>
            <w:r>
              <w:rPr>
                <w:rFonts w:ascii="Times New Roman" w:hAnsi="Times New Roman"/>
                <w:b/>
                <w:sz w:val="16"/>
              </w:rPr>
              <w:t>Yer</w:t>
            </w:r>
          </w:p>
        </w:tc>
        <w:tc>
          <w:tcPr>
            <w:tcW w:type="dxa" w:w="3515"/>
            <w:shd w:fill="D9E2F3"/>
            <w:vAlign w:val="center"/>
          </w:tcPr>
          <w:p>
            <w:r>
              <w:rPr>
                <w:rFonts w:ascii="Times New Roman" w:hAnsi="Times New Roman"/>
                <w:b/>
                <w:sz w:val="16"/>
              </w:rPr>
              <w:t>Sorunlu biçim</w:t>
            </w:r>
          </w:p>
        </w:tc>
        <w:tc>
          <w:tcPr>
            <w:tcW w:type="dxa" w:w="1757"/>
            <w:shd w:fill="D9E2F3"/>
            <w:vAlign w:val="center"/>
          </w:tcPr>
          <w:p>
            <w:r>
              <w:rPr>
                <w:rFonts w:ascii="Times New Roman" w:hAnsi="Times New Roman"/>
                <w:b/>
                <w:sz w:val="16"/>
              </w:rPr>
              <w:t>Sorun</w:t>
            </w:r>
          </w:p>
        </w:tc>
        <w:tc>
          <w:tcPr>
            <w:tcW w:type="dxa" w:w="3402"/>
            <w:shd w:fill="D9E2F3"/>
            <w:vAlign w:val="center"/>
          </w:tcPr>
          <w:p>
            <w:r>
              <w:rPr>
                <w:rFonts w:ascii="Times New Roman" w:hAnsi="Times New Roman"/>
                <w:b/>
                <w:sz w:val="16"/>
              </w:rPr>
              <w:t>Düzeltme yönü</w:t>
            </w:r>
          </w:p>
        </w:tc>
      </w:tr>
      <w:tr>
        <w:trPr>
          <w:cantSplit/>
          <w:cantSplit/>
        </w:trPr>
        <w:tc>
          <w:tcPr>
            <w:tcW w:type="dxa" w:w="1871"/>
            <w:vAlign w:val="top"/>
          </w:tcPr>
          <w:p>
            <w:pPr>
              <w:spacing w:after="0" w:line="240" w:lineRule="auto"/>
            </w:pPr>
            <w:r>
              <w:rPr>
                <w:rFonts w:ascii="Times New Roman" w:hAnsi="Times New Roman"/>
                <w:sz w:val="16"/>
              </w:rPr>
              <w:t>1.1 s.8</w:t>
            </w:r>
          </w:p>
        </w:tc>
        <w:tc>
          <w:tcPr>
            <w:tcW w:type="dxa" w:w="3515"/>
            <w:vAlign w:val="top"/>
          </w:tcPr>
          <w:p>
            <w:pPr>
              <w:spacing w:after="0" w:line="240" w:lineRule="auto"/>
            </w:pPr>
            <w:r>
              <w:rPr>
                <w:rFonts w:ascii="Times New Roman" w:hAnsi="Times New Roman"/>
                <w:sz w:val="16"/>
              </w:rPr>
              <w:t>“Özellikle ticaretle uğraşanlar ve şehir hayatına daha yakın yaşayanlar ve bazı seçkin kimseler...”</w:t>
            </w:r>
          </w:p>
        </w:tc>
        <w:tc>
          <w:tcPr>
            <w:tcW w:type="dxa" w:w="1757"/>
            <w:vAlign w:val="top"/>
          </w:tcPr>
          <w:p>
            <w:pPr>
              <w:spacing w:after="0" w:line="240" w:lineRule="auto"/>
            </w:pPr>
            <w:r>
              <w:rPr>
                <w:rFonts w:ascii="Times New Roman" w:hAnsi="Times New Roman"/>
                <w:sz w:val="16"/>
              </w:rPr>
              <w:t>Çift “ve” / sözdizimi</w:t>
            </w:r>
          </w:p>
        </w:tc>
        <w:tc>
          <w:tcPr>
            <w:tcW w:type="dxa" w:w="3402"/>
            <w:vAlign w:val="top"/>
          </w:tcPr>
          <w:p>
            <w:pPr>
              <w:spacing w:after="0" w:line="240" w:lineRule="auto"/>
            </w:pPr>
            <w:r>
              <w:rPr>
                <w:rFonts w:ascii="Times New Roman" w:hAnsi="Times New Roman"/>
                <w:sz w:val="16"/>
              </w:rPr>
              <w:t>“Özellikle ticaretle uğraşanlar, şehir hayatına yakın çevreler ve bazı seçkin kimseler...”</w:t>
            </w:r>
          </w:p>
        </w:tc>
      </w:tr>
      <w:tr>
        <w:trPr>
          <w:cantSplit/>
          <w:cantSplit/>
        </w:trPr>
        <w:tc>
          <w:tcPr>
            <w:tcW w:type="dxa" w:w="1871"/>
            <w:vAlign w:val="top"/>
          </w:tcPr>
          <w:p>
            <w:pPr>
              <w:spacing w:after="0" w:line="240" w:lineRule="auto"/>
            </w:pPr>
            <w:r>
              <w:rPr>
                <w:rFonts w:ascii="Times New Roman" w:hAnsi="Times New Roman"/>
                <w:sz w:val="16"/>
              </w:rPr>
              <w:t>1.1 s.8</w:t>
            </w:r>
          </w:p>
        </w:tc>
        <w:tc>
          <w:tcPr>
            <w:tcW w:type="dxa" w:w="3515"/>
            <w:vAlign w:val="top"/>
          </w:tcPr>
          <w:p>
            <w:pPr>
              <w:spacing w:after="0" w:line="240" w:lineRule="auto"/>
            </w:pPr>
            <w:r>
              <w:rPr>
                <w:rFonts w:ascii="Times New Roman" w:hAnsi="Times New Roman"/>
                <w:sz w:val="16"/>
              </w:rPr>
              <w:t>“ortaya daha şu mutedil tablo çıkmaktadır”</w:t>
            </w:r>
          </w:p>
        </w:tc>
        <w:tc>
          <w:tcPr>
            <w:tcW w:type="dxa" w:w="1757"/>
            <w:vAlign w:val="top"/>
          </w:tcPr>
          <w:p>
            <w:pPr>
              <w:spacing w:after="0" w:line="240" w:lineRule="auto"/>
            </w:pPr>
            <w:r>
              <w:rPr>
                <w:rFonts w:ascii="Times New Roman" w:hAnsi="Times New Roman"/>
                <w:sz w:val="16"/>
              </w:rPr>
              <w:t>Sözdizimi</w:t>
            </w:r>
          </w:p>
        </w:tc>
        <w:tc>
          <w:tcPr>
            <w:tcW w:type="dxa" w:w="3402"/>
            <w:vAlign w:val="top"/>
          </w:tcPr>
          <w:p>
            <w:pPr>
              <w:spacing w:after="0" w:line="240" w:lineRule="auto"/>
            </w:pPr>
            <w:r>
              <w:rPr>
                <w:rFonts w:ascii="Times New Roman" w:hAnsi="Times New Roman"/>
                <w:sz w:val="16"/>
              </w:rPr>
              <w:t>“şu daha mutedil tablo ortaya çıkmaktadır”</w:t>
            </w:r>
          </w:p>
        </w:tc>
      </w:tr>
      <w:tr>
        <w:trPr>
          <w:cantSplit/>
          <w:cantSplit/>
        </w:trPr>
        <w:tc>
          <w:tcPr>
            <w:tcW w:type="dxa" w:w="1871"/>
            <w:vAlign w:val="top"/>
          </w:tcPr>
          <w:p>
            <w:pPr>
              <w:spacing w:after="0" w:line="240" w:lineRule="auto"/>
            </w:pPr>
            <w:r>
              <w:rPr>
                <w:rFonts w:ascii="Times New Roman" w:hAnsi="Times New Roman"/>
                <w:sz w:val="16"/>
              </w:rPr>
              <w:t>1.1 s.9</w:t>
            </w:r>
          </w:p>
        </w:tc>
        <w:tc>
          <w:tcPr>
            <w:tcW w:type="dxa" w:w="3515"/>
            <w:vAlign w:val="top"/>
          </w:tcPr>
          <w:p>
            <w:pPr>
              <w:spacing w:after="0" w:line="240" w:lineRule="auto"/>
            </w:pPr>
            <w:r>
              <w:rPr>
                <w:rFonts w:ascii="Times New Roman" w:hAnsi="Times New Roman"/>
                <w:sz w:val="16"/>
              </w:rPr>
              <w:t>“otaya koymaktadır”; “bakımında önemlidir”</w:t>
            </w:r>
          </w:p>
        </w:tc>
        <w:tc>
          <w:tcPr>
            <w:tcW w:type="dxa" w:w="1757"/>
            <w:vAlign w:val="top"/>
          </w:tcPr>
          <w:p>
            <w:pPr>
              <w:spacing w:after="0" w:line="240" w:lineRule="auto"/>
            </w:pPr>
            <w:r>
              <w:rPr>
                <w:rFonts w:ascii="Times New Roman" w:hAnsi="Times New Roman"/>
                <w:sz w:val="16"/>
              </w:rPr>
              <w:t>Yazım/ek</w:t>
            </w:r>
          </w:p>
        </w:tc>
        <w:tc>
          <w:tcPr>
            <w:tcW w:type="dxa" w:w="3402"/>
            <w:vAlign w:val="top"/>
          </w:tcPr>
          <w:p>
            <w:pPr>
              <w:spacing w:after="0" w:line="240" w:lineRule="auto"/>
            </w:pPr>
            <w:r>
              <w:rPr>
                <w:rFonts w:ascii="Times New Roman" w:hAnsi="Times New Roman"/>
                <w:sz w:val="16"/>
              </w:rPr>
              <w:t>“ortaya koymaktadır”; “bakımından önemlidir”</w:t>
            </w:r>
          </w:p>
        </w:tc>
      </w:tr>
      <w:tr>
        <w:trPr>
          <w:cantSplit/>
          <w:cantSplit/>
        </w:trPr>
        <w:tc>
          <w:tcPr>
            <w:tcW w:type="dxa" w:w="1871"/>
            <w:vAlign w:val="top"/>
          </w:tcPr>
          <w:p>
            <w:pPr>
              <w:spacing w:after="0" w:line="240" w:lineRule="auto"/>
            </w:pPr>
            <w:r>
              <w:rPr>
                <w:rFonts w:ascii="Times New Roman" w:hAnsi="Times New Roman"/>
                <w:sz w:val="16"/>
              </w:rPr>
              <w:t>1.2 s.11</w:t>
            </w:r>
          </w:p>
        </w:tc>
        <w:tc>
          <w:tcPr>
            <w:tcW w:type="dxa" w:w="3515"/>
            <w:vAlign w:val="top"/>
          </w:tcPr>
          <w:p>
            <w:pPr>
              <w:spacing w:after="0" w:line="240" w:lineRule="auto"/>
            </w:pPr>
            <w:r>
              <w:rPr>
                <w:rFonts w:ascii="Times New Roman" w:hAnsi="Times New Roman"/>
                <w:sz w:val="16"/>
              </w:rPr>
              <w:t>“... elverişli değildir” (noktasız)</w:t>
            </w:r>
          </w:p>
        </w:tc>
        <w:tc>
          <w:tcPr>
            <w:tcW w:type="dxa" w:w="1757"/>
            <w:vAlign w:val="top"/>
          </w:tcPr>
          <w:p>
            <w:pPr>
              <w:spacing w:after="0" w:line="240" w:lineRule="auto"/>
            </w:pPr>
            <w:r>
              <w:rPr>
                <w:rFonts w:ascii="Times New Roman" w:hAnsi="Times New Roman"/>
                <w:sz w:val="16"/>
              </w:rPr>
              <w:t>Noktalama</w:t>
            </w:r>
          </w:p>
        </w:tc>
        <w:tc>
          <w:tcPr>
            <w:tcW w:type="dxa" w:w="3402"/>
            <w:vAlign w:val="top"/>
          </w:tcPr>
          <w:p>
            <w:pPr>
              <w:spacing w:after="0" w:line="240" w:lineRule="auto"/>
            </w:pPr>
            <w:r>
              <w:rPr>
                <w:rFonts w:ascii="Times New Roman" w:hAnsi="Times New Roman"/>
                <w:sz w:val="16"/>
              </w:rPr>
              <w:t>Nokta eklenmeli.</w:t>
            </w:r>
          </w:p>
        </w:tc>
      </w:tr>
      <w:tr>
        <w:trPr>
          <w:cantSplit/>
          <w:cantSplit/>
        </w:trPr>
        <w:tc>
          <w:tcPr>
            <w:tcW w:type="dxa" w:w="1871"/>
            <w:vAlign w:val="top"/>
          </w:tcPr>
          <w:p>
            <w:pPr>
              <w:spacing w:after="0" w:line="240" w:lineRule="auto"/>
            </w:pPr>
            <w:r>
              <w:rPr>
                <w:rFonts w:ascii="Times New Roman" w:hAnsi="Times New Roman"/>
                <w:sz w:val="16"/>
              </w:rPr>
              <w:t>1.3</w:t>
            </w:r>
          </w:p>
        </w:tc>
        <w:tc>
          <w:tcPr>
            <w:tcW w:type="dxa" w:w="3515"/>
            <w:vAlign w:val="top"/>
          </w:tcPr>
          <w:p>
            <w:pPr>
              <w:spacing w:after="0" w:line="240" w:lineRule="auto"/>
            </w:pPr>
            <w:r>
              <w:rPr>
                <w:rFonts w:ascii="Times New Roman" w:hAnsi="Times New Roman"/>
                <w:sz w:val="16"/>
              </w:rPr>
              <w:t>“nedeninin yazı noktasındaki maharetli olduğunu gösterir”</w:t>
            </w:r>
          </w:p>
        </w:tc>
        <w:tc>
          <w:tcPr>
            <w:tcW w:type="dxa" w:w="1757"/>
            <w:vAlign w:val="top"/>
          </w:tcPr>
          <w:p>
            <w:pPr>
              <w:spacing w:after="0" w:line="240" w:lineRule="auto"/>
            </w:pPr>
            <w:r>
              <w:rPr>
                <w:rFonts w:ascii="Times New Roman" w:hAnsi="Times New Roman"/>
                <w:sz w:val="16"/>
              </w:rPr>
              <w:t>Tamlama/yüklem</w:t>
            </w:r>
          </w:p>
        </w:tc>
        <w:tc>
          <w:tcPr>
            <w:tcW w:type="dxa" w:w="3402"/>
            <w:vAlign w:val="top"/>
          </w:tcPr>
          <w:p>
            <w:pPr>
              <w:spacing w:after="0" w:line="240" w:lineRule="auto"/>
            </w:pPr>
            <w:r>
              <w:rPr>
                <w:rFonts w:ascii="Times New Roman" w:hAnsi="Times New Roman"/>
                <w:sz w:val="16"/>
              </w:rPr>
              <w:t>“bu görevlerde tercih edilmesinde yazıdaki maharetinin etkili görüldüğünü düşündürür”</w:t>
            </w:r>
          </w:p>
        </w:tc>
      </w:tr>
      <w:tr>
        <w:trPr>
          <w:cantSplit/>
          <w:cantSplit/>
        </w:trPr>
        <w:tc>
          <w:tcPr>
            <w:tcW w:type="dxa" w:w="1871"/>
            <w:vAlign w:val="top"/>
          </w:tcPr>
          <w:p>
            <w:pPr>
              <w:spacing w:after="0" w:line="240" w:lineRule="auto"/>
            </w:pPr>
            <w:r>
              <w:rPr>
                <w:rFonts w:ascii="Times New Roman" w:hAnsi="Times New Roman"/>
                <w:sz w:val="16"/>
              </w:rPr>
              <w:t>1.4 s.18</w:t>
            </w:r>
          </w:p>
        </w:tc>
        <w:tc>
          <w:tcPr>
            <w:tcW w:type="dxa" w:w="3515"/>
            <w:vAlign w:val="top"/>
          </w:tcPr>
          <w:p>
            <w:pPr>
              <w:spacing w:after="0" w:line="240" w:lineRule="auto"/>
            </w:pPr>
            <w:r>
              <w:rPr>
                <w:rFonts w:ascii="Times New Roman" w:hAnsi="Times New Roman"/>
                <w:sz w:val="16"/>
              </w:rPr>
              <w:t>“tam baş senede”</w:t>
            </w:r>
          </w:p>
        </w:tc>
        <w:tc>
          <w:tcPr>
            <w:tcW w:type="dxa" w:w="1757"/>
            <w:vAlign w:val="top"/>
          </w:tcPr>
          <w:p>
            <w:pPr>
              <w:spacing w:after="0" w:line="240" w:lineRule="auto"/>
            </w:pPr>
            <w:r>
              <w:rPr>
                <w:rFonts w:ascii="Times New Roman" w:hAnsi="Times New Roman"/>
                <w:sz w:val="16"/>
              </w:rPr>
              <w:t>Bozuk çalışma ifadesi</w:t>
            </w:r>
          </w:p>
        </w:tc>
        <w:tc>
          <w:tcPr>
            <w:tcW w:type="dxa" w:w="3402"/>
            <w:vAlign w:val="top"/>
          </w:tcPr>
          <w:p>
            <w:pPr>
              <w:spacing w:after="0" w:line="240" w:lineRule="auto"/>
            </w:pPr>
            <w:r>
              <w:rPr>
                <w:rFonts w:ascii="Times New Roman" w:hAnsi="Times New Roman"/>
                <w:sz w:val="16"/>
              </w:rPr>
              <w:t>Kaynak doğrulamasından sonra tarihî yazılmalı veya ifade çıkarılmalı.</w:t>
            </w:r>
          </w:p>
        </w:tc>
      </w:tr>
      <w:tr>
        <w:trPr>
          <w:cantSplit/>
          <w:cantSplit/>
        </w:trPr>
        <w:tc>
          <w:tcPr>
            <w:tcW w:type="dxa" w:w="1871"/>
            <w:vAlign w:val="top"/>
          </w:tcPr>
          <w:p>
            <w:pPr>
              <w:spacing w:after="0" w:line="240" w:lineRule="auto"/>
            </w:pPr>
            <w:r>
              <w:rPr>
                <w:rFonts w:ascii="Times New Roman" w:hAnsi="Times New Roman"/>
                <w:sz w:val="16"/>
              </w:rPr>
              <w:t>1.5 s.22</w:t>
            </w:r>
          </w:p>
        </w:tc>
        <w:tc>
          <w:tcPr>
            <w:tcW w:type="dxa" w:w="3515"/>
            <w:vAlign w:val="top"/>
          </w:tcPr>
          <w:p>
            <w:pPr>
              <w:spacing w:after="0" w:line="240" w:lineRule="auto"/>
            </w:pPr>
            <w:r>
              <w:rPr>
                <w:rFonts w:ascii="Times New Roman" w:hAnsi="Times New Roman"/>
                <w:sz w:val="16"/>
              </w:rPr>
              <w:t>“ihtimali kuvvet kazanmaktadır”</w:t>
            </w:r>
          </w:p>
        </w:tc>
        <w:tc>
          <w:tcPr>
            <w:tcW w:type="dxa" w:w="1757"/>
            <w:vAlign w:val="top"/>
          </w:tcPr>
          <w:p>
            <w:pPr>
              <w:spacing w:after="0" w:line="240" w:lineRule="auto"/>
            </w:pPr>
            <w:r>
              <w:rPr>
                <w:rFonts w:ascii="Times New Roman" w:hAnsi="Times New Roman"/>
                <w:sz w:val="16"/>
              </w:rPr>
              <w:t>Kelime seçimi</w:t>
            </w:r>
          </w:p>
        </w:tc>
        <w:tc>
          <w:tcPr>
            <w:tcW w:type="dxa" w:w="3402"/>
            <w:vAlign w:val="top"/>
          </w:tcPr>
          <w:p>
            <w:pPr>
              <w:spacing w:after="0" w:line="240" w:lineRule="auto"/>
            </w:pPr>
            <w:r>
              <w:rPr>
                <w:rFonts w:ascii="Times New Roman" w:hAnsi="Times New Roman"/>
                <w:sz w:val="16"/>
              </w:rPr>
              <w:t>“altı nüsha ihtimali güçlenmektedir” ya da ihtiyatlı sentez paragrafı.</w:t>
            </w:r>
          </w:p>
        </w:tc>
      </w:tr>
      <w:tr>
        <w:trPr>
          <w:cantSplit/>
          <w:cantSplit/>
        </w:trPr>
        <w:tc>
          <w:tcPr>
            <w:tcW w:type="dxa" w:w="1871"/>
            <w:vAlign w:val="top"/>
          </w:tcPr>
          <w:p>
            <w:pPr>
              <w:spacing w:after="0" w:line="240" w:lineRule="auto"/>
            </w:pPr>
            <w:r>
              <w:rPr>
                <w:rFonts w:ascii="Times New Roman" w:hAnsi="Times New Roman"/>
                <w:sz w:val="16"/>
              </w:rPr>
              <w:t>1.5 s.22</w:t>
            </w:r>
          </w:p>
        </w:tc>
        <w:tc>
          <w:tcPr>
            <w:tcW w:type="dxa" w:w="3515"/>
            <w:vAlign w:val="top"/>
          </w:tcPr>
          <w:p>
            <w:pPr>
              <w:spacing w:after="0" w:line="240" w:lineRule="auto"/>
            </w:pPr>
            <w:r>
              <w:rPr>
                <w:rFonts w:ascii="Times New Roman" w:hAnsi="Times New Roman"/>
                <w:sz w:val="16"/>
              </w:rPr>
              <w:t>“Muhammed Hamîdullah (ö. 20029)”</w:t>
            </w:r>
          </w:p>
        </w:tc>
        <w:tc>
          <w:tcPr>
            <w:tcW w:type="dxa" w:w="1757"/>
            <w:vAlign w:val="top"/>
          </w:tcPr>
          <w:p>
            <w:pPr>
              <w:spacing w:after="0" w:line="240" w:lineRule="auto"/>
            </w:pPr>
            <w:r>
              <w:rPr>
                <w:rFonts w:ascii="Times New Roman" w:hAnsi="Times New Roman"/>
                <w:sz w:val="16"/>
              </w:rPr>
              <w:t>Bozuk tarih</w:t>
            </w:r>
          </w:p>
        </w:tc>
        <w:tc>
          <w:tcPr>
            <w:tcW w:type="dxa" w:w="3402"/>
            <w:vAlign w:val="top"/>
          </w:tcPr>
          <w:p>
            <w:pPr>
              <w:spacing w:after="0" w:line="240" w:lineRule="auto"/>
            </w:pPr>
            <w:r>
              <w:rPr>
                <w:rFonts w:ascii="Times New Roman" w:hAnsi="Times New Roman"/>
                <w:sz w:val="16"/>
              </w:rPr>
              <w:t>Kaynak doğrulaması olmadan sayı verilmemeli.</w:t>
            </w:r>
          </w:p>
        </w:tc>
      </w:tr>
      <w:tr>
        <w:trPr>
          <w:cantSplit/>
          <w:cantSplit/>
        </w:trPr>
        <w:tc>
          <w:tcPr>
            <w:tcW w:type="dxa" w:w="1871"/>
            <w:vAlign w:val="top"/>
          </w:tcPr>
          <w:p>
            <w:pPr>
              <w:spacing w:after="0" w:line="240" w:lineRule="auto"/>
            </w:pPr>
            <w:r>
              <w:rPr>
                <w:rFonts w:ascii="Times New Roman" w:hAnsi="Times New Roman"/>
                <w:sz w:val="16"/>
              </w:rPr>
              <w:t>1.6.2 s.26</w:t>
            </w:r>
          </w:p>
        </w:tc>
        <w:tc>
          <w:tcPr>
            <w:tcW w:type="dxa" w:w="3515"/>
            <w:vAlign w:val="top"/>
          </w:tcPr>
          <w:p>
            <w:pPr>
              <w:spacing w:after="0" w:line="240" w:lineRule="auto"/>
            </w:pPr>
            <w:r>
              <w:rPr>
                <w:rFonts w:ascii="Times New Roman" w:hAnsi="Times New Roman"/>
                <w:sz w:val="16"/>
              </w:rPr>
              <w:t>“Kastallânî (ö. 923/1517 bu tarih...”</w:t>
            </w:r>
          </w:p>
        </w:tc>
        <w:tc>
          <w:tcPr>
            <w:tcW w:type="dxa" w:w="1757"/>
            <w:vAlign w:val="top"/>
          </w:tcPr>
          <w:p>
            <w:pPr>
              <w:spacing w:after="0" w:line="240" w:lineRule="auto"/>
            </w:pPr>
            <w:r>
              <w:rPr>
                <w:rFonts w:ascii="Times New Roman" w:hAnsi="Times New Roman"/>
                <w:sz w:val="16"/>
              </w:rPr>
              <w:t>Çalışma notu</w:t>
            </w:r>
          </w:p>
        </w:tc>
        <w:tc>
          <w:tcPr>
            <w:tcW w:type="dxa" w:w="3402"/>
            <w:vAlign w:val="top"/>
          </w:tcPr>
          <w:p>
            <w:pPr>
              <w:spacing w:after="0" w:line="240" w:lineRule="auto"/>
            </w:pPr>
            <w:r>
              <w:rPr>
                <w:rFonts w:ascii="Times New Roman" w:hAnsi="Times New Roman"/>
                <w:sz w:val="16"/>
              </w:rPr>
              <w:t>Not silinmeli; tarih tekleştirilmeli.</w:t>
            </w:r>
          </w:p>
        </w:tc>
      </w:tr>
      <w:tr>
        <w:trPr>
          <w:cantSplit/>
          <w:cantSplit/>
        </w:trPr>
        <w:tc>
          <w:tcPr>
            <w:tcW w:type="dxa" w:w="1871"/>
            <w:vAlign w:val="top"/>
          </w:tcPr>
          <w:p>
            <w:pPr>
              <w:spacing w:after="0" w:line="240" w:lineRule="auto"/>
            </w:pPr>
            <w:r>
              <w:rPr>
                <w:rFonts w:ascii="Times New Roman" w:hAnsi="Times New Roman"/>
                <w:sz w:val="16"/>
              </w:rPr>
              <w:t>1.8 s.31</w:t>
            </w:r>
          </w:p>
        </w:tc>
        <w:tc>
          <w:tcPr>
            <w:tcW w:type="dxa" w:w="3515"/>
            <w:vAlign w:val="top"/>
          </w:tcPr>
          <w:p>
            <w:pPr>
              <w:spacing w:after="0" w:line="240" w:lineRule="auto"/>
            </w:pPr>
            <w:r>
              <w:rPr>
                <w:rFonts w:ascii="Times New Roman" w:hAnsi="Times New Roman"/>
                <w:sz w:val="16"/>
              </w:rPr>
              <w:t>“Bâkıllânî (ö. 403/10113...”</w:t>
            </w:r>
          </w:p>
        </w:tc>
        <w:tc>
          <w:tcPr>
            <w:tcW w:type="dxa" w:w="1757"/>
            <w:vAlign w:val="top"/>
          </w:tcPr>
          <w:p>
            <w:pPr>
              <w:spacing w:after="0" w:line="240" w:lineRule="auto"/>
            </w:pPr>
            <w:r>
              <w:rPr>
                <w:rFonts w:ascii="Times New Roman" w:hAnsi="Times New Roman"/>
                <w:sz w:val="16"/>
              </w:rPr>
              <w:t>Bozuk tarih</w:t>
            </w:r>
          </w:p>
        </w:tc>
        <w:tc>
          <w:tcPr>
            <w:tcW w:type="dxa" w:w="3402"/>
            <w:vAlign w:val="top"/>
          </w:tcPr>
          <w:p>
            <w:pPr>
              <w:spacing w:after="0" w:line="240" w:lineRule="auto"/>
            </w:pPr>
            <w:r>
              <w:rPr>
                <w:rFonts w:ascii="Times New Roman" w:hAnsi="Times New Roman"/>
                <w:sz w:val="16"/>
              </w:rPr>
              <w:t>Doğrulama sonrası standart tarih.</w:t>
            </w:r>
          </w:p>
        </w:tc>
      </w:tr>
      <w:tr>
        <w:trPr>
          <w:cantSplit/>
          <w:cantSplit/>
        </w:trPr>
        <w:tc>
          <w:tcPr>
            <w:tcW w:type="dxa" w:w="1871"/>
            <w:vAlign w:val="top"/>
          </w:tcPr>
          <w:p>
            <w:pPr>
              <w:spacing w:after="0" w:line="240" w:lineRule="auto"/>
            </w:pPr>
            <w:r>
              <w:rPr>
                <w:rFonts w:ascii="Times New Roman" w:hAnsi="Times New Roman"/>
                <w:sz w:val="16"/>
              </w:rPr>
              <w:t>1.9.1</w:t>
            </w:r>
          </w:p>
        </w:tc>
        <w:tc>
          <w:tcPr>
            <w:tcW w:type="dxa" w:w="3515"/>
            <w:vAlign w:val="top"/>
          </w:tcPr>
          <w:p>
            <w:pPr>
              <w:spacing w:after="0" w:line="240" w:lineRule="auto"/>
            </w:pPr>
            <w:r>
              <w:rPr>
                <w:rFonts w:ascii="Times New Roman" w:hAnsi="Times New Roman"/>
                <w:sz w:val="16"/>
              </w:rPr>
              <w:t>“... ayrı yazılması fasl).”</w:t>
            </w:r>
          </w:p>
        </w:tc>
        <w:tc>
          <w:tcPr>
            <w:tcW w:type="dxa" w:w="1757"/>
            <w:vAlign w:val="top"/>
          </w:tcPr>
          <w:p>
            <w:pPr>
              <w:spacing w:after="0" w:line="240" w:lineRule="auto"/>
            </w:pPr>
            <w:r>
              <w:rPr>
                <w:rFonts w:ascii="Times New Roman" w:hAnsi="Times New Roman"/>
                <w:sz w:val="16"/>
              </w:rPr>
              <w:t>Yarım parantez</w:t>
            </w:r>
          </w:p>
        </w:tc>
        <w:tc>
          <w:tcPr>
            <w:tcW w:type="dxa" w:w="3402"/>
            <w:vAlign w:val="top"/>
          </w:tcPr>
          <w:p>
            <w:pPr>
              <w:spacing w:after="0" w:line="240" w:lineRule="auto"/>
            </w:pPr>
            <w:r>
              <w:rPr>
                <w:rFonts w:ascii="Times New Roman" w:hAnsi="Times New Roman"/>
                <w:sz w:val="16"/>
              </w:rPr>
              <w:t>“... ayrı yazılması (fasl) ...”</w:t>
            </w:r>
          </w:p>
        </w:tc>
      </w:tr>
      <w:tr>
        <w:trPr>
          <w:cantSplit/>
          <w:cantSplit/>
        </w:trPr>
        <w:tc>
          <w:tcPr>
            <w:tcW w:type="dxa" w:w="1871"/>
            <w:vAlign w:val="top"/>
          </w:tcPr>
          <w:p>
            <w:pPr>
              <w:spacing w:after="0" w:line="240" w:lineRule="auto"/>
            </w:pPr>
            <w:r>
              <w:rPr>
                <w:rFonts w:ascii="Times New Roman" w:hAnsi="Times New Roman"/>
                <w:sz w:val="16"/>
              </w:rPr>
              <w:t>4.2 s.89</w:t>
            </w:r>
          </w:p>
        </w:tc>
        <w:tc>
          <w:tcPr>
            <w:tcW w:type="dxa" w:w="3515"/>
            <w:vAlign w:val="top"/>
          </w:tcPr>
          <w:p>
            <w:pPr>
              <w:spacing w:after="0" w:line="240" w:lineRule="auto"/>
            </w:pPr>
            <w:r>
              <w:rPr>
                <w:rFonts w:ascii="Times New Roman" w:hAnsi="Times New Roman"/>
                <w:sz w:val="16"/>
              </w:rPr>
              <w:t>“(burası daha önce düzeltilmemiş...)”</w:t>
            </w:r>
          </w:p>
        </w:tc>
        <w:tc>
          <w:tcPr>
            <w:tcW w:type="dxa" w:w="1757"/>
            <w:vAlign w:val="top"/>
          </w:tcPr>
          <w:p>
            <w:pPr>
              <w:spacing w:after="0" w:line="240" w:lineRule="auto"/>
            </w:pPr>
            <w:r>
              <w:rPr>
                <w:rFonts w:ascii="Times New Roman" w:hAnsi="Times New Roman"/>
                <w:sz w:val="16"/>
              </w:rPr>
              <w:t>Çalışma notu</w:t>
            </w:r>
          </w:p>
        </w:tc>
        <w:tc>
          <w:tcPr>
            <w:tcW w:type="dxa" w:w="3402"/>
            <w:vAlign w:val="top"/>
          </w:tcPr>
          <w:p>
            <w:pPr>
              <w:spacing w:after="0" w:line="240" w:lineRule="auto"/>
            </w:pPr>
            <w:r>
              <w:rPr>
                <w:rFonts w:ascii="Times New Roman" w:hAnsi="Times New Roman"/>
                <w:sz w:val="16"/>
              </w:rPr>
              <w:t>Tamamen silinmeli.</w:t>
            </w:r>
          </w:p>
        </w:tc>
      </w:tr>
      <w:tr>
        <w:trPr>
          <w:cantSplit/>
          <w:cantSplit/>
        </w:trPr>
        <w:tc>
          <w:tcPr>
            <w:tcW w:type="dxa" w:w="1871"/>
            <w:vAlign w:val="top"/>
          </w:tcPr>
          <w:p>
            <w:pPr>
              <w:spacing w:after="0" w:line="240" w:lineRule="auto"/>
            </w:pPr>
            <w:r>
              <w:rPr>
                <w:rFonts w:ascii="Times New Roman" w:hAnsi="Times New Roman"/>
                <w:sz w:val="16"/>
              </w:rPr>
              <w:t>4.5 s.100</w:t>
            </w:r>
          </w:p>
        </w:tc>
        <w:tc>
          <w:tcPr>
            <w:tcW w:type="dxa" w:w="3515"/>
            <w:vAlign w:val="top"/>
          </w:tcPr>
          <w:p>
            <w:pPr>
              <w:spacing w:after="0" w:line="240" w:lineRule="auto"/>
            </w:pPr>
            <w:r>
              <w:rPr>
                <w:rFonts w:ascii="Times New Roman" w:hAnsi="Times New Roman"/>
                <w:sz w:val="16"/>
              </w:rPr>
              <w:t>“İbn Mu‘âz ... (ö. 442/10509...”</w:t>
            </w:r>
          </w:p>
        </w:tc>
        <w:tc>
          <w:tcPr>
            <w:tcW w:type="dxa" w:w="1757"/>
            <w:vAlign w:val="top"/>
          </w:tcPr>
          <w:p>
            <w:pPr>
              <w:spacing w:after="0" w:line="240" w:lineRule="auto"/>
            </w:pPr>
            <w:r>
              <w:rPr>
                <w:rFonts w:ascii="Times New Roman" w:hAnsi="Times New Roman"/>
                <w:sz w:val="16"/>
              </w:rPr>
              <w:t>Bozuk tarih</w:t>
            </w:r>
          </w:p>
        </w:tc>
        <w:tc>
          <w:tcPr>
            <w:tcW w:type="dxa" w:w="3402"/>
            <w:vAlign w:val="top"/>
          </w:tcPr>
          <w:p>
            <w:pPr>
              <w:spacing w:after="0" w:line="240" w:lineRule="auto"/>
            </w:pPr>
            <w:r>
              <w:rPr>
                <w:rFonts w:ascii="Times New Roman" w:hAnsi="Times New Roman"/>
                <w:sz w:val="16"/>
              </w:rPr>
              <w:t>Doğrulama sonrası standart tarih.</w:t>
            </w:r>
          </w:p>
        </w:tc>
      </w:tr>
      <w:tr>
        <w:trPr>
          <w:cantSplit/>
          <w:cantSplit/>
        </w:trPr>
        <w:tc>
          <w:tcPr>
            <w:tcW w:type="dxa" w:w="1871"/>
            <w:vAlign w:val="top"/>
          </w:tcPr>
          <w:p>
            <w:pPr>
              <w:spacing w:after="0" w:line="240" w:lineRule="auto"/>
            </w:pPr>
            <w:r>
              <w:rPr>
                <w:rFonts w:ascii="Times New Roman" w:hAnsi="Times New Roman"/>
                <w:sz w:val="16"/>
              </w:rPr>
              <w:t>4.7 s.108</w:t>
            </w:r>
          </w:p>
        </w:tc>
        <w:tc>
          <w:tcPr>
            <w:tcW w:type="dxa" w:w="3515"/>
            <w:vAlign w:val="top"/>
          </w:tcPr>
          <w:p>
            <w:pPr>
              <w:spacing w:after="0" w:line="240" w:lineRule="auto"/>
            </w:pPr>
            <w:r>
              <w:rPr>
                <w:rFonts w:ascii="Times New Roman" w:hAnsi="Times New Roman"/>
                <w:sz w:val="16"/>
              </w:rPr>
              <w:t>“Mevlây Osman (?)”</w:t>
            </w:r>
          </w:p>
        </w:tc>
        <w:tc>
          <w:tcPr>
            <w:tcW w:type="dxa" w:w="1757"/>
            <w:vAlign w:val="top"/>
          </w:tcPr>
          <w:p>
            <w:pPr>
              <w:spacing w:after="0" w:line="240" w:lineRule="auto"/>
            </w:pPr>
            <w:r>
              <w:rPr>
                <w:rFonts w:ascii="Times New Roman" w:hAnsi="Times New Roman"/>
                <w:sz w:val="16"/>
              </w:rPr>
              <w:t>Belirsiz kişi</w:t>
            </w:r>
          </w:p>
        </w:tc>
        <w:tc>
          <w:tcPr>
            <w:tcW w:type="dxa" w:w="3402"/>
            <w:vAlign w:val="top"/>
          </w:tcPr>
          <w:p>
            <w:pPr>
              <w:spacing w:after="0" w:line="240" w:lineRule="auto"/>
            </w:pPr>
            <w:r>
              <w:rPr>
                <w:rFonts w:ascii="Times New Roman" w:hAnsi="Times New Roman"/>
                <w:sz w:val="16"/>
              </w:rPr>
              <w:t>Kaynak doğrulanmadan isim kullanılmamalı.</w:t>
            </w:r>
          </w:p>
        </w:tc>
      </w:tr>
      <w:tr>
        <w:trPr>
          <w:cantSplit/>
          <w:cantSplit/>
        </w:trPr>
        <w:tc>
          <w:tcPr>
            <w:tcW w:type="dxa" w:w="1871"/>
            <w:vAlign w:val="top"/>
          </w:tcPr>
          <w:p>
            <w:pPr>
              <w:spacing w:after="0" w:line="240" w:lineRule="auto"/>
            </w:pPr>
            <w:r>
              <w:rPr>
                <w:rFonts w:ascii="Times New Roman" w:hAnsi="Times New Roman"/>
                <w:sz w:val="16"/>
              </w:rPr>
              <w:t>4.7 s.110</w:t>
            </w:r>
          </w:p>
        </w:tc>
        <w:tc>
          <w:tcPr>
            <w:tcW w:type="dxa" w:w="3515"/>
            <w:vAlign w:val="top"/>
          </w:tcPr>
          <w:p>
            <w:pPr>
              <w:spacing w:after="0" w:line="240" w:lineRule="auto"/>
            </w:pPr>
            <w:r>
              <w:rPr>
                <w:rFonts w:ascii="Times New Roman" w:hAnsi="Times New Roman"/>
                <w:sz w:val="16"/>
              </w:rPr>
              <w:t>“Meclisin ... kontrol altına aldığını ortaya koymaktadır”</w:t>
            </w:r>
          </w:p>
        </w:tc>
        <w:tc>
          <w:tcPr>
            <w:tcW w:type="dxa" w:w="1757"/>
            <w:vAlign w:val="top"/>
          </w:tcPr>
          <w:p>
            <w:pPr>
              <w:spacing w:after="0" w:line="240" w:lineRule="auto"/>
            </w:pPr>
            <w:r>
              <w:rPr>
                <w:rFonts w:ascii="Times New Roman" w:hAnsi="Times New Roman"/>
                <w:sz w:val="16"/>
              </w:rPr>
              <w:t>Özne eksikliği</w:t>
            </w:r>
          </w:p>
        </w:tc>
        <w:tc>
          <w:tcPr>
            <w:tcW w:type="dxa" w:w="3402"/>
            <w:vAlign w:val="top"/>
          </w:tcPr>
          <w:p>
            <w:pPr>
              <w:spacing w:after="0" w:line="240" w:lineRule="auto"/>
            </w:pPr>
            <w:r>
              <w:rPr>
                <w:rFonts w:ascii="Times New Roman" w:hAnsi="Times New Roman"/>
                <w:sz w:val="16"/>
              </w:rPr>
              <w:t>“Meclisin ... kontrol altında tuttuğu anlaşılmaktadır.”</w:t>
            </w:r>
          </w:p>
        </w:tc>
      </w:tr>
    </w:tbl>
    <w:p>
      <w:pPr>
        <w:pStyle w:val="Compact"/>
      </w:pPr>
    </w:p>
    <w:p>
      <w:pPr/>
      <w:r>
        <w:t>Bunlara ek olarak kitapta kelime düzeyindeki mikro tashihler toplu bir son okuma gerektirir. Özellikle “de/da”, kesme işareti, çift boşluk, parantez, ölüm tarihi parantezleri ve Arapça/Türkçe yön karışımı otomatik arama + insan kontrolüyle temizlenmelidir.</w:t>
      </w:r>
    </w:p>
    <w:p>
      <w:pPr>
        <w:pStyle w:val="Heading2"/>
        <w:keepNext/>
        <w:keepLines/>
      </w:pPr>
      <w:r>
        <w:t>17. Üslup ve Tekrarlayan Kalıplar</w:t>
      </w:r>
    </w:p>
    <w:tbl>
      <w:tblPr>
        <w:tblStyle w:val="TableGrid"/>
        <w:tblW w:type="auto" w:w="0"/>
        <w:jc w:val="center"/>
        <w:tblLook w:firstColumn="1" w:firstRow="1" w:lastColumn="0" w:lastRow="0" w:noHBand="0" w:noVBand="1" w:val="04A0"/>
      </w:tblPr>
      <w:tblGrid>
        <w:gridCol w:w="3230"/>
        <w:gridCol w:w="3230"/>
        <w:gridCol w:w="3230"/>
      </w:tblGrid>
      <w:tr>
        <w:trPr>
          <w:cantSplit/>
          <w:cantSplit/>
        </w:trPr>
        <w:tc>
          <w:tcPr>
            <w:tcW w:type="dxa" w:w="2835"/>
            <w:shd w:fill="D9E2F3"/>
            <w:vAlign w:val="center"/>
          </w:tcPr>
          <w:p>
            <w:r>
              <w:rPr>
                <w:rFonts w:ascii="Times New Roman" w:hAnsi="Times New Roman"/>
                <w:b/>
                <w:sz w:val="16"/>
              </w:rPr>
              <w:t>Kalıp</w:t>
            </w:r>
          </w:p>
        </w:tc>
        <w:tc>
          <w:tcPr>
            <w:tcW w:type="dxa" w:w="2268"/>
            <w:shd w:fill="D9E2F3"/>
            <w:vAlign w:val="center"/>
          </w:tcPr>
          <w:p>
            <w:r>
              <w:rPr>
                <w:rFonts w:ascii="Times New Roman" w:hAnsi="Times New Roman"/>
                <w:b/>
                <w:sz w:val="16"/>
              </w:rPr>
              <w:t>Yaklaşık gövde sıklığı</w:t>
            </w:r>
          </w:p>
        </w:tc>
        <w:tc>
          <w:tcPr>
            <w:tcW w:type="dxa" w:w="5669"/>
            <w:shd w:fill="D9E2F3"/>
            <w:vAlign w:val="center"/>
          </w:tcPr>
          <w:p>
            <w:r>
              <w:rPr>
                <w:rFonts w:ascii="Times New Roman" w:hAnsi="Times New Roman"/>
                <w:b/>
                <w:sz w:val="16"/>
              </w:rPr>
              <w:t>Değerlendirme</w:t>
            </w:r>
          </w:p>
        </w:tc>
      </w:tr>
      <w:tr>
        <w:trPr>
          <w:cantSplit/>
          <w:cantSplit/>
        </w:trPr>
        <w:tc>
          <w:tcPr>
            <w:tcW w:type="dxa" w:w="2835"/>
            <w:vAlign w:val="top"/>
          </w:tcPr>
          <w:p>
            <w:pPr>
              <w:spacing w:after="0" w:line="240" w:lineRule="auto"/>
            </w:pPr>
            <w:r>
              <w:rPr>
                <w:rFonts w:ascii="Times New Roman" w:hAnsi="Times New Roman"/>
                <w:sz w:val="16"/>
              </w:rPr>
              <w:t>değil</w:t>
            </w:r>
          </w:p>
        </w:tc>
        <w:tc>
          <w:tcPr>
            <w:tcW w:type="dxa" w:w="2268"/>
            <w:vAlign w:val="top"/>
          </w:tcPr>
          <w:p>
            <w:pPr>
              <w:spacing w:after="0" w:line="240" w:lineRule="auto"/>
            </w:pPr>
            <w:r>
              <w:rPr>
                <w:rFonts w:ascii="Times New Roman" w:hAnsi="Times New Roman"/>
                <w:sz w:val="16"/>
              </w:rPr>
              <w:t>213</w:t>
            </w:r>
          </w:p>
        </w:tc>
        <w:tc>
          <w:tcPr>
            <w:tcW w:type="dxa" w:w="5669"/>
            <w:vAlign w:val="top"/>
          </w:tcPr>
          <w:p>
            <w:pPr>
              <w:spacing w:after="0" w:line="240" w:lineRule="auto"/>
            </w:pPr>
            <w:r>
              <w:rPr>
                <w:rFonts w:ascii="Times New Roman" w:hAnsi="Times New Roman"/>
                <w:sz w:val="16"/>
              </w:rPr>
              <w:t>Kendisi hata değil; yakın cümlelerde negatif tanım dizileri azaltılmalı.</w:t>
            </w:r>
          </w:p>
        </w:tc>
      </w:tr>
      <w:tr>
        <w:trPr>
          <w:cantSplit/>
          <w:cantSplit/>
        </w:trPr>
        <w:tc>
          <w:tcPr>
            <w:tcW w:type="dxa" w:w="2835"/>
            <w:vAlign w:val="top"/>
          </w:tcPr>
          <w:p>
            <w:pPr>
              <w:spacing w:after="0" w:line="240" w:lineRule="auto"/>
            </w:pPr>
            <w:r>
              <w:rPr>
                <w:rFonts w:ascii="Times New Roman" w:hAnsi="Times New Roman"/>
                <w:sz w:val="16"/>
              </w:rPr>
              <w:t>değildir</w:t>
            </w:r>
          </w:p>
        </w:tc>
        <w:tc>
          <w:tcPr>
            <w:tcW w:type="dxa" w:w="2268"/>
            <w:vAlign w:val="top"/>
          </w:tcPr>
          <w:p>
            <w:pPr>
              <w:spacing w:after="0" w:line="240" w:lineRule="auto"/>
            </w:pPr>
            <w:r>
              <w:rPr>
                <w:rFonts w:ascii="Times New Roman" w:hAnsi="Times New Roman"/>
                <w:sz w:val="16"/>
              </w:rPr>
              <w:t>67</w:t>
            </w:r>
          </w:p>
        </w:tc>
        <w:tc>
          <w:tcPr>
            <w:tcW w:type="dxa" w:w="5669"/>
            <w:vAlign w:val="top"/>
          </w:tcPr>
          <w:p>
            <w:pPr>
              <w:spacing w:after="0" w:line="240" w:lineRule="auto"/>
            </w:pPr>
            <w:r>
              <w:rPr>
                <w:rFonts w:ascii="Times New Roman" w:hAnsi="Times New Roman"/>
                <w:sz w:val="16"/>
              </w:rPr>
              <w:t>Tanım paragraflarında olumlu tanımla çeşitlendirilmeli.</w:t>
            </w:r>
          </w:p>
        </w:tc>
      </w:tr>
      <w:tr>
        <w:trPr>
          <w:cantSplit/>
          <w:cantSplit/>
        </w:trPr>
        <w:tc>
          <w:tcPr>
            <w:tcW w:type="dxa" w:w="2835"/>
            <w:vAlign w:val="top"/>
          </w:tcPr>
          <w:p>
            <w:pPr>
              <w:spacing w:after="0" w:line="240" w:lineRule="auto"/>
            </w:pPr>
            <w:r>
              <w:rPr>
                <w:rFonts w:ascii="Times New Roman" w:hAnsi="Times New Roman"/>
                <w:sz w:val="16"/>
              </w:rPr>
              <w:t>sonuç olarak</w:t>
            </w:r>
          </w:p>
        </w:tc>
        <w:tc>
          <w:tcPr>
            <w:tcW w:type="dxa" w:w="2268"/>
            <w:vAlign w:val="top"/>
          </w:tcPr>
          <w:p>
            <w:pPr>
              <w:spacing w:after="0" w:line="240" w:lineRule="auto"/>
            </w:pPr>
            <w:r>
              <w:rPr>
                <w:rFonts w:ascii="Times New Roman" w:hAnsi="Times New Roman"/>
                <w:sz w:val="16"/>
              </w:rPr>
              <w:t>15</w:t>
            </w:r>
          </w:p>
        </w:tc>
        <w:tc>
          <w:tcPr>
            <w:tcW w:type="dxa" w:w="5669"/>
            <w:vAlign w:val="top"/>
          </w:tcPr>
          <w:p>
            <w:pPr>
              <w:spacing w:after="0" w:line="240" w:lineRule="auto"/>
            </w:pPr>
            <w:r>
              <w:rPr>
                <w:rFonts w:ascii="Times New Roman" w:hAnsi="Times New Roman"/>
                <w:sz w:val="16"/>
              </w:rPr>
              <w:t>Bölüm sonlarında formülaik tekrar görülenler değiştirilmeli.</w:t>
            </w:r>
          </w:p>
        </w:tc>
      </w:tr>
      <w:tr>
        <w:trPr>
          <w:cantSplit/>
          <w:cantSplit/>
        </w:trPr>
        <w:tc>
          <w:tcPr>
            <w:tcW w:type="dxa" w:w="2835"/>
            <w:vAlign w:val="top"/>
          </w:tcPr>
          <w:p>
            <w:pPr>
              <w:spacing w:after="0" w:line="240" w:lineRule="auto"/>
            </w:pPr>
            <w:r>
              <w:rPr>
                <w:rFonts w:ascii="Times New Roman" w:hAnsi="Times New Roman"/>
                <w:sz w:val="16"/>
              </w:rPr>
              <w:t>Bütün bu veriler…</w:t>
            </w:r>
          </w:p>
        </w:tc>
        <w:tc>
          <w:tcPr>
            <w:tcW w:type="dxa" w:w="2268"/>
            <w:vAlign w:val="top"/>
          </w:tcPr>
          <w:p>
            <w:pPr>
              <w:spacing w:after="0" w:line="240" w:lineRule="auto"/>
            </w:pPr>
            <w:r>
              <w:rPr>
                <w:rFonts w:ascii="Times New Roman" w:hAnsi="Times New Roman"/>
                <w:sz w:val="16"/>
              </w:rPr>
              <w:t>4</w:t>
            </w:r>
          </w:p>
        </w:tc>
        <w:tc>
          <w:tcPr>
            <w:tcW w:type="dxa" w:w="5669"/>
            <w:vAlign w:val="top"/>
          </w:tcPr>
          <w:p>
            <w:pPr>
              <w:spacing w:after="0" w:line="240" w:lineRule="auto"/>
            </w:pPr>
            <w:r>
              <w:rPr>
                <w:rFonts w:ascii="Times New Roman" w:hAnsi="Times New Roman"/>
                <w:sz w:val="16"/>
              </w:rPr>
              <w:t>Özellikle aynı bölüm içinde tekrar edenler doğal geçişle değiştirilmeli.</w:t>
            </w:r>
          </w:p>
        </w:tc>
      </w:tr>
      <w:tr>
        <w:trPr>
          <w:cantSplit/>
          <w:cantSplit/>
        </w:trPr>
        <w:tc>
          <w:tcPr>
            <w:tcW w:type="dxa" w:w="2835"/>
            <w:vAlign w:val="top"/>
          </w:tcPr>
          <w:p>
            <w:pPr>
              <w:spacing w:after="0" w:line="240" w:lineRule="auto"/>
            </w:pPr>
            <w:r>
              <w:rPr>
                <w:rFonts w:ascii="Times New Roman" w:hAnsi="Times New Roman"/>
                <w:sz w:val="16"/>
              </w:rPr>
              <w:t>açıkça ortaya koymaktadır</w:t>
            </w:r>
          </w:p>
        </w:tc>
        <w:tc>
          <w:tcPr>
            <w:tcW w:type="dxa" w:w="2268"/>
            <w:vAlign w:val="top"/>
          </w:tcPr>
          <w:p>
            <w:pPr>
              <w:spacing w:after="0" w:line="240" w:lineRule="auto"/>
            </w:pPr>
            <w:r>
              <w:rPr>
                <w:rFonts w:ascii="Times New Roman" w:hAnsi="Times New Roman"/>
                <w:sz w:val="16"/>
              </w:rPr>
              <w:t>7</w:t>
            </w:r>
          </w:p>
        </w:tc>
        <w:tc>
          <w:tcPr>
            <w:tcW w:type="dxa" w:w="5669"/>
            <w:vAlign w:val="top"/>
          </w:tcPr>
          <w:p>
            <w:pPr>
              <w:spacing w:after="0" w:line="240" w:lineRule="auto"/>
            </w:pPr>
            <w:r>
              <w:rPr>
                <w:rFonts w:ascii="Times New Roman" w:hAnsi="Times New Roman"/>
                <w:sz w:val="16"/>
              </w:rPr>
              <w:t>Kanıt düzeyini yükseltiyor; bağlama özgü daha ölçülü fiiller seçilmeli.</w:t>
            </w:r>
          </w:p>
        </w:tc>
      </w:tr>
      <w:tr>
        <w:trPr>
          <w:cantSplit/>
          <w:cantSplit/>
        </w:trPr>
        <w:tc>
          <w:tcPr>
            <w:tcW w:type="dxa" w:w="2835"/>
            <w:vAlign w:val="top"/>
          </w:tcPr>
          <w:p>
            <w:pPr>
              <w:spacing w:after="0" w:line="240" w:lineRule="auto"/>
            </w:pPr>
            <w:r>
              <w:rPr>
                <w:rFonts w:ascii="Times New Roman" w:hAnsi="Times New Roman"/>
                <w:sz w:val="16"/>
              </w:rPr>
              <w:t>klasik</w:t>
            </w:r>
          </w:p>
        </w:tc>
        <w:tc>
          <w:tcPr>
            <w:tcW w:type="dxa" w:w="2268"/>
            <w:vAlign w:val="top"/>
          </w:tcPr>
          <w:p>
            <w:pPr>
              <w:spacing w:after="0" w:line="240" w:lineRule="auto"/>
            </w:pPr>
            <w:r>
              <w:rPr>
                <w:rFonts w:ascii="Times New Roman" w:hAnsi="Times New Roman"/>
                <w:sz w:val="16"/>
              </w:rPr>
              <w:t>46</w:t>
            </w:r>
          </w:p>
        </w:tc>
        <w:tc>
          <w:tcPr>
            <w:tcW w:type="dxa" w:w="5669"/>
            <w:vAlign w:val="top"/>
          </w:tcPr>
          <w:p>
            <w:pPr>
              <w:spacing w:after="0" w:line="240" w:lineRule="auto"/>
            </w:pPr>
            <w:r>
              <w:rPr>
                <w:rFonts w:ascii="Times New Roman" w:hAnsi="Times New Roman"/>
                <w:sz w:val="16"/>
              </w:rPr>
              <w:t>Belirsiz kullanımlarda “erken dönem kaynakları / resm literatürü / kırâat literatürü / sonraki müellifler” denmeli.</w:t>
            </w:r>
          </w:p>
        </w:tc>
      </w:tr>
      <w:tr>
        <w:trPr>
          <w:cantSplit/>
          <w:cantSplit/>
        </w:trPr>
        <w:tc>
          <w:tcPr>
            <w:tcW w:type="dxa" w:w="2835"/>
            <w:vAlign w:val="top"/>
          </w:tcPr>
          <w:p>
            <w:pPr>
              <w:spacing w:after="0" w:line="240" w:lineRule="auto"/>
            </w:pPr>
            <w:r>
              <w:rPr>
                <w:rFonts w:ascii="Times New Roman" w:hAnsi="Times New Roman"/>
                <w:sz w:val="16"/>
              </w:rPr>
              <w:t>Nitekim</w:t>
            </w:r>
          </w:p>
        </w:tc>
        <w:tc>
          <w:tcPr>
            <w:tcW w:type="dxa" w:w="2268"/>
            <w:vAlign w:val="top"/>
          </w:tcPr>
          <w:p>
            <w:pPr>
              <w:spacing w:after="0" w:line="240" w:lineRule="auto"/>
            </w:pPr>
            <w:r>
              <w:rPr>
                <w:rFonts w:ascii="Times New Roman" w:hAnsi="Times New Roman"/>
                <w:sz w:val="16"/>
              </w:rPr>
              <w:t>91</w:t>
            </w:r>
          </w:p>
        </w:tc>
        <w:tc>
          <w:tcPr>
            <w:tcW w:type="dxa" w:w="5669"/>
            <w:vAlign w:val="top"/>
          </w:tcPr>
          <w:p>
            <w:pPr>
              <w:spacing w:after="0" w:line="240" w:lineRule="auto"/>
            </w:pPr>
            <w:r>
              <w:rPr>
                <w:rFonts w:ascii="Times New Roman" w:hAnsi="Times New Roman"/>
                <w:sz w:val="16"/>
              </w:rPr>
              <w:t>Yakın paragraflarda yüksek tekrar; giriş bağlacı çeşitlendirilmeli.</w:t>
            </w:r>
          </w:p>
        </w:tc>
      </w:tr>
      <w:tr>
        <w:trPr>
          <w:cantSplit/>
          <w:cantSplit/>
        </w:trPr>
        <w:tc>
          <w:tcPr>
            <w:tcW w:type="dxa" w:w="2835"/>
            <w:vAlign w:val="top"/>
          </w:tcPr>
          <w:p>
            <w:pPr>
              <w:spacing w:after="0" w:line="240" w:lineRule="auto"/>
            </w:pPr>
            <w:r>
              <w:rPr>
                <w:rFonts w:ascii="Times New Roman" w:hAnsi="Times New Roman"/>
                <w:sz w:val="16"/>
              </w:rPr>
              <w:t>Dolayısıyla</w:t>
            </w:r>
          </w:p>
        </w:tc>
        <w:tc>
          <w:tcPr>
            <w:tcW w:type="dxa" w:w="2268"/>
            <w:vAlign w:val="top"/>
          </w:tcPr>
          <w:p>
            <w:pPr>
              <w:spacing w:after="0" w:line="240" w:lineRule="auto"/>
            </w:pPr>
            <w:r>
              <w:rPr>
                <w:rFonts w:ascii="Times New Roman" w:hAnsi="Times New Roman"/>
                <w:sz w:val="16"/>
              </w:rPr>
              <w:t>54</w:t>
            </w:r>
          </w:p>
        </w:tc>
        <w:tc>
          <w:tcPr>
            <w:tcW w:type="dxa" w:w="5669"/>
            <w:vAlign w:val="top"/>
          </w:tcPr>
          <w:p>
            <w:pPr>
              <w:spacing w:after="0" w:line="240" w:lineRule="auto"/>
            </w:pPr>
            <w:r>
              <w:rPr>
                <w:rFonts w:ascii="Times New Roman" w:hAnsi="Times New Roman"/>
                <w:sz w:val="16"/>
              </w:rPr>
              <w:t>Nedenselliği gereksiz kuvvetlendirdiği yerler özellikle kontrol edilmeli.</w:t>
            </w:r>
          </w:p>
        </w:tc>
      </w:tr>
      <w:tr>
        <w:trPr>
          <w:cantSplit/>
          <w:cantSplit/>
        </w:trPr>
        <w:tc>
          <w:tcPr>
            <w:tcW w:type="dxa" w:w="2835"/>
            <w:vAlign w:val="top"/>
          </w:tcPr>
          <w:p>
            <w:pPr>
              <w:spacing w:after="0" w:line="240" w:lineRule="auto"/>
            </w:pPr>
            <w:r>
              <w:rPr>
                <w:rFonts w:ascii="Times New Roman" w:hAnsi="Times New Roman"/>
                <w:sz w:val="16"/>
              </w:rPr>
              <w:t>göstermektedir</w:t>
            </w:r>
          </w:p>
        </w:tc>
        <w:tc>
          <w:tcPr>
            <w:tcW w:type="dxa" w:w="2268"/>
            <w:vAlign w:val="top"/>
          </w:tcPr>
          <w:p>
            <w:pPr>
              <w:spacing w:after="0" w:line="240" w:lineRule="auto"/>
            </w:pPr>
            <w:r>
              <w:rPr>
                <w:rFonts w:ascii="Times New Roman" w:hAnsi="Times New Roman"/>
                <w:sz w:val="16"/>
              </w:rPr>
              <w:t>127</w:t>
            </w:r>
          </w:p>
        </w:tc>
        <w:tc>
          <w:tcPr>
            <w:tcW w:type="dxa" w:w="5669"/>
            <w:vAlign w:val="top"/>
          </w:tcPr>
          <w:p>
            <w:pPr>
              <w:spacing w:after="0" w:line="240" w:lineRule="auto"/>
            </w:pPr>
            <w:r>
              <w:rPr>
                <w:rFonts w:ascii="Times New Roman" w:hAnsi="Times New Roman"/>
                <w:sz w:val="16"/>
              </w:rPr>
              <w:t>Sürekli aynı sonuç fiili; kanıt türüne göre “işaret eder, destekler, aktarır, düşündürür, kaydeder” ayrımı yapılmalı.</w:t>
            </w:r>
          </w:p>
        </w:tc>
      </w:tr>
      <w:tr>
        <w:trPr>
          <w:cantSplit/>
          <w:cantSplit/>
        </w:trPr>
        <w:tc>
          <w:tcPr>
            <w:tcW w:type="dxa" w:w="2835"/>
            <w:vAlign w:val="top"/>
          </w:tcPr>
          <w:p>
            <w:pPr>
              <w:spacing w:after="0" w:line="240" w:lineRule="auto"/>
            </w:pPr>
            <w:r>
              <w:rPr>
                <w:rFonts w:ascii="Times New Roman" w:hAnsi="Times New Roman"/>
                <w:sz w:val="16"/>
              </w:rPr>
              <w:t>ortaya koymaktadır</w:t>
            </w:r>
          </w:p>
        </w:tc>
        <w:tc>
          <w:tcPr>
            <w:tcW w:type="dxa" w:w="2268"/>
            <w:vAlign w:val="top"/>
          </w:tcPr>
          <w:p>
            <w:pPr>
              <w:spacing w:after="0" w:line="240" w:lineRule="auto"/>
            </w:pPr>
            <w:r>
              <w:rPr>
                <w:rFonts w:ascii="Times New Roman" w:hAnsi="Times New Roman"/>
                <w:sz w:val="16"/>
              </w:rPr>
              <w:t>42</w:t>
            </w:r>
          </w:p>
        </w:tc>
        <w:tc>
          <w:tcPr>
            <w:tcW w:type="dxa" w:w="5669"/>
            <w:vAlign w:val="top"/>
          </w:tcPr>
          <w:p>
            <w:pPr>
              <w:spacing w:after="0" w:line="240" w:lineRule="auto"/>
            </w:pPr>
            <w:r>
              <w:rPr>
                <w:rFonts w:ascii="Times New Roman" w:hAnsi="Times New Roman"/>
                <w:sz w:val="16"/>
              </w:rPr>
              <w:t>Aşırı kesinlik ve formül etkisi; bağlam bazlı düzeltme gerekli.</w:t>
            </w:r>
          </w:p>
        </w:tc>
      </w:tr>
    </w:tbl>
    <w:p>
      <w:pPr>
        <w:pStyle w:val="Compact"/>
      </w:pPr>
    </w:p>
    <w:p>
      <w:pPr/>
      <w:r>
        <w:t>“-maktadır/-mektedir” akademik Türkçede meşrudur; bu rapor bunların topluca kaldırılmasını önermemektedir. Sorun, aynı paragrafta art arda “göstermektedir / ortaya koymaktadır / anlaşılmaktadır” zincirlerinin metni mekanikleştirmesidir.</w:t>
      </w:r>
    </w:p>
    <w:p>
      <w:pPr>
        <w:pStyle w:val="Heading2"/>
        <w:keepNext/>
        <w:keepLines/>
      </w:pPr>
      <w:r>
        <w:t>18. Arapça Metin ve Dizgi</w:t>
      </w:r>
    </w:p>
    <w:p>
      <w:pPr/>
      <w:r>
        <w:t>OOXML düzeyindeki teknik taramada 60 gövde paragrafında Arapça karakter tespit edildi. Bu paragrafların hiçbirinde paragraf düzeyinde w:bidi ayarı yoktur. Arapça run’ların RTL niteliği vardır; ancak Arapça içeren 53 dipnotlu paragrafta dipnot referans run’larından yalnızca 1’i RTL işaretlidir. Bu yapı Word sürümü, font ve satır kırılması değiştiğinde dipnot rakamının Arapça ifadenin görsel olarak yanlış tarafına sıçramasına elverişlidir.</w:t>
      </w:r>
    </w:p>
    <w:p>
      <w:pPr>
        <w:pStyle w:val="Heading3"/>
        <w:keepNext/>
        <w:keepLines/>
      </w:pPr>
      <w:r>
        <w:t>ARP-01. Arapça örneklerde dipnot referansı RTL run olarak standardize edilmemiş</w:t>
      </w:r>
    </w:p>
    <w:p>
      <w:pPr/>
      <w:r>
        <w:rPr>
          <w:b/>
        </w:rPr>
        <w:t xml:space="preserve">Kategori: </w:t>
      </w:r>
      <w:r>
        <w:t>Arapça / Dizgi / Teknik</w:t>
      </w:r>
    </w:p>
    <w:p>
      <w:pPr/>
      <w:r>
        <w:rPr>
          <w:b/>
        </w:rPr>
        <w:t xml:space="preserve">Önem düzeyi: </w:t>
      </w:r>
      <w:r>
        <w:t>Yüksek</w:t>
      </w:r>
    </w:p>
    <w:p>
      <w:pPr/>
      <w:r>
        <w:rPr>
          <w:b/>
        </w:rPr>
        <w:t xml:space="preserve">Yer: </w:t>
      </w:r>
      <w:r>
        <w:t>Kitap boyunca 53 Arapça + dipnot referanslı paragraf</w:t>
      </w:r>
    </w:p>
    <w:p>
      <w:pPr>
        <w:pStyle w:val="IssueQuote"/>
      </w:pPr>
      <w:r>
        <w:t>“التابوت ... [dipnot rakamı]”</w:t>
      </w:r>
    </w:p>
    <w:p>
      <w:pPr/>
      <w:r>
        <w:rPr>
          <w:b/>
        </w:rPr>
        <w:t xml:space="preserve">Sorun: </w:t>
      </w:r>
      <w:r>
        <w:t>Kullanıcının “dipnot rakamı Arapça kelime veya âyetin sağında olmalı” talebi mevcut OOXML yapısında güvenli değildir. Belgenin tam sayfa render akışı bu ortamda aktif TOC/Zotero alanları nedeniyle kararlı tamamlanamadığından nihai görsel konum her örnekte doğrulanamamıştır; yapısal risk ise açıktır.</w:t>
      </w:r>
    </w:p>
    <w:p>
      <w:pPr/>
      <w:r>
        <w:rPr>
          <w:b/>
        </w:rPr>
        <w:t xml:space="preserve">Önerilen düzeltme: </w:t>
      </w:r>
      <w:r>
        <w:t>Arapça örnekler için ayrı bir “Arapça Metin” karakter/paragraf stili oluşturulmalı; Arapça run’lar ve bunlara bağlı dipnot referans run’ları RTL yapılmalı, paragrafın bidi/sağ hizası bağlama göre sabitlenmeli ve nihai PDF provasında her örnek gözle kontrol edilmelidir.</w:t>
      </w:r>
    </w:p>
    <w:p>
      <w:pPr>
        <w:pStyle w:val="Heading3"/>
        <w:keepNext/>
        <w:keepLines/>
      </w:pPr>
      <w:r>
        <w:t>ARP-02. Arapça örneklerin LTR paragrafla karışması satır bölünmesi riski yaratıyor</w:t>
      </w:r>
    </w:p>
    <w:p>
      <w:pPr/>
      <w:r>
        <w:rPr>
          <w:b/>
        </w:rPr>
        <w:t xml:space="preserve">Kategori: </w:t>
      </w:r>
      <w:r>
        <w:t>Arapça / Teknik</w:t>
      </w:r>
    </w:p>
    <w:p>
      <w:pPr/>
      <w:r>
        <w:rPr>
          <w:b/>
        </w:rPr>
        <w:t xml:space="preserve">Önem düzeyi: </w:t>
      </w:r>
      <w:r>
        <w:t>Orta</w:t>
      </w:r>
    </w:p>
    <w:p>
      <w:pPr/>
      <w:r>
        <w:rPr>
          <w:b/>
        </w:rPr>
        <w:t xml:space="preserve">Yer: </w:t>
      </w:r>
      <w:r>
        <w:t>Özellikle uzun âyet/kelime listeleri, 3.1–3.5 ve 4.5</w:t>
      </w:r>
    </w:p>
    <w:p>
      <w:pPr>
        <w:pStyle w:val="IssueQuote"/>
      </w:pPr>
      <w:r>
        <w:t>“Uzun Türkçe açıklama içinde Arapça kelime + parantez + dipnot + Latin metin aynı paragrafta kullanılmaktadır.”</w:t>
      </w:r>
    </w:p>
    <w:p>
      <w:pPr/>
      <w:r>
        <w:rPr>
          <w:b/>
        </w:rPr>
        <w:t xml:space="preserve">Sorun: </w:t>
      </w:r>
      <w:r>
        <w:t>Bidi algoritması noktalama ve dipnot işaretlerinin sırasını bozabilir. Uzun örneklerde Arapça ifade ayrı satıra alınmalıdır.</w:t>
      </w:r>
    </w:p>
    <w:p>
      <w:pPr/>
      <w:r>
        <w:rPr>
          <w:b/>
        </w:rPr>
        <w:t xml:space="preserve">Önerilen düzeltme: </w:t>
      </w:r>
      <w:r>
        <w:t>Uzun Arapça örnekler ayrı sağa hizalı paragrafta; Türkçe açıklama ayrı LTR paragrafta verilmelidir. Kısa inline örneklerde Arapça run ve dipnot run aynı RTL yön grubunda tutulmalıdır.</w:t>
      </w:r>
    </w:p>
    <w:p>
      <w:pPr>
        <w:pStyle w:val="Heading2"/>
        <w:keepNext/>
        <w:keepLines/>
      </w:pPr>
      <w:r>
        <w:t>19. Başlıklar, İçindekiler ve Word Yapısı</w:t>
      </w:r>
    </w:p>
    <w:p>
      <w:pPr>
        <w:pStyle w:val="Heading3"/>
        <w:keepNext/>
        <w:keepLines/>
      </w:pPr>
      <w:r>
        <w:t>WRD-01. Bütün doğrudan gövde paragrafları gerçek Heading hiyerarşisine bağlı değil</w:t>
      </w:r>
    </w:p>
    <w:p>
      <w:pPr/>
      <w:r>
        <w:rPr>
          <w:b/>
        </w:rPr>
        <w:t xml:space="preserve">Kategori: </w:t>
      </w:r>
      <w:r>
        <w:t>Word / Teknik</w:t>
      </w:r>
    </w:p>
    <w:p>
      <w:pPr/>
      <w:r>
        <w:rPr>
          <w:b/>
        </w:rPr>
        <w:t xml:space="preserve">Önem düzeyi: </w:t>
      </w:r>
      <w:r>
        <w:t>Kritik</w:t>
      </w:r>
    </w:p>
    <w:p>
      <w:pPr/>
      <w:r>
        <w:rPr>
          <w:b/>
        </w:rPr>
        <w:t xml:space="preserve">Yer: </w:t>
      </w:r>
      <w:r>
        <w:t>Tüm belge</w:t>
      </w:r>
    </w:p>
    <w:p>
      <w:pPr>
        <w:pStyle w:val="IssueQuote"/>
      </w:pPr>
      <w:r>
        <w:t>“BİRİNCİ BÖLÜM / RESM-İ MUSHAF’IN TARİHSEL OLUŞUMU... / alt başlıklar görsel biçimle ayrılmış; gerçek Heading hiyerarşisi güvenilir değildir.”</w:t>
      </w:r>
    </w:p>
    <w:p>
      <w:pPr/>
      <w:r>
        <w:rPr>
          <w:b/>
        </w:rPr>
        <w:t xml:space="preserve">Sorun: </w:t>
      </w:r>
      <w:r>
        <w:t>OOXML taramasında doğrudan gövde paragraflarının tamamı temel paragraf düzeyinde görünmektedir. Bu, İçindekiler alanını kırılgan hâle getirir, yayınevi şablonuna aktarımı ve erişilebilirlik/navigasyonu bozar. Önceki raporda bazı başlıkların Heading 1 olduğu belirtilmişken güncel dosyada hiyerarşinin tamamen kaybolması “düzeltilirken yeni sorun oluştuğu”na işaret eder.</w:t>
      </w:r>
    </w:p>
    <w:p>
      <w:pPr/>
      <w:r>
        <w:rPr>
          <w:b/>
        </w:rPr>
        <w:t xml:space="preserve">Önerilen düzeltme: </w:t>
      </w:r>
      <w:r>
        <w:t>“Bölüm Etiketi” için özel stil; ana bölüm adı için Heading 1; 1.1 türü alt başlık için Heading 2; 1.1.1 için Heading 3 uygulanmalı. Önsöz, Giriş, Sonuç ve Kaynakça aynı üst düzey stil mantığına bağlanmalıdır.</w:t>
      </w:r>
    </w:p>
    <w:p>
      <w:pPr>
        <w:pStyle w:val="Heading3"/>
        <w:keepNext/>
        <w:keepLines/>
      </w:pPr>
      <w:r>
        <w:t>WRD-02. İçindekiler uzun başlıklarda satır ve sayfa numarası kırıyor</w:t>
      </w:r>
    </w:p>
    <w:p>
      <w:pPr/>
      <w:r>
        <w:rPr>
          <w:b/>
        </w:rPr>
        <w:t xml:space="preserve">Kategori: </w:t>
      </w:r>
      <w:r>
        <w:t>İçindekiler / Dizgi</w:t>
      </w:r>
    </w:p>
    <w:p>
      <w:pPr/>
      <w:r>
        <w:rPr>
          <w:b/>
        </w:rPr>
        <w:t xml:space="preserve">Önem düzeyi: </w:t>
      </w:r>
      <w:r>
        <w:t>Yüksek</w:t>
      </w:r>
    </w:p>
    <w:p>
      <w:pPr/>
      <w:r>
        <w:rPr>
          <w:b/>
        </w:rPr>
        <w:t xml:space="preserve">Yer: </w:t>
      </w:r>
      <w:r>
        <w:t>İçindekiler s.i–ii</w:t>
      </w:r>
    </w:p>
    <w:p>
      <w:pPr>
        <w:pStyle w:val="IssueQuote"/>
      </w:pPr>
      <w:r>
        <w:t>“1.9.2, 3.10, 4.5 ve 4.6 gibi uzun başlıklar birkaç satıra bölünmekte; bazı sayfa numaraları metinden kopmaktadır.”</w:t>
      </w:r>
    </w:p>
    <w:p>
      <w:pPr/>
      <w:r>
        <w:rPr>
          <w:b/>
        </w:rPr>
        <w:t xml:space="preserve">Sorun: </w:t>
      </w:r>
      <w:r>
        <w:t>Başlık uzunluğu ve TOC sekme/girinti ayarları birlikte sorun çıkarır.</w:t>
      </w:r>
    </w:p>
    <w:p>
      <w:pPr/>
      <w:r>
        <w:rPr>
          <w:b/>
        </w:rPr>
        <w:t xml:space="preserve">Önerilen düzeltme: </w:t>
      </w:r>
      <w:r>
        <w:t>Önce başlıklar akademik olarak kısaltılmalı; ardından TOC stillerinde sağ sekme durağı ve noktalı kılavuz çizgisi ayarlanmalı. Nihai sayfa düzeninden sonra alanlar yeniden güncellenmelidir.</w:t>
      </w:r>
    </w:p>
    <w:p>
      <w:pPr>
        <w:pStyle w:val="Heading3"/>
        <w:keepNext/>
        <w:keepLines/>
      </w:pPr>
      <w:r>
        <w:t>WRD-03. Aktif Zotero alanları çalışma dosyasında yararlı, teslim kopyasında riskli</w:t>
      </w:r>
    </w:p>
    <w:p>
      <w:pPr/>
      <w:r>
        <w:rPr>
          <w:b/>
        </w:rPr>
        <w:t xml:space="preserve">Kategori: </w:t>
      </w:r>
      <w:r>
        <w:t>Word / Zotero</w:t>
      </w:r>
    </w:p>
    <w:p>
      <w:pPr/>
      <w:r>
        <w:rPr>
          <w:b/>
        </w:rPr>
        <w:t xml:space="preserve">Önem düzeyi: </w:t>
      </w:r>
      <w:r>
        <w:t>Orta</w:t>
      </w:r>
    </w:p>
    <w:p>
      <w:pPr/>
      <w:r>
        <w:rPr>
          <w:b/>
        </w:rPr>
        <w:t xml:space="preserve">Yer: </w:t>
      </w:r>
      <w:r>
        <w:t>Dipnotlar ve kaynakça</w:t>
      </w:r>
    </w:p>
    <w:p>
      <w:pPr>
        <w:pStyle w:val="IssueQuote"/>
      </w:pPr>
      <w:r>
        <w:t>“Belgede yüzlerce Zotero alanı ve TOC/PAGEREF alanı bulunmaktadır.”</w:t>
      </w:r>
    </w:p>
    <w:p>
      <w:pPr/>
      <w:r>
        <w:rPr>
          <w:b/>
        </w:rPr>
        <w:t xml:space="preserve">Sorun: </w:t>
      </w:r>
      <w:r>
        <w:t>Ana çalışma dosyasında alanların korunması doğrudur; yayınevine gidecek teslim kopyasında alan kodları, sürüm uyuşmazlığı veya otomatik yenilenme nedeniyle biçim kayabilir.</w:t>
      </w:r>
    </w:p>
    <w:p>
      <w:pPr/>
      <w:r>
        <w:rPr>
          <w:b/>
        </w:rPr>
        <w:t xml:space="preserve">Önerilen düzeltme: </w:t>
      </w:r>
      <w:r>
        <w:t>Aktif alanlı ana dosya arşivlenmeli. Yayınevi teslimi için ayrı bir kopya oluşturulmalı; son kaynakça/dipnot kontrolünden sonra Zotero alanları düz metne dönüştürülmeli ve TOC/page reference alanları son kez güncellenmelidir.</w:t>
      </w:r>
    </w:p>
    <w:p>
      <w:pPr>
        <w:pStyle w:val="Heading3"/>
        <w:keepNext/>
        <w:keepLines/>
      </w:pPr>
      <w:r>
        <w:t>WRD-04. Yazar/redaktör notları “yorum” değil, doğrudan metin içinde kırmızı içerik olarak kalmış</w:t>
      </w:r>
    </w:p>
    <w:p>
      <w:pPr/>
      <w:r>
        <w:rPr>
          <w:b/>
        </w:rPr>
        <w:t xml:space="preserve">Kategori: </w:t>
      </w:r>
      <w:r>
        <w:t>Word / Teknik</w:t>
      </w:r>
    </w:p>
    <w:p>
      <w:pPr/>
      <w:r>
        <w:rPr>
          <w:b/>
        </w:rPr>
        <w:t xml:space="preserve">Önem düzeyi: </w:t>
      </w:r>
      <w:r>
        <w:t>Kritik</w:t>
      </w:r>
    </w:p>
    <w:p>
      <w:pPr/>
      <w:r>
        <w:rPr>
          <w:b/>
        </w:rPr>
        <w:t xml:space="preserve">Yer: </w:t>
      </w:r>
      <w:r>
        <w:t>184 kırmızı içerikli doğrudan gövde paragrafı</w:t>
      </w:r>
    </w:p>
    <w:p>
      <w:pPr>
        <w:pStyle w:val="IssueQuote"/>
      </w:pPr>
      <w:r>
        <w:t>“(bu maddeyi ikinci maddeye yedirecektiniz) / (Tâberî’nin ölüm tarihi daha önce geçti mi bakılabilir mi) / (?)”</w:t>
      </w:r>
    </w:p>
    <w:p>
      <w:pPr/>
      <w:r>
        <w:rPr>
          <w:b/>
        </w:rPr>
        <w:t xml:space="preserve">Sorun: </w:t>
      </w:r>
      <w:r>
        <w:t>Kırmızı renkli işaretlenmiş çalışma notları Word yorum sistemi dışında doğrudan ana metnin parçasıdır. Renk kaldırılırsa notlar fark edilmeden basılabilir.</w:t>
      </w:r>
    </w:p>
    <w:p>
      <w:pPr/>
      <w:r>
        <w:rPr>
          <w:b/>
        </w:rPr>
        <w:t xml:space="preserve">Önerilen düzeltme: </w:t>
      </w:r>
      <w:r>
        <w:t>Nihai teslimden önce kırmızı metinler üç sınıfa ayrılmalı: (1) gerçek kitap metni, (2) yazarın karar vereceği kelime/üslup önerisi, (3) çalışma notu. Üçüncü sınıf tamamen silinmeli; ikinci sınıf yazar kararıyla kabul/reddedilmelidir.</w:t>
      </w:r>
    </w:p>
    <w:p>
      <w:pPr>
        <w:pStyle w:val="Heading3"/>
        <w:keepNext/>
        <w:keepLines/>
      </w:pPr>
      <w:r>
        <w:t>19.5. Tespit edilen yayıma açık çalışma notları / belirsiz kayıtlar</w:t>
      </w:r>
    </w:p>
    <w:tbl>
      <w:tblPr>
        <w:tblStyle w:val="TableGrid"/>
        <w:tblW w:type="auto" w:w="0"/>
        <w:jc w:val="center"/>
        <w:tblLook w:firstColumn="1" w:firstRow="1" w:lastColumn="0" w:lastRow="0" w:noHBand="0" w:noVBand="1" w:val="04A0"/>
      </w:tblPr>
      <w:tblGrid>
        <w:gridCol w:w="4844"/>
        <w:gridCol w:w="4844"/>
      </w:tblGrid>
      <w:tr>
        <w:trPr>
          <w:cantSplit/>
          <w:cantSplit/>
        </w:trPr>
        <w:tc>
          <w:tcPr>
            <w:tcW w:type="dxa" w:w="1701"/>
            <w:shd w:fill="D9E2F3"/>
            <w:vAlign w:val="center"/>
          </w:tcPr>
          <w:p>
            <w:r>
              <w:rPr>
                <w:rFonts w:ascii="Times New Roman" w:hAnsi="Times New Roman"/>
                <w:b/>
                <w:sz w:val="16"/>
              </w:rPr>
              <w:t>Yer</w:t>
            </w:r>
          </w:p>
        </w:tc>
        <w:tc>
          <w:tcPr>
            <w:tcW w:type="dxa" w:w="7937"/>
            <w:shd w:fill="D9E2F3"/>
            <w:vAlign w:val="center"/>
          </w:tcPr>
          <w:p>
            <w:r>
              <w:rPr>
                <w:rFonts w:ascii="Times New Roman" w:hAnsi="Times New Roman"/>
                <w:b/>
                <w:sz w:val="16"/>
              </w:rPr>
              <w:t>Metinde kalan not/belirsizlik</w:t>
            </w:r>
          </w:p>
        </w:tc>
      </w:tr>
      <w:tr>
        <w:trPr>
          <w:cantSplit/>
          <w:cantSplit/>
        </w:trPr>
        <w:tc>
          <w:tcPr>
            <w:tcW w:type="dxa" w:w="1701"/>
            <w:vAlign w:val="top"/>
          </w:tcPr>
          <w:p>
            <w:pPr>
              <w:spacing w:after="0" w:line="240" w:lineRule="auto"/>
            </w:pPr>
            <w:r>
              <w:rPr>
                <w:rFonts w:ascii="Times New Roman" w:hAnsi="Times New Roman"/>
                <w:sz w:val="16"/>
              </w:rPr>
              <w:t>s.9</w:t>
            </w:r>
          </w:p>
        </w:tc>
        <w:tc>
          <w:tcPr>
            <w:tcW w:type="dxa" w:w="7937"/>
            <w:vAlign w:val="top"/>
          </w:tcPr>
          <w:p>
            <w:pPr>
              <w:spacing w:after="0" w:line="240" w:lineRule="auto"/>
            </w:pPr>
            <w:r>
              <w:rPr>
                <w:rFonts w:ascii="Times New Roman" w:hAnsi="Times New Roman"/>
                <w:sz w:val="16"/>
              </w:rPr>
              <w:t>Varaka b. Nevfel’dir [(ö. 610 (?)].</w:t>
            </w:r>
          </w:p>
        </w:tc>
      </w:tr>
      <w:tr>
        <w:trPr>
          <w:cantSplit/>
          <w:cantSplit/>
        </w:trPr>
        <w:tc>
          <w:tcPr>
            <w:tcW w:type="dxa" w:w="1701"/>
            <w:vAlign w:val="top"/>
          </w:tcPr>
          <w:p>
            <w:pPr>
              <w:spacing w:after="0" w:line="240" w:lineRule="auto"/>
            </w:pPr>
            <w:r>
              <w:rPr>
                <w:rFonts w:ascii="Times New Roman" w:hAnsi="Times New Roman"/>
                <w:sz w:val="16"/>
              </w:rPr>
              <w:t>s.11</w:t>
            </w:r>
          </w:p>
        </w:tc>
        <w:tc>
          <w:tcPr>
            <w:tcW w:type="dxa" w:w="7937"/>
            <w:vAlign w:val="top"/>
          </w:tcPr>
          <w:p>
            <w:pPr>
              <w:spacing w:after="0" w:line="240" w:lineRule="auto"/>
            </w:pPr>
            <w:r>
              <w:rPr>
                <w:rFonts w:ascii="Times New Roman" w:hAnsi="Times New Roman"/>
                <w:sz w:val="16"/>
              </w:rPr>
              <w:t>(bu maddeyi ikinci maddeye yedirecektiniz)</w:t>
            </w:r>
          </w:p>
        </w:tc>
      </w:tr>
      <w:tr>
        <w:trPr>
          <w:cantSplit/>
          <w:cantSplit/>
        </w:trPr>
        <w:tc>
          <w:tcPr>
            <w:tcW w:type="dxa" w:w="1701"/>
            <w:vAlign w:val="top"/>
          </w:tcPr>
          <w:p>
            <w:pPr>
              <w:spacing w:after="0" w:line="240" w:lineRule="auto"/>
            </w:pPr>
            <w:r>
              <w:rPr>
                <w:rFonts w:ascii="Times New Roman" w:hAnsi="Times New Roman"/>
                <w:sz w:val="16"/>
              </w:rPr>
              <w:t>s.16</w:t>
            </w:r>
          </w:p>
        </w:tc>
        <w:tc>
          <w:tcPr>
            <w:tcW w:type="dxa" w:w="7937"/>
            <w:vAlign w:val="top"/>
          </w:tcPr>
          <w:p>
            <w:pPr>
              <w:spacing w:after="0" w:line="240" w:lineRule="auto"/>
            </w:pPr>
            <w:r>
              <w:rPr>
                <w:rFonts w:ascii="Times New Roman" w:hAnsi="Times New Roman"/>
                <w:sz w:val="16"/>
              </w:rPr>
              <w:t>(Taberî’nin ölüm tarihi daha önce geçti mi bakılabilir mi)</w:t>
            </w:r>
          </w:p>
        </w:tc>
      </w:tr>
      <w:tr>
        <w:trPr>
          <w:cantSplit/>
          <w:cantSplit/>
        </w:trPr>
        <w:tc>
          <w:tcPr>
            <w:tcW w:type="dxa" w:w="1701"/>
            <w:vAlign w:val="top"/>
          </w:tcPr>
          <w:p>
            <w:pPr>
              <w:spacing w:after="0" w:line="240" w:lineRule="auto"/>
            </w:pPr>
            <w:r>
              <w:rPr>
                <w:rFonts w:ascii="Times New Roman" w:hAnsi="Times New Roman"/>
                <w:sz w:val="16"/>
              </w:rPr>
              <w:t>s.18</w:t>
            </w:r>
          </w:p>
        </w:tc>
        <w:tc>
          <w:tcPr>
            <w:tcW w:type="dxa" w:w="7937"/>
            <w:vAlign w:val="top"/>
          </w:tcPr>
          <w:p>
            <w:pPr>
              <w:spacing w:after="0" w:line="240" w:lineRule="auto"/>
            </w:pPr>
            <w:r>
              <w:rPr>
                <w:rFonts w:ascii="Times New Roman" w:hAnsi="Times New Roman"/>
                <w:sz w:val="16"/>
              </w:rPr>
              <w:t>“tam baş senede”</w:t>
            </w:r>
          </w:p>
        </w:tc>
      </w:tr>
      <w:tr>
        <w:trPr>
          <w:cantSplit/>
          <w:cantSplit/>
        </w:trPr>
        <w:tc>
          <w:tcPr>
            <w:tcW w:type="dxa" w:w="1701"/>
            <w:vAlign w:val="top"/>
          </w:tcPr>
          <w:p>
            <w:pPr>
              <w:spacing w:after="0" w:line="240" w:lineRule="auto"/>
            </w:pPr>
            <w:r>
              <w:rPr>
                <w:rFonts w:ascii="Times New Roman" w:hAnsi="Times New Roman"/>
                <w:sz w:val="16"/>
              </w:rPr>
              <w:t>s.20</w:t>
            </w:r>
          </w:p>
        </w:tc>
        <w:tc>
          <w:tcPr>
            <w:tcW w:type="dxa" w:w="7937"/>
            <w:vAlign w:val="top"/>
          </w:tcPr>
          <w:p>
            <w:pPr>
              <w:spacing w:after="0" w:line="240" w:lineRule="auto"/>
            </w:pPr>
            <w:r>
              <w:rPr>
                <w:rFonts w:ascii="Times New Roman" w:hAnsi="Times New Roman"/>
                <w:sz w:val="16"/>
              </w:rPr>
              <w:t>İbn Ebû Dâvud’un (ö. 316/929 ... silinmesi lazım)</w:t>
            </w:r>
          </w:p>
        </w:tc>
      </w:tr>
      <w:tr>
        <w:trPr>
          <w:cantSplit/>
          <w:cantSplit/>
        </w:trPr>
        <w:tc>
          <w:tcPr>
            <w:tcW w:type="dxa" w:w="1701"/>
            <w:vAlign w:val="top"/>
          </w:tcPr>
          <w:p>
            <w:pPr>
              <w:spacing w:after="0" w:line="240" w:lineRule="auto"/>
            </w:pPr>
            <w:r>
              <w:rPr>
                <w:rFonts w:ascii="Times New Roman" w:hAnsi="Times New Roman"/>
                <w:sz w:val="16"/>
              </w:rPr>
              <w:t>s.21</w:t>
            </w:r>
          </w:p>
        </w:tc>
        <w:tc>
          <w:tcPr>
            <w:tcW w:type="dxa" w:w="7937"/>
            <w:vAlign w:val="top"/>
          </w:tcPr>
          <w:p>
            <w:pPr>
              <w:spacing w:after="0" w:line="240" w:lineRule="auto"/>
            </w:pPr>
            <w:r>
              <w:rPr>
                <w:rFonts w:ascii="Times New Roman" w:hAnsi="Times New Roman"/>
                <w:sz w:val="16"/>
              </w:rPr>
              <w:t>Suyûtî (ö. 911/1505 bu ölüm tarihi daha önce geçti mi bakılabilir)</w:t>
            </w:r>
          </w:p>
        </w:tc>
      </w:tr>
      <w:tr>
        <w:trPr>
          <w:cantSplit/>
          <w:cantSplit/>
        </w:trPr>
        <w:tc>
          <w:tcPr>
            <w:tcW w:type="dxa" w:w="1701"/>
            <w:vAlign w:val="top"/>
          </w:tcPr>
          <w:p>
            <w:pPr>
              <w:spacing w:after="0" w:line="240" w:lineRule="auto"/>
            </w:pPr>
            <w:r>
              <w:rPr>
                <w:rFonts w:ascii="Times New Roman" w:hAnsi="Times New Roman"/>
                <w:sz w:val="16"/>
              </w:rPr>
              <w:t>s.22</w:t>
            </w:r>
          </w:p>
        </w:tc>
        <w:tc>
          <w:tcPr>
            <w:tcW w:type="dxa" w:w="7937"/>
            <w:vAlign w:val="top"/>
          </w:tcPr>
          <w:p>
            <w:pPr>
              <w:spacing w:after="0" w:line="240" w:lineRule="auto"/>
            </w:pPr>
            <w:r>
              <w:rPr>
                <w:rFonts w:ascii="Times New Roman" w:hAnsi="Times New Roman"/>
                <w:sz w:val="16"/>
              </w:rPr>
              <w:t>Amr b. Kays (ö. ?)</w:t>
            </w:r>
          </w:p>
        </w:tc>
      </w:tr>
      <w:tr>
        <w:trPr>
          <w:cantSplit/>
          <w:cantSplit/>
        </w:trPr>
        <w:tc>
          <w:tcPr>
            <w:tcW w:type="dxa" w:w="1701"/>
            <w:vAlign w:val="top"/>
          </w:tcPr>
          <w:p>
            <w:pPr>
              <w:spacing w:after="0" w:line="240" w:lineRule="auto"/>
            </w:pPr>
            <w:r>
              <w:rPr>
                <w:rFonts w:ascii="Times New Roman" w:hAnsi="Times New Roman"/>
                <w:sz w:val="16"/>
              </w:rPr>
              <w:t>s.22</w:t>
            </w:r>
          </w:p>
        </w:tc>
        <w:tc>
          <w:tcPr>
            <w:tcW w:type="dxa" w:w="7937"/>
            <w:vAlign w:val="top"/>
          </w:tcPr>
          <w:p>
            <w:pPr>
              <w:spacing w:after="0" w:line="240" w:lineRule="auto"/>
            </w:pPr>
            <w:r>
              <w:rPr>
                <w:rFonts w:ascii="Times New Roman" w:hAnsi="Times New Roman"/>
                <w:sz w:val="16"/>
              </w:rPr>
              <w:t>Muhammed Hamîdullah (ö. 20029)</w:t>
            </w:r>
          </w:p>
        </w:tc>
      </w:tr>
      <w:tr>
        <w:trPr>
          <w:cantSplit/>
          <w:cantSplit/>
        </w:trPr>
        <w:tc>
          <w:tcPr>
            <w:tcW w:type="dxa" w:w="1701"/>
            <w:vAlign w:val="top"/>
          </w:tcPr>
          <w:p>
            <w:pPr>
              <w:spacing w:after="0" w:line="240" w:lineRule="auto"/>
            </w:pPr>
            <w:r>
              <w:rPr>
                <w:rFonts w:ascii="Times New Roman" w:hAnsi="Times New Roman"/>
                <w:sz w:val="16"/>
              </w:rPr>
              <w:t>s.26</w:t>
            </w:r>
          </w:p>
        </w:tc>
        <w:tc>
          <w:tcPr>
            <w:tcW w:type="dxa" w:w="7937"/>
            <w:vAlign w:val="top"/>
          </w:tcPr>
          <w:p>
            <w:pPr>
              <w:spacing w:after="0" w:line="240" w:lineRule="auto"/>
            </w:pPr>
            <w:r>
              <w:rPr>
                <w:rFonts w:ascii="Times New Roman" w:hAnsi="Times New Roman"/>
                <w:sz w:val="16"/>
              </w:rPr>
              <w:t>Kastallânî (ö. 923/1517 bu tarih daha önce geçtiyse silinsin)</w:t>
            </w:r>
          </w:p>
        </w:tc>
      </w:tr>
      <w:tr>
        <w:trPr>
          <w:cantSplit/>
          <w:cantSplit/>
        </w:trPr>
        <w:tc>
          <w:tcPr>
            <w:tcW w:type="dxa" w:w="1701"/>
            <w:vAlign w:val="top"/>
          </w:tcPr>
          <w:p>
            <w:pPr>
              <w:spacing w:after="0" w:line="240" w:lineRule="auto"/>
            </w:pPr>
            <w:r>
              <w:rPr>
                <w:rFonts w:ascii="Times New Roman" w:hAnsi="Times New Roman"/>
                <w:sz w:val="16"/>
              </w:rPr>
              <w:t>s.31</w:t>
            </w:r>
          </w:p>
        </w:tc>
        <w:tc>
          <w:tcPr>
            <w:tcW w:type="dxa" w:w="7937"/>
            <w:vAlign w:val="top"/>
          </w:tcPr>
          <w:p>
            <w:pPr>
              <w:spacing w:after="0" w:line="240" w:lineRule="auto"/>
            </w:pPr>
            <w:r>
              <w:rPr>
                <w:rFonts w:ascii="Times New Roman" w:hAnsi="Times New Roman"/>
                <w:sz w:val="16"/>
              </w:rPr>
              <w:t>Bâkıllânî (ö. 403/10113 ... )</w:t>
            </w:r>
          </w:p>
        </w:tc>
      </w:tr>
      <w:tr>
        <w:trPr>
          <w:cantSplit/>
          <w:cantSplit/>
        </w:trPr>
        <w:tc>
          <w:tcPr>
            <w:tcW w:type="dxa" w:w="1701"/>
            <w:vAlign w:val="top"/>
          </w:tcPr>
          <w:p>
            <w:pPr>
              <w:spacing w:after="0" w:line="240" w:lineRule="auto"/>
            </w:pPr>
            <w:r>
              <w:rPr>
                <w:rFonts w:ascii="Times New Roman" w:hAnsi="Times New Roman"/>
                <w:sz w:val="16"/>
              </w:rPr>
              <w:t>s.36</w:t>
            </w:r>
          </w:p>
        </w:tc>
        <w:tc>
          <w:tcPr>
            <w:tcW w:type="dxa" w:w="7937"/>
            <w:vAlign w:val="top"/>
          </w:tcPr>
          <w:p>
            <w:pPr>
              <w:spacing w:after="0" w:line="240" w:lineRule="auto"/>
            </w:pPr>
            <w:r>
              <w:rPr>
                <w:rFonts w:ascii="Times New Roman" w:hAnsi="Times New Roman"/>
                <w:sz w:val="16"/>
              </w:rPr>
              <w:t>Ca‘berî (ö. 832/1428 ölüm tarihleri tekrar gözden geçirilmeli.)</w:t>
            </w:r>
          </w:p>
        </w:tc>
      </w:tr>
      <w:tr>
        <w:trPr>
          <w:cantSplit/>
          <w:cantSplit/>
        </w:trPr>
        <w:tc>
          <w:tcPr>
            <w:tcW w:type="dxa" w:w="1701"/>
            <w:vAlign w:val="top"/>
          </w:tcPr>
          <w:p>
            <w:pPr>
              <w:spacing w:after="0" w:line="240" w:lineRule="auto"/>
            </w:pPr>
            <w:r>
              <w:rPr>
                <w:rFonts w:ascii="Times New Roman" w:hAnsi="Times New Roman"/>
                <w:sz w:val="16"/>
              </w:rPr>
              <w:t>s.89</w:t>
            </w:r>
          </w:p>
        </w:tc>
        <w:tc>
          <w:tcPr>
            <w:tcW w:type="dxa" w:w="7937"/>
            <w:vAlign w:val="top"/>
          </w:tcPr>
          <w:p>
            <w:pPr>
              <w:spacing w:after="0" w:line="240" w:lineRule="auto"/>
            </w:pPr>
            <w:r>
              <w:rPr>
                <w:rFonts w:ascii="Times New Roman" w:hAnsi="Times New Roman"/>
                <w:sz w:val="16"/>
              </w:rPr>
              <w:t>(burası daha önce düzeltilmemiş...)</w:t>
            </w:r>
          </w:p>
        </w:tc>
      </w:tr>
      <w:tr>
        <w:trPr>
          <w:cantSplit/>
          <w:cantSplit/>
        </w:trPr>
        <w:tc>
          <w:tcPr>
            <w:tcW w:type="dxa" w:w="1701"/>
            <w:vAlign w:val="top"/>
          </w:tcPr>
          <w:p>
            <w:pPr>
              <w:spacing w:after="0" w:line="240" w:lineRule="auto"/>
            </w:pPr>
            <w:r>
              <w:rPr>
                <w:rFonts w:ascii="Times New Roman" w:hAnsi="Times New Roman"/>
                <w:sz w:val="16"/>
              </w:rPr>
              <w:t>s.98</w:t>
            </w:r>
          </w:p>
        </w:tc>
        <w:tc>
          <w:tcPr>
            <w:tcW w:type="dxa" w:w="7937"/>
            <w:vAlign w:val="top"/>
          </w:tcPr>
          <w:p>
            <w:pPr>
              <w:spacing w:after="0" w:line="240" w:lineRule="auto"/>
            </w:pPr>
            <w:r>
              <w:rPr>
                <w:rFonts w:ascii="Times New Roman" w:hAnsi="Times New Roman"/>
                <w:sz w:val="16"/>
              </w:rPr>
              <w:t>el-Mehdevî (ö. 440/1048 daha önce geçmiş mi)</w:t>
            </w:r>
          </w:p>
        </w:tc>
      </w:tr>
      <w:tr>
        <w:trPr>
          <w:cantSplit/>
          <w:cantSplit/>
        </w:trPr>
        <w:tc>
          <w:tcPr>
            <w:tcW w:type="dxa" w:w="1701"/>
            <w:vAlign w:val="top"/>
          </w:tcPr>
          <w:p>
            <w:pPr>
              <w:spacing w:after="0" w:line="240" w:lineRule="auto"/>
            </w:pPr>
            <w:r>
              <w:rPr>
                <w:rFonts w:ascii="Times New Roman" w:hAnsi="Times New Roman"/>
                <w:sz w:val="16"/>
              </w:rPr>
              <w:t>s.99</w:t>
            </w:r>
          </w:p>
        </w:tc>
        <w:tc>
          <w:tcPr>
            <w:tcW w:type="dxa" w:w="7937"/>
            <w:vAlign w:val="top"/>
          </w:tcPr>
          <w:p>
            <w:pPr>
              <w:spacing w:after="0" w:line="240" w:lineRule="auto"/>
            </w:pPr>
            <w:r>
              <w:rPr>
                <w:rFonts w:ascii="Times New Roman" w:hAnsi="Times New Roman"/>
                <w:sz w:val="16"/>
              </w:rPr>
              <w:t>Ebû Amr’ın (ö. 154/771 daha önce geçti mi)</w:t>
            </w:r>
          </w:p>
        </w:tc>
      </w:tr>
      <w:tr>
        <w:trPr>
          <w:cantSplit/>
          <w:cantSplit/>
        </w:trPr>
        <w:tc>
          <w:tcPr>
            <w:tcW w:type="dxa" w:w="1701"/>
            <w:vAlign w:val="top"/>
          </w:tcPr>
          <w:p>
            <w:pPr>
              <w:spacing w:after="0" w:line="240" w:lineRule="auto"/>
            </w:pPr>
            <w:r>
              <w:rPr>
                <w:rFonts w:ascii="Times New Roman" w:hAnsi="Times New Roman"/>
                <w:sz w:val="16"/>
              </w:rPr>
              <w:t>s.100</w:t>
            </w:r>
          </w:p>
        </w:tc>
        <w:tc>
          <w:tcPr>
            <w:tcW w:type="dxa" w:w="7937"/>
            <w:vAlign w:val="top"/>
          </w:tcPr>
          <w:p>
            <w:pPr>
              <w:spacing w:after="0" w:line="240" w:lineRule="auto"/>
            </w:pPr>
            <w:r>
              <w:rPr>
                <w:rFonts w:ascii="Times New Roman" w:hAnsi="Times New Roman"/>
                <w:sz w:val="16"/>
              </w:rPr>
              <w:t>İbn Mu‘âz el-Cühenî (ö. 442/10509 daha önce geçti mi)</w:t>
            </w:r>
          </w:p>
        </w:tc>
      </w:tr>
      <w:tr>
        <w:trPr>
          <w:cantSplit/>
          <w:cantSplit/>
        </w:trPr>
        <w:tc>
          <w:tcPr>
            <w:tcW w:type="dxa" w:w="1701"/>
            <w:vAlign w:val="top"/>
          </w:tcPr>
          <w:p>
            <w:pPr>
              <w:spacing w:after="0" w:line="240" w:lineRule="auto"/>
            </w:pPr>
            <w:r>
              <w:rPr>
                <w:rFonts w:ascii="Times New Roman" w:hAnsi="Times New Roman"/>
                <w:sz w:val="16"/>
              </w:rPr>
              <w:t>s.101</w:t>
            </w:r>
          </w:p>
        </w:tc>
        <w:tc>
          <w:tcPr>
            <w:tcW w:type="dxa" w:w="7937"/>
            <w:vAlign w:val="top"/>
          </w:tcPr>
          <w:p>
            <w:pPr>
              <w:spacing w:after="0" w:line="240" w:lineRule="auto"/>
            </w:pPr>
            <w:r>
              <w:rPr>
                <w:rFonts w:ascii="Times New Roman" w:hAnsi="Times New Roman"/>
                <w:sz w:val="16"/>
              </w:rPr>
              <w:t>Sehâvî (ö. 642/1244 daha önce geçti mi)</w:t>
            </w:r>
          </w:p>
        </w:tc>
      </w:tr>
      <w:tr>
        <w:trPr>
          <w:cantSplit/>
          <w:cantSplit/>
        </w:trPr>
        <w:tc>
          <w:tcPr>
            <w:tcW w:type="dxa" w:w="1701"/>
            <w:vAlign w:val="top"/>
          </w:tcPr>
          <w:p>
            <w:pPr>
              <w:spacing w:after="0" w:line="240" w:lineRule="auto"/>
            </w:pPr>
            <w:r>
              <w:rPr>
                <w:rFonts w:ascii="Times New Roman" w:hAnsi="Times New Roman"/>
                <w:sz w:val="16"/>
              </w:rPr>
              <w:t>s.106</w:t>
            </w:r>
          </w:p>
        </w:tc>
        <w:tc>
          <w:tcPr>
            <w:tcW w:type="dxa" w:w="7937"/>
            <w:vAlign w:val="top"/>
          </w:tcPr>
          <w:p>
            <w:pPr>
              <w:spacing w:after="0" w:line="240" w:lineRule="auto"/>
            </w:pPr>
            <w:r>
              <w:rPr>
                <w:rFonts w:ascii="Times New Roman" w:hAnsi="Times New Roman"/>
                <w:sz w:val="16"/>
              </w:rPr>
              <w:t>Hâlid b. Ebü’l-Heyyâc’dan (?)</w:t>
            </w:r>
          </w:p>
        </w:tc>
      </w:tr>
      <w:tr>
        <w:trPr>
          <w:cantSplit/>
          <w:cantSplit/>
        </w:trPr>
        <w:tc>
          <w:tcPr>
            <w:tcW w:type="dxa" w:w="1701"/>
            <w:vAlign w:val="top"/>
          </w:tcPr>
          <w:p>
            <w:pPr>
              <w:spacing w:after="0" w:line="240" w:lineRule="auto"/>
            </w:pPr>
            <w:r>
              <w:rPr>
                <w:rFonts w:ascii="Times New Roman" w:hAnsi="Times New Roman"/>
                <w:sz w:val="16"/>
              </w:rPr>
              <w:t>s.107</w:t>
            </w:r>
          </w:p>
        </w:tc>
        <w:tc>
          <w:tcPr>
            <w:tcW w:type="dxa" w:w="7937"/>
            <w:vAlign w:val="top"/>
          </w:tcPr>
          <w:p>
            <w:pPr>
              <w:spacing w:after="0" w:line="240" w:lineRule="auto"/>
            </w:pPr>
            <w:r>
              <w:rPr>
                <w:rFonts w:ascii="Times New Roman" w:hAnsi="Times New Roman"/>
                <w:sz w:val="16"/>
              </w:rPr>
              <w:t>Ebü’l-Fadl el-Huzâ‘î (ö. 408/1017 daha önce geçti mi)</w:t>
            </w:r>
          </w:p>
        </w:tc>
      </w:tr>
      <w:tr>
        <w:trPr>
          <w:cantSplit/>
          <w:cantSplit/>
        </w:trPr>
        <w:tc>
          <w:tcPr>
            <w:tcW w:type="dxa" w:w="1701"/>
            <w:vAlign w:val="top"/>
          </w:tcPr>
          <w:p>
            <w:pPr>
              <w:spacing w:after="0" w:line="240" w:lineRule="auto"/>
            </w:pPr>
            <w:r>
              <w:rPr>
                <w:rFonts w:ascii="Times New Roman" w:hAnsi="Times New Roman"/>
                <w:sz w:val="16"/>
              </w:rPr>
              <w:t>s.108</w:t>
            </w:r>
          </w:p>
        </w:tc>
        <w:tc>
          <w:tcPr>
            <w:tcW w:type="dxa" w:w="7937"/>
            <w:vAlign w:val="top"/>
          </w:tcPr>
          <w:p>
            <w:pPr>
              <w:spacing w:after="0" w:line="240" w:lineRule="auto"/>
            </w:pPr>
            <w:r>
              <w:rPr>
                <w:rFonts w:ascii="Times New Roman" w:hAnsi="Times New Roman"/>
                <w:sz w:val="16"/>
              </w:rPr>
              <w:t>Mevlây Osman (?)</w:t>
            </w:r>
          </w:p>
        </w:tc>
      </w:tr>
      <w:tr>
        <w:trPr>
          <w:cantSplit/>
          <w:cantSplit/>
        </w:trPr>
        <w:tc>
          <w:tcPr>
            <w:tcW w:type="dxa" w:w="1701"/>
            <w:vAlign w:val="top"/>
          </w:tcPr>
          <w:p>
            <w:pPr>
              <w:spacing w:after="0" w:line="240" w:lineRule="auto"/>
            </w:pPr>
            <w:r>
              <w:rPr>
                <w:rFonts w:ascii="Times New Roman" w:hAnsi="Times New Roman"/>
                <w:sz w:val="16"/>
              </w:rPr>
              <w:t>Dipnot 32</w:t>
            </w:r>
          </w:p>
        </w:tc>
        <w:tc>
          <w:tcPr>
            <w:tcW w:type="dxa" w:w="7937"/>
            <w:vAlign w:val="top"/>
          </w:tcPr>
          <w:p>
            <w:pPr>
              <w:spacing w:after="0" w:line="240" w:lineRule="auto"/>
            </w:pPr>
            <w:r>
              <w:rPr>
                <w:rFonts w:ascii="Times New Roman" w:hAnsi="Times New Roman"/>
                <w:sz w:val="16"/>
              </w:rPr>
              <w:t>“bu dipnot daha önce geçmiş midir...”</w:t>
            </w:r>
          </w:p>
        </w:tc>
      </w:tr>
      <w:tr>
        <w:trPr>
          <w:cantSplit/>
          <w:cantSplit/>
        </w:trPr>
        <w:tc>
          <w:tcPr>
            <w:tcW w:type="dxa" w:w="1701"/>
            <w:vAlign w:val="top"/>
          </w:tcPr>
          <w:p>
            <w:pPr>
              <w:spacing w:after="0" w:line="240" w:lineRule="auto"/>
            </w:pPr>
            <w:r>
              <w:rPr>
                <w:rFonts w:ascii="Times New Roman" w:hAnsi="Times New Roman"/>
                <w:sz w:val="16"/>
              </w:rPr>
              <w:t>Dipnot 41</w:t>
            </w:r>
          </w:p>
        </w:tc>
        <w:tc>
          <w:tcPr>
            <w:tcW w:type="dxa" w:w="7937"/>
            <w:vAlign w:val="top"/>
          </w:tcPr>
          <w:p>
            <w:pPr>
              <w:spacing w:after="0" w:line="240" w:lineRule="auto"/>
            </w:pPr>
            <w:r>
              <w:rPr>
                <w:rFonts w:ascii="Times New Roman" w:hAnsi="Times New Roman"/>
                <w:sz w:val="16"/>
              </w:rPr>
              <w:t>“bu eserin müellifi meçhuldür...” (yarım parantez)</w:t>
            </w:r>
          </w:p>
        </w:tc>
      </w:tr>
      <w:tr>
        <w:trPr>
          <w:cantSplit/>
          <w:cantSplit/>
        </w:trPr>
        <w:tc>
          <w:tcPr>
            <w:tcW w:type="dxa" w:w="1701"/>
            <w:vAlign w:val="top"/>
          </w:tcPr>
          <w:p>
            <w:pPr>
              <w:spacing w:after="0" w:line="240" w:lineRule="auto"/>
            </w:pPr>
            <w:r>
              <w:rPr>
                <w:rFonts w:ascii="Times New Roman" w:hAnsi="Times New Roman"/>
                <w:sz w:val="16"/>
              </w:rPr>
              <w:t>Dipnot 105</w:t>
            </w:r>
          </w:p>
        </w:tc>
        <w:tc>
          <w:tcPr>
            <w:tcW w:type="dxa" w:w="7937"/>
            <w:vAlign w:val="top"/>
          </w:tcPr>
          <w:p>
            <w:pPr>
              <w:spacing w:after="0" w:line="240" w:lineRule="auto"/>
            </w:pPr>
            <w:r>
              <w:rPr>
                <w:rFonts w:ascii="Times New Roman" w:hAnsi="Times New Roman"/>
                <w:sz w:val="16"/>
              </w:rPr>
              <w:t>“bu eser daha önce tam adıyla geçmiş miydi”</w:t>
            </w:r>
          </w:p>
        </w:tc>
      </w:tr>
    </w:tbl>
    <w:p>
      <w:pPr>
        <w:pStyle w:val="Compact"/>
      </w:pPr>
    </w:p>
    <w:p>
      <w:pPr>
        <w:pStyle w:val="Heading2"/>
        <w:keepNext/>
        <w:keepLines/>
      </w:pPr>
      <w:r>
        <w:t>20. `Düzeltilecekler` Kontrolü</w:t>
      </w:r>
    </w:p>
    <w:tbl>
      <w:tblPr>
        <w:tblStyle w:val="TableGrid"/>
        <w:tblW w:type="auto" w:w="0"/>
        <w:jc w:val="center"/>
        <w:tblLook w:firstColumn="1" w:firstRow="1" w:lastColumn="0" w:lastRow="0" w:noHBand="0" w:noVBand="1" w:val="04A0"/>
      </w:tblPr>
      <w:tblGrid>
        <w:gridCol w:w="2422"/>
        <w:gridCol w:w="2422"/>
        <w:gridCol w:w="2422"/>
        <w:gridCol w:w="2422"/>
      </w:tblGrid>
      <w:tr>
        <w:trPr>
          <w:cantSplit/>
          <w:cantSplit/>
        </w:trPr>
        <w:tc>
          <w:tcPr>
            <w:tcW w:type="dxa" w:w="1871"/>
            <w:shd w:fill="D9E2F3"/>
            <w:vAlign w:val="center"/>
          </w:tcPr>
          <w:p>
            <w:r>
              <w:rPr>
                <w:rFonts w:ascii="Times New Roman" w:hAnsi="Times New Roman"/>
                <w:b/>
                <w:sz w:val="16"/>
              </w:rPr>
              <w:t>Madde</w:t>
            </w:r>
          </w:p>
        </w:tc>
        <w:tc>
          <w:tcPr>
            <w:tcW w:type="dxa" w:w="2268"/>
            <w:shd w:fill="D9E2F3"/>
            <w:vAlign w:val="center"/>
          </w:tcPr>
          <w:p>
            <w:r>
              <w:rPr>
                <w:rFonts w:ascii="Times New Roman" w:hAnsi="Times New Roman"/>
                <w:b/>
                <w:sz w:val="16"/>
              </w:rPr>
              <w:t>Durum</w:t>
            </w:r>
          </w:p>
        </w:tc>
        <w:tc>
          <w:tcPr>
            <w:tcW w:type="dxa" w:w="3402"/>
            <w:shd w:fill="D9E2F3"/>
            <w:vAlign w:val="center"/>
          </w:tcPr>
          <w:p>
            <w:r>
              <w:rPr>
                <w:rFonts w:ascii="Times New Roman" w:hAnsi="Times New Roman"/>
                <w:b/>
                <w:sz w:val="16"/>
              </w:rPr>
              <w:t>Kalan sorun</w:t>
            </w:r>
          </w:p>
        </w:tc>
        <w:tc>
          <w:tcPr>
            <w:tcW w:type="dxa" w:w="3969"/>
            <w:shd w:fill="D9E2F3"/>
            <w:vAlign w:val="center"/>
          </w:tcPr>
          <w:p>
            <w:r>
              <w:rPr>
                <w:rFonts w:ascii="Times New Roman" w:hAnsi="Times New Roman"/>
                <w:b/>
                <w:sz w:val="16"/>
              </w:rPr>
              <w:t>Yapılması gereken</w:t>
            </w:r>
          </w:p>
        </w:tc>
      </w:tr>
      <w:tr>
        <w:trPr>
          <w:cantSplit/>
          <w:cantSplit/>
        </w:trPr>
        <w:tc>
          <w:tcPr>
            <w:tcW w:type="dxa" w:w="1871"/>
            <w:vAlign w:val="top"/>
          </w:tcPr>
          <w:p>
            <w:pPr>
              <w:spacing w:after="0" w:line="240" w:lineRule="auto"/>
            </w:pPr>
            <w:r>
              <w:rPr>
                <w:rFonts w:ascii="Times New Roman" w:hAnsi="Times New Roman"/>
                <w:sz w:val="16"/>
              </w:rPr>
              <w:t>1. “değil” tekrarları</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Gövde içinde 213 kullanım; bir kısmı zorunlu, bir kısmı redaktörce kırmızı işaretli.</w:t>
            </w:r>
          </w:p>
        </w:tc>
        <w:tc>
          <w:tcPr>
            <w:tcW w:type="dxa" w:w="3969"/>
            <w:vAlign w:val="top"/>
          </w:tcPr>
          <w:p>
            <w:pPr>
              <w:spacing w:after="0" w:line="240" w:lineRule="auto"/>
            </w:pPr>
            <w:r>
              <w:rPr>
                <w:rFonts w:ascii="Times New Roman" w:hAnsi="Times New Roman"/>
                <w:sz w:val="16"/>
              </w:rPr>
              <w:t>Yalnız yakın tekrarları editoryal olarak çeşitlendir.</w:t>
            </w:r>
          </w:p>
        </w:tc>
      </w:tr>
      <w:tr>
        <w:trPr>
          <w:cantSplit/>
          <w:cantSplit/>
        </w:trPr>
        <w:tc>
          <w:tcPr>
            <w:tcW w:type="dxa" w:w="1871"/>
            <w:vAlign w:val="top"/>
          </w:tcPr>
          <w:p>
            <w:pPr>
              <w:spacing w:after="0" w:line="240" w:lineRule="auto"/>
            </w:pPr>
            <w:r>
              <w:rPr>
                <w:rFonts w:ascii="Times New Roman" w:hAnsi="Times New Roman"/>
                <w:sz w:val="16"/>
              </w:rPr>
              <w:t>2. tarîk</w:t>
            </w:r>
          </w:p>
        </w:tc>
        <w:tc>
          <w:tcPr>
            <w:tcW w:type="dxa" w:w="2268"/>
            <w:vAlign w:val="top"/>
          </w:tcPr>
          <w:p>
            <w:pPr>
              <w:spacing w:after="0" w:line="240" w:lineRule="auto"/>
            </w:pPr>
            <w:r>
              <w:rPr>
                <w:rFonts w:ascii="Times New Roman" w:hAnsi="Times New Roman"/>
                <w:sz w:val="16"/>
              </w:rPr>
              <w:t>Büyük ölçüde tamamlandı</w:t>
            </w:r>
          </w:p>
        </w:tc>
        <w:tc>
          <w:tcPr>
            <w:tcW w:type="dxa" w:w="3402"/>
            <w:vAlign w:val="top"/>
          </w:tcPr>
          <w:p>
            <w:pPr>
              <w:spacing w:after="0" w:line="240" w:lineRule="auto"/>
            </w:pPr>
            <w:r>
              <w:rPr>
                <w:rFonts w:ascii="Times New Roman" w:hAnsi="Times New Roman"/>
                <w:sz w:val="16"/>
              </w:rPr>
              <w:t>Ana metinde “tarîk” biçimi çoğunlukla yerleşmiş; eser adı/alıntı ayrı tutulmalı.</w:t>
            </w:r>
          </w:p>
        </w:tc>
        <w:tc>
          <w:tcPr>
            <w:tcW w:type="dxa" w:w="3969"/>
            <w:vAlign w:val="top"/>
          </w:tcPr>
          <w:p>
            <w:pPr>
              <w:spacing w:after="0" w:line="240" w:lineRule="auto"/>
            </w:pPr>
            <w:r>
              <w:rPr>
                <w:rFonts w:ascii="Times New Roman" w:hAnsi="Times New Roman"/>
                <w:sz w:val="16"/>
              </w:rPr>
              <w:t>Son otomatik tarama + bağlam kontrolü.</w:t>
            </w:r>
          </w:p>
        </w:tc>
      </w:tr>
      <w:tr>
        <w:trPr>
          <w:cantSplit/>
          <w:cantSplit/>
        </w:trPr>
        <w:tc>
          <w:tcPr>
            <w:tcW w:type="dxa" w:w="1871"/>
            <w:vAlign w:val="top"/>
          </w:tcPr>
          <w:p>
            <w:pPr>
              <w:spacing w:after="0" w:line="240" w:lineRule="auto"/>
            </w:pPr>
            <w:r>
              <w:rPr>
                <w:rFonts w:ascii="Times New Roman" w:hAnsi="Times New Roman"/>
                <w:sz w:val="16"/>
              </w:rPr>
              <w:t>3. “sonuç olarak” / “Bütün bu veriler...”</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15 “sonuç olarak”, 4 “Bütün bu veriler...” kümesi kalıyor.</w:t>
            </w:r>
          </w:p>
        </w:tc>
        <w:tc>
          <w:tcPr>
            <w:tcW w:type="dxa" w:w="3969"/>
            <w:vAlign w:val="top"/>
          </w:tcPr>
          <w:p>
            <w:pPr>
              <w:spacing w:after="0" w:line="240" w:lineRule="auto"/>
            </w:pPr>
            <w:r>
              <w:rPr>
                <w:rFonts w:ascii="Times New Roman" w:hAnsi="Times New Roman"/>
                <w:sz w:val="16"/>
              </w:rPr>
              <w:t>Bölüm sonlarındaki formülaik kullanımları bağlama özgü geçişlerle değiştir.</w:t>
            </w:r>
          </w:p>
        </w:tc>
      </w:tr>
      <w:tr>
        <w:trPr>
          <w:cantSplit/>
          <w:cantSplit/>
        </w:trPr>
        <w:tc>
          <w:tcPr>
            <w:tcW w:type="dxa" w:w="1871"/>
            <w:vAlign w:val="top"/>
          </w:tcPr>
          <w:p>
            <w:pPr>
              <w:spacing w:after="0" w:line="240" w:lineRule="auto"/>
            </w:pPr>
            <w:r>
              <w:rPr>
                <w:rFonts w:ascii="Times New Roman" w:hAnsi="Times New Roman"/>
                <w:sz w:val="16"/>
              </w:rPr>
              <w:t>4. Müellif adlarındaki el-/ez-/eş-/en-</w:t>
            </w:r>
          </w:p>
        </w:tc>
        <w:tc>
          <w:tcPr>
            <w:tcW w:type="dxa" w:w="2268"/>
            <w:vAlign w:val="top"/>
          </w:tcPr>
          <w:p>
            <w:pPr>
              <w:spacing w:after="0" w:line="240" w:lineRule="auto"/>
            </w:pPr>
            <w:r>
              <w:rPr>
                <w:rFonts w:ascii="Times New Roman" w:hAnsi="Times New Roman"/>
                <w:sz w:val="16"/>
              </w:rPr>
              <w:t>Tamamlanmadı</w:t>
            </w:r>
          </w:p>
        </w:tc>
        <w:tc>
          <w:tcPr>
            <w:tcW w:type="dxa" w:w="3402"/>
            <w:vAlign w:val="top"/>
          </w:tcPr>
          <w:p>
            <w:pPr>
              <w:spacing w:after="0" w:line="240" w:lineRule="auto"/>
            </w:pPr>
            <w:r>
              <w:rPr>
                <w:rFonts w:ascii="Times New Roman" w:hAnsi="Times New Roman"/>
                <w:sz w:val="16"/>
              </w:rPr>
              <w:t>Dipnotlarda hâlâ çok sayıda örnek var.</w:t>
            </w:r>
          </w:p>
        </w:tc>
        <w:tc>
          <w:tcPr>
            <w:tcW w:type="dxa" w:w="3969"/>
            <w:vAlign w:val="top"/>
          </w:tcPr>
          <w:p>
            <w:pPr>
              <w:spacing w:after="0" w:line="240" w:lineRule="auto"/>
            </w:pPr>
            <w:r>
              <w:rPr>
                <w:rFonts w:ascii="Times New Roman" w:hAnsi="Times New Roman"/>
                <w:sz w:val="16"/>
              </w:rPr>
              <w:t>Önce İSNAD 2–ev stili kararı; sonra Zotero author alanından normalize et.</w:t>
            </w:r>
          </w:p>
        </w:tc>
      </w:tr>
      <w:tr>
        <w:trPr>
          <w:cantSplit/>
          <w:cantSplit/>
        </w:trPr>
        <w:tc>
          <w:tcPr>
            <w:tcW w:type="dxa" w:w="1871"/>
            <w:vAlign w:val="top"/>
          </w:tcPr>
          <w:p>
            <w:pPr>
              <w:spacing w:after="0" w:line="240" w:lineRule="auto"/>
            </w:pPr>
            <w:r>
              <w:rPr>
                <w:rFonts w:ascii="Times New Roman" w:hAnsi="Times New Roman"/>
                <w:sz w:val="16"/>
              </w:rPr>
              <w:t>5. Başlık numaraları</w:t>
            </w:r>
          </w:p>
        </w:tc>
        <w:tc>
          <w:tcPr>
            <w:tcW w:type="dxa" w:w="2268"/>
            <w:vAlign w:val="top"/>
          </w:tcPr>
          <w:p>
            <w:pPr>
              <w:spacing w:after="0" w:line="240" w:lineRule="auto"/>
            </w:pPr>
            <w:r>
              <w:rPr>
                <w:rFonts w:ascii="Times New Roman" w:hAnsi="Times New Roman"/>
                <w:sz w:val="16"/>
              </w:rPr>
              <w:t>Tamamlanmadı / yeni teknik sorun</w:t>
            </w:r>
          </w:p>
        </w:tc>
        <w:tc>
          <w:tcPr>
            <w:tcW w:type="dxa" w:w="3402"/>
            <w:vAlign w:val="top"/>
          </w:tcPr>
          <w:p>
            <w:pPr>
              <w:spacing w:after="0" w:line="240" w:lineRule="auto"/>
            </w:pPr>
            <w:r>
              <w:rPr>
                <w:rFonts w:ascii="Times New Roman" w:hAnsi="Times New Roman"/>
                <w:sz w:val="16"/>
              </w:rPr>
              <w:t>İçindekiler numaralı, gövde başlıkları numarasız ve gerçek Heading hiyerarşisi kayıp.</w:t>
            </w:r>
          </w:p>
        </w:tc>
        <w:tc>
          <w:tcPr>
            <w:tcW w:type="dxa" w:w="3969"/>
            <w:vAlign w:val="top"/>
          </w:tcPr>
          <w:p>
            <w:pPr>
              <w:spacing w:after="0" w:line="240" w:lineRule="auto"/>
            </w:pPr>
            <w:r>
              <w:rPr>
                <w:rFonts w:ascii="Times New Roman" w:hAnsi="Times New Roman"/>
                <w:sz w:val="16"/>
              </w:rPr>
              <w:t>Gerçek Word Heading + çok düzeyli numaralandırma.</w:t>
            </w:r>
          </w:p>
        </w:tc>
      </w:tr>
      <w:tr>
        <w:trPr>
          <w:cantSplit/>
          <w:cantSplit/>
        </w:trPr>
        <w:tc>
          <w:tcPr>
            <w:tcW w:type="dxa" w:w="1871"/>
            <w:vAlign w:val="top"/>
          </w:tcPr>
          <w:p>
            <w:pPr>
              <w:spacing w:after="0" w:line="240" w:lineRule="auto"/>
            </w:pPr>
            <w:r>
              <w:rPr>
                <w:rFonts w:ascii="Times New Roman" w:hAnsi="Times New Roman"/>
                <w:sz w:val="16"/>
              </w:rPr>
              <w:t>6. Ölüm tarihleri</w:t>
            </w:r>
          </w:p>
        </w:tc>
        <w:tc>
          <w:tcPr>
            <w:tcW w:type="dxa" w:w="2268"/>
            <w:vAlign w:val="top"/>
          </w:tcPr>
          <w:p>
            <w:pPr>
              <w:spacing w:after="0" w:line="240" w:lineRule="auto"/>
            </w:pPr>
            <w:r>
              <w:rPr>
                <w:rFonts w:ascii="Times New Roman" w:hAnsi="Times New Roman"/>
                <w:sz w:val="16"/>
              </w:rPr>
              <w:t>Tamamlanmadı</w:t>
            </w:r>
          </w:p>
        </w:tc>
        <w:tc>
          <w:tcPr>
            <w:tcW w:type="dxa" w:w="3402"/>
            <w:vAlign w:val="top"/>
          </w:tcPr>
          <w:p>
            <w:pPr>
              <w:spacing w:after="0" w:line="240" w:lineRule="auto"/>
            </w:pPr>
            <w:r>
              <w:rPr>
                <w:rFonts w:ascii="Times New Roman" w:hAnsi="Times New Roman"/>
                <w:sz w:val="16"/>
              </w:rPr>
              <w:t>Çok sayıda tekrar notu, soru işareti ve en az bir iç çelişki var.</w:t>
            </w:r>
          </w:p>
        </w:tc>
        <w:tc>
          <w:tcPr>
            <w:tcW w:type="dxa" w:w="3969"/>
            <w:vAlign w:val="top"/>
          </w:tcPr>
          <w:p>
            <w:pPr>
              <w:spacing w:after="0" w:line="240" w:lineRule="auto"/>
            </w:pPr>
            <w:r>
              <w:rPr>
                <w:rFonts w:ascii="Times New Roman" w:hAnsi="Times New Roman"/>
                <w:sz w:val="16"/>
              </w:rPr>
              <w:t>İlk anlamlı kullanımda ver; aynı kişiyi sonraki yerlerde tarihsiz kullan; çelişkileri kaynaktan çöz.</w:t>
            </w:r>
          </w:p>
        </w:tc>
      </w:tr>
      <w:tr>
        <w:trPr>
          <w:cantSplit/>
          <w:cantSplit/>
        </w:trPr>
        <w:tc>
          <w:tcPr>
            <w:tcW w:type="dxa" w:w="1871"/>
            <w:vAlign w:val="top"/>
          </w:tcPr>
          <w:p>
            <w:pPr>
              <w:spacing w:after="0" w:line="240" w:lineRule="auto"/>
            </w:pPr>
            <w:r>
              <w:rPr>
                <w:rFonts w:ascii="Times New Roman" w:hAnsi="Times New Roman"/>
                <w:sz w:val="16"/>
              </w:rPr>
              <w:t>7. Kur’an</w:t>
            </w:r>
          </w:p>
        </w:tc>
        <w:tc>
          <w:tcPr>
            <w:tcW w:type="dxa" w:w="2268"/>
            <w:vAlign w:val="top"/>
          </w:tcPr>
          <w:p>
            <w:pPr>
              <w:spacing w:after="0" w:line="240" w:lineRule="auto"/>
            </w:pPr>
            <w:r>
              <w:rPr>
                <w:rFonts w:ascii="Times New Roman" w:hAnsi="Times New Roman"/>
                <w:sz w:val="16"/>
              </w:rPr>
              <w:t>Büyük ölçüde tamamlandı</w:t>
            </w:r>
          </w:p>
        </w:tc>
        <w:tc>
          <w:tcPr>
            <w:tcW w:type="dxa" w:w="3402"/>
            <w:vAlign w:val="top"/>
          </w:tcPr>
          <w:p>
            <w:pPr>
              <w:spacing w:after="0" w:line="240" w:lineRule="auto"/>
            </w:pPr>
            <w:r>
              <w:rPr>
                <w:rFonts w:ascii="Times New Roman" w:hAnsi="Times New Roman"/>
                <w:sz w:val="16"/>
              </w:rPr>
              <w:t>Ana metinde az sayıda Kur’ân ve bir Kur'an kaçağı var.</w:t>
            </w:r>
          </w:p>
        </w:tc>
        <w:tc>
          <w:tcPr>
            <w:tcW w:type="dxa" w:w="3969"/>
            <w:vAlign w:val="top"/>
          </w:tcPr>
          <w:p>
            <w:pPr>
              <w:spacing w:after="0" w:line="240" w:lineRule="auto"/>
            </w:pPr>
            <w:r>
              <w:rPr>
                <w:rFonts w:ascii="Times New Roman" w:hAnsi="Times New Roman"/>
                <w:sz w:val="16"/>
              </w:rPr>
              <w:t>Ana metni Kur’an’a tekleştir; bibliyografik başlıkları değiştirme.</w:t>
            </w:r>
          </w:p>
        </w:tc>
      </w:tr>
      <w:tr>
        <w:trPr>
          <w:cantSplit/>
          <w:cantSplit/>
        </w:trPr>
        <w:tc>
          <w:tcPr>
            <w:tcW w:type="dxa" w:w="1871"/>
            <w:vAlign w:val="top"/>
          </w:tcPr>
          <w:p>
            <w:pPr>
              <w:spacing w:after="0" w:line="240" w:lineRule="auto"/>
            </w:pPr>
            <w:r>
              <w:rPr>
                <w:rFonts w:ascii="Times New Roman" w:hAnsi="Times New Roman"/>
                <w:sz w:val="16"/>
              </w:rPr>
              <w:t>8. Arapça dipnot rakamı sağda</w:t>
            </w:r>
          </w:p>
        </w:tc>
        <w:tc>
          <w:tcPr>
            <w:tcW w:type="dxa" w:w="2268"/>
            <w:vAlign w:val="top"/>
          </w:tcPr>
          <w:p>
            <w:pPr>
              <w:spacing w:after="0" w:line="240" w:lineRule="auto"/>
            </w:pPr>
            <w:r>
              <w:rPr>
                <w:rFonts w:ascii="Times New Roman" w:hAnsi="Times New Roman"/>
                <w:sz w:val="16"/>
              </w:rPr>
              <w:t>Tamamlanmadı / teknik risk</w:t>
            </w:r>
          </w:p>
        </w:tc>
        <w:tc>
          <w:tcPr>
            <w:tcW w:type="dxa" w:w="3402"/>
            <w:vAlign w:val="top"/>
          </w:tcPr>
          <w:p>
            <w:pPr>
              <w:spacing w:after="0" w:line="240" w:lineRule="auto"/>
            </w:pPr>
            <w:r>
              <w:rPr>
                <w:rFonts w:ascii="Times New Roman" w:hAnsi="Times New Roman"/>
                <w:sz w:val="16"/>
              </w:rPr>
              <w:t>53 Arapça+dipnot paragrafında referans run’ları çoğunlukla RTL değil.</w:t>
            </w:r>
          </w:p>
        </w:tc>
        <w:tc>
          <w:tcPr>
            <w:tcW w:type="dxa" w:w="3969"/>
            <w:vAlign w:val="top"/>
          </w:tcPr>
          <w:p>
            <w:pPr>
              <w:spacing w:after="0" w:line="240" w:lineRule="auto"/>
            </w:pPr>
            <w:r>
              <w:rPr>
                <w:rFonts w:ascii="Times New Roman" w:hAnsi="Times New Roman"/>
                <w:sz w:val="16"/>
              </w:rPr>
              <w:t>RTL/bidi stil standardı + görsel prova.</w:t>
            </w:r>
          </w:p>
        </w:tc>
      </w:tr>
      <w:tr>
        <w:trPr>
          <w:cantSplit/>
          <w:cantSplit/>
        </w:trPr>
        <w:tc>
          <w:tcPr>
            <w:tcW w:type="dxa" w:w="1871"/>
            <w:vAlign w:val="top"/>
          </w:tcPr>
          <w:p>
            <w:pPr>
              <w:spacing w:after="0" w:line="240" w:lineRule="auto"/>
            </w:pPr>
            <w:r>
              <w:rPr>
                <w:rFonts w:ascii="Times New Roman" w:hAnsi="Times New Roman"/>
                <w:sz w:val="16"/>
              </w:rPr>
              <w:t>9. “değildir”</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67 kullanım kalıyor; hepsi hata değil.</w:t>
            </w:r>
          </w:p>
        </w:tc>
        <w:tc>
          <w:tcPr>
            <w:tcW w:type="dxa" w:w="3969"/>
            <w:vAlign w:val="top"/>
          </w:tcPr>
          <w:p>
            <w:pPr>
              <w:spacing w:after="0" w:line="240" w:lineRule="auto"/>
            </w:pPr>
            <w:r>
              <w:rPr>
                <w:rFonts w:ascii="Times New Roman" w:hAnsi="Times New Roman"/>
                <w:sz w:val="16"/>
              </w:rPr>
              <w:t>Tanım dizilerinde olumlu cümleye çevir.</w:t>
            </w:r>
          </w:p>
        </w:tc>
      </w:tr>
      <w:tr>
        <w:trPr>
          <w:cantSplit/>
          <w:cantSplit/>
        </w:trPr>
        <w:tc>
          <w:tcPr>
            <w:tcW w:type="dxa" w:w="1871"/>
            <w:vAlign w:val="top"/>
          </w:tcPr>
          <w:p>
            <w:pPr>
              <w:spacing w:after="0" w:line="240" w:lineRule="auto"/>
            </w:pPr>
            <w:r>
              <w:rPr>
                <w:rFonts w:ascii="Times New Roman" w:hAnsi="Times New Roman"/>
                <w:sz w:val="16"/>
              </w:rPr>
              <w:t>10. Sûre adlarına artikel</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Bakara/Nisâ/Tevbe/Mâide/Kehf vb. bare örnekler var.</w:t>
            </w:r>
          </w:p>
        </w:tc>
        <w:tc>
          <w:tcPr>
            <w:tcW w:type="dxa" w:w="3969"/>
            <w:vAlign w:val="top"/>
          </w:tcPr>
          <w:p>
            <w:pPr>
              <w:spacing w:after="0" w:line="240" w:lineRule="auto"/>
            </w:pPr>
            <w:r>
              <w:rPr>
                <w:rFonts w:ascii="Times New Roman" w:hAnsi="Times New Roman"/>
                <w:sz w:val="16"/>
              </w:rPr>
              <w:t>Ev stiline göre toplu normalize et.</w:t>
            </w:r>
          </w:p>
        </w:tc>
      </w:tr>
      <w:tr>
        <w:trPr>
          <w:cantSplit/>
          <w:cantSplit/>
        </w:trPr>
        <w:tc>
          <w:tcPr>
            <w:tcW w:type="dxa" w:w="1871"/>
            <w:vAlign w:val="top"/>
          </w:tcPr>
          <w:p>
            <w:pPr>
              <w:spacing w:after="0" w:line="240" w:lineRule="auto"/>
            </w:pPr>
            <w:r>
              <w:rPr>
                <w:rFonts w:ascii="Times New Roman" w:hAnsi="Times New Roman"/>
                <w:sz w:val="16"/>
              </w:rPr>
              <w:t>11. “açıkça ortaya koymaktadır”</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7 birebir + “açık biçimde ortaya...” varyantları kalıyor.</w:t>
            </w:r>
          </w:p>
        </w:tc>
        <w:tc>
          <w:tcPr>
            <w:tcW w:type="dxa" w:w="3969"/>
            <w:vAlign w:val="top"/>
          </w:tcPr>
          <w:p>
            <w:pPr>
              <w:spacing w:after="0" w:line="240" w:lineRule="auto"/>
            </w:pPr>
            <w:r>
              <w:rPr>
                <w:rFonts w:ascii="Times New Roman" w:hAnsi="Times New Roman"/>
                <w:sz w:val="16"/>
              </w:rPr>
              <w:t>Kanıt düzeyine göre daha doğal fiiller.</w:t>
            </w:r>
          </w:p>
        </w:tc>
      </w:tr>
      <w:tr>
        <w:trPr>
          <w:cantSplit/>
          <w:cantSplit/>
        </w:trPr>
        <w:tc>
          <w:tcPr>
            <w:tcW w:type="dxa" w:w="1871"/>
            <w:vAlign w:val="top"/>
          </w:tcPr>
          <w:p>
            <w:pPr>
              <w:spacing w:after="0" w:line="240" w:lineRule="auto"/>
            </w:pPr>
            <w:r>
              <w:rPr>
                <w:rFonts w:ascii="Times New Roman" w:hAnsi="Times New Roman"/>
                <w:sz w:val="16"/>
              </w:rPr>
              <w:t>12. İbn Ebî Dâvud → İbn Ebû Dâvud</w:t>
            </w:r>
          </w:p>
        </w:tc>
        <w:tc>
          <w:tcPr>
            <w:tcW w:type="dxa" w:w="2268"/>
            <w:vAlign w:val="top"/>
          </w:tcPr>
          <w:p>
            <w:pPr>
              <w:spacing w:after="0" w:line="240" w:lineRule="auto"/>
            </w:pPr>
            <w:r>
              <w:rPr>
                <w:rFonts w:ascii="Times New Roman" w:hAnsi="Times New Roman"/>
                <w:sz w:val="16"/>
              </w:rPr>
              <w:t>Tamamlandı</w:t>
            </w:r>
          </w:p>
        </w:tc>
        <w:tc>
          <w:tcPr>
            <w:tcW w:type="dxa" w:w="3402"/>
            <w:vAlign w:val="top"/>
          </w:tcPr>
          <w:p>
            <w:pPr>
              <w:spacing w:after="0" w:line="240" w:lineRule="auto"/>
            </w:pPr>
            <w:r>
              <w:rPr>
                <w:rFonts w:ascii="Times New Roman" w:hAnsi="Times New Roman"/>
                <w:sz w:val="16"/>
              </w:rPr>
              <w:t>Dipnot taramasında İbn Ebî Dâvud kalmadı.</w:t>
            </w:r>
          </w:p>
        </w:tc>
        <w:tc>
          <w:tcPr>
            <w:tcW w:type="dxa" w:w="3969"/>
            <w:vAlign w:val="top"/>
          </w:tcPr>
          <w:p>
            <w:pPr>
              <w:spacing w:after="0" w:line="240" w:lineRule="auto"/>
            </w:pPr>
            <w:r>
              <w:rPr>
                <w:rFonts w:ascii="Times New Roman" w:hAnsi="Times New Roman"/>
                <w:sz w:val="16"/>
              </w:rPr>
              <w:t>Korunmalı.</w:t>
            </w:r>
          </w:p>
        </w:tc>
      </w:tr>
      <w:tr>
        <w:trPr>
          <w:cantSplit/>
          <w:cantSplit/>
        </w:trPr>
        <w:tc>
          <w:tcPr>
            <w:tcW w:type="dxa" w:w="1871"/>
            <w:vAlign w:val="top"/>
          </w:tcPr>
          <w:p>
            <w:pPr>
              <w:spacing w:after="0" w:line="240" w:lineRule="auto"/>
            </w:pPr>
            <w:r>
              <w:rPr>
                <w:rFonts w:ascii="Times New Roman" w:hAnsi="Times New Roman"/>
                <w:sz w:val="16"/>
              </w:rPr>
              <w:t>13. Semîru’t-tâlibîn</w:t>
            </w:r>
          </w:p>
        </w:tc>
        <w:tc>
          <w:tcPr>
            <w:tcW w:type="dxa" w:w="2268"/>
            <w:vAlign w:val="top"/>
          </w:tcPr>
          <w:p>
            <w:pPr>
              <w:spacing w:after="0" w:line="240" w:lineRule="auto"/>
            </w:pPr>
            <w:r>
              <w:rPr>
                <w:rFonts w:ascii="Times New Roman" w:hAnsi="Times New Roman"/>
                <w:sz w:val="16"/>
              </w:rPr>
              <w:t>Tamamlandı</w:t>
            </w:r>
          </w:p>
        </w:tc>
        <w:tc>
          <w:tcPr>
            <w:tcW w:type="dxa" w:w="3402"/>
            <w:vAlign w:val="top"/>
          </w:tcPr>
          <w:p>
            <w:pPr>
              <w:spacing w:after="0" w:line="240" w:lineRule="auto"/>
            </w:pPr>
            <w:r>
              <w:rPr>
                <w:rFonts w:ascii="Times New Roman" w:hAnsi="Times New Roman"/>
                <w:sz w:val="16"/>
              </w:rPr>
              <w:t>Yanlış Semîre varyantı bulunmadı.</w:t>
            </w:r>
          </w:p>
        </w:tc>
        <w:tc>
          <w:tcPr>
            <w:tcW w:type="dxa" w:w="3969"/>
            <w:vAlign w:val="top"/>
          </w:tcPr>
          <w:p>
            <w:pPr>
              <w:spacing w:after="0" w:line="240" w:lineRule="auto"/>
            </w:pPr>
            <w:r>
              <w:rPr>
                <w:rFonts w:ascii="Times New Roman" w:hAnsi="Times New Roman"/>
                <w:sz w:val="16"/>
              </w:rPr>
              <w:t>Korunmalı.</w:t>
            </w:r>
          </w:p>
        </w:tc>
      </w:tr>
      <w:tr>
        <w:trPr>
          <w:cantSplit/>
          <w:cantSplit/>
        </w:trPr>
        <w:tc>
          <w:tcPr>
            <w:tcW w:type="dxa" w:w="1871"/>
            <w:vAlign w:val="top"/>
          </w:tcPr>
          <w:p>
            <w:pPr>
              <w:spacing w:after="0" w:line="240" w:lineRule="auto"/>
            </w:pPr>
            <w:r>
              <w:rPr>
                <w:rFonts w:ascii="Times New Roman" w:hAnsi="Times New Roman"/>
                <w:sz w:val="16"/>
              </w:rPr>
              <w:t>14. Kitâbu’s-seb‘a</w:t>
            </w:r>
          </w:p>
        </w:tc>
        <w:tc>
          <w:tcPr>
            <w:tcW w:type="dxa" w:w="2268"/>
            <w:vAlign w:val="top"/>
          </w:tcPr>
          <w:p>
            <w:pPr>
              <w:spacing w:after="0" w:line="240" w:lineRule="auto"/>
            </w:pPr>
            <w:r>
              <w:rPr>
                <w:rFonts w:ascii="Times New Roman" w:hAnsi="Times New Roman"/>
                <w:sz w:val="16"/>
              </w:rPr>
              <w:t>Tamamlandı</w:t>
            </w:r>
          </w:p>
        </w:tc>
        <w:tc>
          <w:tcPr>
            <w:tcW w:type="dxa" w:w="3402"/>
            <w:vAlign w:val="top"/>
          </w:tcPr>
          <w:p>
            <w:pPr>
              <w:spacing w:after="0" w:line="240" w:lineRule="auto"/>
            </w:pPr>
            <w:r>
              <w:rPr>
                <w:rFonts w:ascii="Times New Roman" w:hAnsi="Times New Roman"/>
                <w:sz w:val="16"/>
              </w:rPr>
              <w:t>“seb‘ati” kaçağı tespit edilmedi.</w:t>
            </w:r>
          </w:p>
        </w:tc>
        <w:tc>
          <w:tcPr>
            <w:tcW w:type="dxa" w:w="3969"/>
            <w:vAlign w:val="top"/>
          </w:tcPr>
          <w:p>
            <w:pPr>
              <w:spacing w:after="0" w:line="240" w:lineRule="auto"/>
            </w:pPr>
            <w:r>
              <w:rPr>
                <w:rFonts w:ascii="Times New Roman" w:hAnsi="Times New Roman"/>
                <w:sz w:val="16"/>
              </w:rPr>
              <w:t>Korunmalı.</w:t>
            </w:r>
          </w:p>
        </w:tc>
      </w:tr>
      <w:tr>
        <w:trPr>
          <w:cantSplit/>
          <w:cantSplit/>
        </w:trPr>
        <w:tc>
          <w:tcPr>
            <w:tcW w:type="dxa" w:w="1871"/>
            <w:vAlign w:val="top"/>
          </w:tcPr>
          <w:p>
            <w:pPr>
              <w:spacing w:after="0" w:line="240" w:lineRule="auto"/>
            </w:pPr>
            <w:r>
              <w:rPr>
                <w:rFonts w:ascii="Times New Roman" w:hAnsi="Times New Roman"/>
                <w:sz w:val="16"/>
              </w:rPr>
              <w:t>15. Merrâkuşî</w:t>
            </w:r>
          </w:p>
        </w:tc>
        <w:tc>
          <w:tcPr>
            <w:tcW w:type="dxa" w:w="2268"/>
            <w:vAlign w:val="top"/>
          </w:tcPr>
          <w:p>
            <w:pPr>
              <w:spacing w:after="0" w:line="240" w:lineRule="auto"/>
            </w:pPr>
            <w:r>
              <w:rPr>
                <w:rFonts w:ascii="Times New Roman" w:hAnsi="Times New Roman"/>
                <w:sz w:val="16"/>
              </w:rPr>
              <w:t>Tamamlandı</w:t>
            </w:r>
          </w:p>
        </w:tc>
        <w:tc>
          <w:tcPr>
            <w:tcW w:type="dxa" w:w="3402"/>
            <w:vAlign w:val="top"/>
          </w:tcPr>
          <w:p>
            <w:pPr>
              <w:spacing w:after="0" w:line="240" w:lineRule="auto"/>
            </w:pPr>
            <w:r>
              <w:rPr>
                <w:rFonts w:ascii="Times New Roman" w:hAnsi="Times New Roman"/>
                <w:sz w:val="16"/>
              </w:rPr>
              <w:t>Merrâkeşî varyantı bulunmadı.</w:t>
            </w:r>
          </w:p>
        </w:tc>
        <w:tc>
          <w:tcPr>
            <w:tcW w:type="dxa" w:w="3969"/>
            <w:vAlign w:val="top"/>
          </w:tcPr>
          <w:p>
            <w:pPr>
              <w:spacing w:after="0" w:line="240" w:lineRule="auto"/>
            </w:pPr>
            <w:r>
              <w:rPr>
                <w:rFonts w:ascii="Times New Roman" w:hAnsi="Times New Roman"/>
                <w:sz w:val="16"/>
              </w:rPr>
              <w:t>Korunmalı.</w:t>
            </w:r>
          </w:p>
        </w:tc>
      </w:tr>
      <w:tr>
        <w:trPr>
          <w:cantSplit/>
          <w:cantSplit/>
        </w:trPr>
        <w:tc>
          <w:tcPr>
            <w:tcW w:type="dxa" w:w="1871"/>
            <w:vAlign w:val="top"/>
          </w:tcPr>
          <w:p>
            <w:pPr>
              <w:spacing w:after="0" w:line="240" w:lineRule="auto"/>
            </w:pPr>
            <w:r>
              <w:rPr>
                <w:rFonts w:ascii="Times New Roman" w:hAnsi="Times New Roman"/>
                <w:sz w:val="16"/>
              </w:rPr>
              <w:t>16. “klasik”</w:t>
            </w:r>
          </w:p>
        </w:tc>
        <w:tc>
          <w:tcPr>
            <w:tcW w:type="dxa" w:w="2268"/>
            <w:vAlign w:val="top"/>
          </w:tcPr>
          <w:p>
            <w:pPr>
              <w:spacing w:after="0" w:line="240" w:lineRule="auto"/>
            </w:pPr>
            <w:r>
              <w:rPr>
                <w:rFonts w:ascii="Times New Roman" w:hAnsi="Times New Roman"/>
                <w:sz w:val="16"/>
              </w:rPr>
              <w:t>Kısmen tamamlandı</w:t>
            </w:r>
          </w:p>
        </w:tc>
        <w:tc>
          <w:tcPr>
            <w:tcW w:type="dxa" w:w="3402"/>
            <w:vAlign w:val="top"/>
          </w:tcPr>
          <w:p>
            <w:pPr>
              <w:spacing w:after="0" w:line="240" w:lineRule="auto"/>
            </w:pPr>
            <w:r>
              <w:rPr>
                <w:rFonts w:ascii="Times New Roman" w:hAnsi="Times New Roman"/>
                <w:sz w:val="16"/>
              </w:rPr>
              <w:t>46 kullanım; bir kısmı belirsiz.</w:t>
            </w:r>
          </w:p>
        </w:tc>
        <w:tc>
          <w:tcPr>
            <w:tcW w:type="dxa" w:w="3969"/>
            <w:vAlign w:val="top"/>
          </w:tcPr>
          <w:p>
            <w:pPr>
              <w:spacing w:after="0" w:line="240" w:lineRule="auto"/>
            </w:pPr>
            <w:r>
              <w:rPr>
                <w:rFonts w:ascii="Times New Roman" w:hAnsi="Times New Roman"/>
                <w:sz w:val="16"/>
              </w:rPr>
              <w:t>Bağlama göre “erken kaynaklar / resm literatürü / kırâat âlimleri...” olarak daralt.</w:t>
            </w:r>
          </w:p>
        </w:tc>
      </w:tr>
      <w:tr>
        <w:trPr>
          <w:cantSplit/>
          <w:cantSplit/>
        </w:trPr>
        <w:tc>
          <w:tcPr>
            <w:tcW w:type="dxa" w:w="1871"/>
            <w:vAlign w:val="top"/>
          </w:tcPr>
          <w:p>
            <w:pPr>
              <w:spacing w:after="0" w:line="240" w:lineRule="auto"/>
            </w:pPr>
            <w:r>
              <w:rPr>
                <w:rFonts w:ascii="Times New Roman" w:hAnsi="Times New Roman"/>
                <w:sz w:val="16"/>
              </w:rPr>
              <w:t>17. Kırmızı uzun cümleler</w:t>
            </w:r>
          </w:p>
        </w:tc>
        <w:tc>
          <w:tcPr>
            <w:tcW w:type="dxa" w:w="2268"/>
            <w:vAlign w:val="top"/>
          </w:tcPr>
          <w:p>
            <w:pPr>
              <w:spacing w:after="0" w:line="240" w:lineRule="auto"/>
            </w:pPr>
            <w:r>
              <w:rPr>
                <w:rFonts w:ascii="Times New Roman" w:hAnsi="Times New Roman"/>
                <w:sz w:val="16"/>
              </w:rPr>
              <w:t>Tamamlanmadı</w:t>
            </w:r>
          </w:p>
        </w:tc>
        <w:tc>
          <w:tcPr>
            <w:tcW w:type="dxa" w:w="3402"/>
            <w:vAlign w:val="top"/>
          </w:tcPr>
          <w:p>
            <w:pPr>
              <w:spacing w:after="0" w:line="240" w:lineRule="auto"/>
            </w:pPr>
            <w:r>
              <w:rPr>
                <w:rFonts w:ascii="Times New Roman" w:hAnsi="Times New Roman"/>
                <w:sz w:val="16"/>
              </w:rPr>
              <w:t>184 paragrafta kırmızı içerik var; bunların bir kısmı çalışma notu, bir kısmı uzun cümle/terim işaretidir.</w:t>
            </w:r>
          </w:p>
        </w:tc>
        <w:tc>
          <w:tcPr>
            <w:tcW w:type="dxa" w:w="3969"/>
            <w:vAlign w:val="top"/>
          </w:tcPr>
          <w:p>
            <w:pPr>
              <w:spacing w:after="0" w:line="240" w:lineRule="auto"/>
            </w:pPr>
            <w:r>
              <w:rPr>
                <w:rFonts w:ascii="Times New Roman" w:hAnsi="Times New Roman"/>
                <w:sz w:val="16"/>
              </w:rPr>
              <w:t>Önce sınıflandır; çalışma notlarını sil, uzun cümleleri yazar onayıyla böl.</w:t>
            </w:r>
          </w:p>
        </w:tc>
      </w:tr>
    </w:tbl>
    <w:p>
      <w:pPr>
        <w:pStyle w:val="Compact"/>
      </w:pPr>
    </w:p>
    <w:p>
      <w:pPr>
        <w:pStyle w:val="Heading2"/>
        <w:keepNext/>
        <w:keepLines/>
      </w:pPr>
      <w:r>
        <w:t>21. Önceki Raporun Güncel Durumu</w:t>
      </w:r>
    </w:p>
    <w:tbl>
      <w:tblPr>
        <w:tblStyle w:val="TableGrid"/>
        <w:tblW w:type="auto" w:w="0"/>
        <w:jc w:val="center"/>
        <w:tblLook w:firstColumn="1" w:firstRow="1" w:lastColumn="0" w:lastRow="0" w:noHBand="0" w:noVBand="1" w:val="04A0"/>
      </w:tblPr>
      <w:tblGrid>
        <w:gridCol w:w="3230"/>
        <w:gridCol w:w="3230"/>
        <w:gridCol w:w="3230"/>
      </w:tblGrid>
      <w:tr>
        <w:trPr>
          <w:cantSplit/>
          <w:cantSplit/>
        </w:trPr>
        <w:tc>
          <w:tcPr>
            <w:tcW w:type="dxa" w:w="3969"/>
            <w:shd w:fill="D9E2F3"/>
            <w:vAlign w:val="center"/>
          </w:tcPr>
          <w:p>
            <w:r>
              <w:rPr>
                <w:rFonts w:ascii="Times New Roman" w:hAnsi="Times New Roman"/>
                <w:b/>
                <w:sz w:val="16"/>
              </w:rPr>
              <w:t>Önceki ana sorun</w:t>
            </w:r>
          </w:p>
        </w:tc>
        <w:tc>
          <w:tcPr>
            <w:tcW w:type="dxa" w:w="2268"/>
            <w:shd w:fill="D9E2F3"/>
            <w:vAlign w:val="center"/>
          </w:tcPr>
          <w:p>
            <w:r>
              <w:rPr>
                <w:rFonts w:ascii="Times New Roman" w:hAnsi="Times New Roman"/>
                <w:b/>
                <w:sz w:val="16"/>
              </w:rPr>
              <w:t>Güncel durum</w:t>
            </w:r>
          </w:p>
        </w:tc>
        <w:tc>
          <w:tcPr>
            <w:tcW w:type="dxa" w:w="5102"/>
            <w:shd w:fill="D9E2F3"/>
            <w:vAlign w:val="center"/>
          </w:tcPr>
          <w:p>
            <w:r>
              <w:rPr>
                <w:rFonts w:ascii="Times New Roman" w:hAnsi="Times New Roman"/>
                <w:b/>
                <w:sz w:val="16"/>
              </w:rPr>
              <w:t>Kısa açıklama</w:t>
            </w:r>
          </w:p>
        </w:tc>
      </w:tr>
      <w:tr>
        <w:trPr>
          <w:cantSplit/>
          <w:cantSplit/>
        </w:trPr>
        <w:tc>
          <w:tcPr>
            <w:tcW w:type="dxa" w:w="3969"/>
            <w:vAlign w:val="top"/>
          </w:tcPr>
          <w:p>
            <w:pPr>
              <w:spacing w:after="0" w:line="240" w:lineRule="auto"/>
            </w:pPr>
            <w:r>
              <w:rPr>
                <w:rFonts w:ascii="Times New Roman" w:hAnsi="Times New Roman"/>
                <w:sz w:val="16"/>
              </w:rPr>
              <w:t>Giriş–ana metin tez uyumsuzluğu</w:t>
            </w:r>
          </w:p>
        </w:tc>
        <w:tc>
          <w:tcPr>
            <w:tcW w:type="dxa" w:w="2268"/>
            <w:vAlign w:val="top"/>
          </w:tcPr>
          <w:p>
            <w:pPr>
              <w:spacing w:after="0" w:line="240" w:lineRule="auto"/>
            </w:pPr>
            <w:r>
              <w:rPr>
                <w:rFonts w:ascii="Times New Roman" w:hAnsi="Times New Roman"/>
                <w:sz w:val="16"/>
              </w:rPr>
              <w:t>Kısmen düzeltilmiş</w:t>
            </w:r>
          </w:p>
        </w:tc>
        <w:tc>
          <w:tcPr>
            <w:tcW w:type="dxa" w:w="5102"/>
            <w:vAlign w:val="top"/>
          </w:tcPr>
          <w:p>
            <w:pPr>
              <w:spacing w:after="0" w:line="240" w:lineRule="auto"/>
            </w:pPr>
            <w:r>
              <w:rPr>
                <w:rFonts w:ascii="Times New Roman" w:hAnsi="Times New Roman"/>
                <w:sz w:val="16"/>
              </w:rPr>
              <w:t>Önsöz/Giriş/Sonuç çok daha iyi; gövdede resm özneleştirmesi sürüyor.</w:t>
            </w:r>
          </w:p>
        </w:tc>
      </w:tr>
      <w:tr>
        <w:trPr>
          <w:cantSplit/>
          <w:cantSplit/>
        </w:trPr>
        <w:tc>
          <w:tcPr>
            <w:tcW w:type="dxa" w:w="3969"/>
            <w:vAlign w:val="top"/>
          </w:tcPr>
          <w:p>
            <w:pPr>
              <w:spacing w:after="0" w:line="240" w:lineRule="auto"/>
            </w:pPr>
            <w:r>
              <w:rPr>
                <w:rFonts w:ascii="Times New Roman" w:hAnsi="Times New Roman"/>
                <w:sz w:val="16"/>
              </w:rPr>
              <w:t>Mekkî vahyin tamamının yazıldığı kesin hüküm</w:t>
            </w:r>
          </w:p>
        </w:tc>
        <w:tc>
          <w:tcPr>
            <w:tcW w:type="dxa" w:w="2268"/>
            <w:vAlign w:val="top"/>
          </w:tcPr>
          <w:p>
            <w:pPr>
              <w:spacing w:after="0" w:line="240" w:lineRule="auto"/>
            </w:pPr>
            <w:r>
              <w:rPr>
                <w:rFonts w:ascii="Times New Roman" w:hAnsi="Times New Roman"/>
                <w:sz w:val="16"/>
              </w:rPr>
              <w:t>Düzeltilmiş</w:t>
            </w:r>
          </w:p>
        </w:tc>
        <w:tc>
          <w:tcPr>
            <w:tcW w:type="dxa" w:w="5102"/>
            <w:vAlign w:val="top"/>
          </w:tcPr>
          <w:p>
            <w:pPr>
              <w:spacing w:after="0" w:line="240" w:lineRule="auto"/>
            </w:pPr>
            <w:r>
              <w:rPr>
                <w:rFonts w:ascii="Times New Roman" w:hAnsi="Times New Roman"/>
                <w:sz w:val="16"/>
              </w:rPr>
              <w:t>Güncel metin kapsamın kesin belirlenemediğini söylüyor.</w:t>
            </w:r>
          </w:p>
        </w:tc>
      </w:tr>
      <w:tr>
        <w:trPr>
          <w:cantSplit/>
          <w:cantSplit/>
        </w:trPr>
        <w:tc>
          <w:tcPr>
            <w:tcW w:type="dxa" w:w="3969"/>
            <w:vAlign w:val="top"/>
          </w:tcPr>
          <w:p>
            <w:pPr>
              <w:spacing w:after="0" w:line="240" w:lineRule="auto"/>
            </w:pPr>
            <w:r>
              <w:rPr>
                <w:rFonts w:ascii="Times New Roman" w:hAnsi="Times New Roman"/>
                <w:sz w:val="16"/>
              </w:rPr>
              <w:t>Vahiy metinlerinin muhafazasının iki kesin sistem gibi anlatılması</w:t>
            </w:r>
          </w:p>
        </w:tc>
        <w:tc>
          <w:tcPr>
            <w:tcW w:type="dxa" w:w="2268"/>
            <w:vAlign w:val="top"/>
          </w:tcPr>
          <w:p>
            <w:pPr>
              <w:spacing w:after="0" w:line="240" w:lineRule="auto"/>
            </w:pPr>
            <w:r>
              <w:rPr>
                <w:rFonts w:ascii="Times New Roman" w:hAnsi="Times New Roman"/>
                <w:sz w:val="16"/>
              </w:rPr>
              <w:t>Kısmen düzeltilmiş</w:t>
            </w:r>
          </w:p>
        </w:tc>
        <w:tc>
          <w:tcPr>
            <w:tcW w:type="dxa" w:w="5102"/>
            <w:vAlign w:val="top"/>
          </w:tcPr>
          <w:p>
            <w:pPr>
              <w:spacing w:after="0" w:line="240" w:lineRule="auto"/>
            </w:pPr>
            <w:r>
              <w:rPr>
                <w:rFonts w:ascii="Times New Roman" w:hAnsi="Times New Roman"/>
                <w:sz w:val="16"/>
              </w:rPr>
              <w:t>“Rivâyetlerdeki dağınık bilgilerden hareketle” sınırı eklendi; ilk model hâlâ aşırı kurumsal.</w:t>
            </w:r>
          </w:p>
        </w:tc>
      </w:tr>
      <w:tr>
        <w:trPr>
          <w:cantSplit/>
          <w:cantSplit/>
        </w:trPr>
        <w:tc>
          <w:tcPr>
            <w:tcW w:type="dxa" w:w="3969"/>
            <w:vAlign w:val="top"/>
          </w:tcPr>
          <w:p>
            <w:pPr>
              <w:spacing w:after="0" w:line="240" w:lineRule="auto"/>
            </w:pPr>
            <w:r>
              <w:rPr>
                <w:rFonts w:ascii="Times New Roman" w:hAnsi="Times New Roman"/>
                <w:sz w:val="16"/>
              </w:rPr>
              <w:t>Ebû Bekir suhufu yedi harfin tamamını içerir</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1.3–1.4’te kesin dil sürüyor.</w:t>
            </w:r>
          </w:p>
        </w:tc>
      </w:tr>
      <w:tr>
        <w:trPr>
          <w:cantSplit/>
          <w:cantSplit/>
        </w:trPr>
        <w:tc>
          <w:tcPr>
            <w:tcW w:type="dxa" w:w="3969"/>
            <w:vAlign w:val="top"/>
          </w:tcPr>
          <w:p>
            <w:pPr>
              <w:spacing w:after="0" w:line="240" w:lineRule="auto"/>
            </w:pPr>
            <w:r>
              <w:rPr>
                <w:rFonts w:ascii="Times New Roman" w:hAnsi="Times New Roman"/>
                <w:sz w:val="16"/>
              </w:rPr>
              <w:t>Mervân motivasyonunun yedi harf/arza ile açıklanması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“Görünen o ki” ile aynı yorum devam ediyor.</w:t>
            </w:r>
          </w:p>
        </w:tc>
      </w:tr>
      <w:tr>
        <w:trPr>
          <w:cantSplit/>
          <w:cantSplit/>
        </w:trPr>
        <w:tc>
          <w:tcPr>
            <w:tcW w:type="dxa" w:w="3969"/>
            <w:vAlign w:val="top"/>
          </w:tcPr>
          <w:p>
            <w:pPr>
              <w:spacing w:after="0" w:line="240" w:lineRule="auto"/>
            </w:pPr>
            <w:r>
              <w:rPr>
                <w:rFonts w:ascii="Times New Roman" w:hAnsi="Times New Roman"/>
                <w:sz w:val="16"/>
              </w:rPr>
              <w:t>Osmânî istinsahın tek harf üzerine kesinleştirilmesi</w:t>
            </w:r>
          </w:p>
        </w:tc>
        <w:tc>
          <w:tcPr>
            <w:tcW w:type="dxa" w:w="2268"/>
            <w:vAlign w:val="top"/>
          </w:tcPr>
          <w:p>
            <w:pPr>
              <w:spacing w:after="0" w:line="240" w:lineRule="auto"/>
            </w:pPr>
            <w:r>
              <w:rPr>
                <w:rFonts w:ascii="Times New Roman" w:hAnsi="Times New Roman"/>
                <w:sz w:val="16"/>
              </w:rPr>
              <w:t>Kısmen düzeltilmiş</w:t>
            </w:r>
          </w:p>
        </w:tc>
        <w:tc>
          <w:tcPr>
            <w:tcW w:type="dxa" w:w="5102"/>
            <w:vAlign w:val="top"/>
          </w:tcPr>
          <w:p>
            <w:pPr>
              <w:spacing w:after="0" w:line="240" w:lineRule="auto"/>
            </w:pPr>
            <w:r>
              <w:rPr>
                <w:rFonts w:ascii="Times New Roman" w:hAnsi="Times New Roman"/>
                <w:sz w:val="16"/>
              </w:rPr>
              <w:t>“tek harf” formu yumuşamış; arza mekanizması hâlâ kesin.</w:t>
            </w:r>
          </w:p>
        </w:tc>
      </w:tr>
      <w:tr>
        <w:trPr>
          <w:cantSplit/>
          <w:cantSplit/>
        </w:trPr>
        <w:tc>
          <w:tcPr>
            <w:tcW w:type="dxa" w:w="3969"/>
            <w:vAlign w:val="top"/>
          </w:tcPr>
          <w:p>
            <w:pPr>
              <w:spacing w:after="0" w:line="240" w:lineRule="auto"/>
            </w:pPr>
            <w:r>
              <w:rPr>
                <w:rFonts w:ascii="Times New Roman" w:hAnsi="Times New Roman"/>
                <w:sz w:val="16"/>
              </w:rPr>
              <w:t>Arza-i âhire–istinsah kesin bağı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“esas almış” dili devam ediyor.</w:t>
            </w:r>
          </w:p>
        </w:tc>
      </w:tr>
      <w:tr>
        <w:trPr>
          <w:cantSplit/>
          <w:cantSplit/>
        </w:trPr>
        <w:tc>
          <w:tcPr>
            <w:tcW w:type="dxa" w:w="3969"/>
            <w:vAlign w:val="top"/>
          </w:tcPr>
          <w:p>
            <w:pPr>
              <w:spacing w:after="0" w:line="240" w:lineRule="auto"/>
            </w:pPr>
            <w:r>
              <w:rPr>
                <w:rFonts w:ascii="Times New Roman" w:hAnsi="Times New Roman"/>
                <w:sz w:val="16"/>
              </w:rPr>
              <w:t>1.3 ile 1.4 tekrarı</w:t>
            </w:r>
          </w:p>
        </w:tc>
        <w:tc>
          <w:tcPr>
            <w:tcW w:type="dxa" w:w="2268"/>
            <w:vAlign w:val="top"/>
          </w:tcPr>
          <w:p>
            <w:pPr>
              <w:spacing w:after="0" w:line="240" w:lineRule="auto"/>
            </w:pPr>
            <w:r>
              <w:rPr>
                <w:rFonts w:ascii="Times New Roman" w:hAnsi="Times New Roman"/>
                <w:sz w:val="16"/>
              </w:rPr>
              <w:t>Kısmen düzeltilmiş</w:t>
            </w:r>
          </w:p>
        </w:tc>
        <w:tc>
          <w:tcPr>
            <w:tcW w:type="dxa" w:w="5102"/>
            <w:vAlign w:val="top"/>
          </w:tcPr>
          <w:p>
            <w:pPr>
              <w:spacing w:after="0" w:line="240" w:lineRule="auto"/>
            </w:pPr>
            <w:r>
              <w:rPr>
                <w:rFonts w:ascii="Times New Roman" w:hAnsi="Times New Roman"/>
                <w:sz w:val="16"/>
              </w:rPr>
              <w:t>Bazı cümleler değişmiş; tarihsel malzeme hâlâ ciddi ölçüde tekrar ediyor.</w:t>
            </w:r>
          </w:p>
        </w:tc>
      </w:tr>
      <w:tr>
        <w:trPr>
          <w:cantSplit/>
          <w:cantSplit/>
        </w:trPr>
        <w:tc>
          <w:tcPr>
            <w:tcW w:type="dxa" w:w="3969"/>
            <w:vAlign w:val="top"/>
          </w:tcPr>
          <w:p>
            <w:pPr>
              <w:spacing w:after="0" w:line="240" w:lineRule="auto"/>
            </w:pPr>
            <w:r>
              <w:rPr>
                <w:rFonts w:ascii="Times New Roman" w:hAnsi="Times New Roman"/>
                <w:sz w:val="16"/>
              </w:rPr>
              <w:t>“Kırâat geleneğinin problem üretmesi”</w:t>
            </w:r>
          </w:p>
        </w:tc>
        <w:tc>
          <w:tcPr>
            <w:tcW w:type="dxa" w:w="2268"/>
            <w:vAlign w:val="top"/>
          </w:tcPr>
          <w:p>
            <w:pPr>
              <w:spacing w:after="0" w:line="240" w:lineRule="auto"/>
            </w:pPr>
            <w:r>
              <w:rPr>
                <w:rFonts w:ascii="Times New Roman" w:hAnsi="Times New Roman"/>
                <w:sz w:val="16"/>
              </w:rPr>
              <w:t>Düzeltilmiş</w:t>
            </w:r>
          </w:p>
        </w:tc>
        <w:tc>
          <w:tcPr>
            <w:tcW w:type="dxa" w:w="5102"/>
            <w:vAlign w:val="top"/>
          </w:tcPr>
          <w:p>
            <w:pPr>
              <w:spacing w:after="0" w:line="240" w:lineRule="auto"/>
            </w:pPr>
            <w:r>
              <w:rPr>
                <w:rFonts w:ascii="Times New Roman" w:hAnsi="Times New Roman"/>
                <w:sz w:val="16"/>
              </w:rPr>
              <w:t>Birebir sorunlu ifade güncel metinde bulunmadı.</w:t>
            </w:r>
          </w:p>
        </w:tc>
      </w:tr>
      <w:tr>
        <w:trPr>
          <w:cantSplit/>
          <w:cantSplit/>
        </w:trPr>
        <w:tc>
          <w:tcPr>
            <w:tcW w:type="dxa" w:w="3969"/>
            <w:vAlign w:val="top"/>
          </w:tcPr>
          <w:p>
            <w:pPr>
              <w:spacing w:after="0" w:line="240" w:lineRule="auto"/>
            </w:pPr>
            <w:r>
              <w:rPr>
                <w:rFonts w:ascii="Times New Roman" w:hAnsi="Times New Roman"/>
                <w:sz w:val="16"/>
              </w:rPr>
              <w:t>“belki de savaşlar” dramatik karşı olgusu</w:t>
            </w:r>
          </w:p>
        </w:tc>
        <w:tc>
          <w:tcPr>
            <w:tcW w:type="dxa" w:w="2268"/>
            <w:vAlign w:val="top"/>
          </w:tcPr>
          <w:p>
            <w:pPr>
              <w:spacing w:after="0" w:line="240" w:lineRule="auto"/>
            </w:pPr>
            <w:r>
              <w:rPr>
                <w:rFonts w:ascii="Times New Roman" w:hAnsi="Times New Roman"/>
                <w:sz w:val="16"/>
              </w:rPr>
              <w:t>Düzeltilmiş</w:t>
            </w:r>
          </w:p>
        </w:tc>
        <w:tc>
          <w:tcPr>
            <w:tcW w:type="dxa" w:w="5102"/>
            <w:vAlign w:val="top"/>
          </w:tcPr>
          <w:p>
            <w:pPr>
              <w:spacing w:after="0" w:line="240" w:lineRule="auto"/>
            </w:pPr>
            <w:r>
              <w:rPr>
                <w:rFonts w:ascii="Times New Roman" w:hAnsi="Times New Roman"/>
                <w:sz w:val="16"/>
              </w:rPr>
              <w:t>Birebir ifade güncel metinde bulunmadı.</w:t>
            </w:r>
          </w:p>
        </w:tc>
      </w:tr>
      <w:tr>
        <w:trPr>
          <w:cantSplit/>
          <w:cantSplit/>
        </w:trPr>
        <w:tc>
          <w:tcPr>
            <w:tcW w:type="dxa" w:w="3969"/>
            <w:vAlign w:val="top"/>
          </w:tcPr>
          <w:p>
            <w:pPr>
              <w:spacing w:after="0" w:line="240" w:lineRule="auto"/>
            </w:pPr>
            <w:r>
              <w:rPr>
                <w:rFonts w:ascii="Times New Roman" w:hAnsi="Times New Roman"/>
                <w:sz w:val="16"/>
              </w:rPr>
              <w:t>İslâm öncesi yazı verilerinin aynı kanıt düzeyi</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Kanıt tipolojisi kurulmamış.</w:t>
            </w:r>
          </w:p>
        </w:tc>
      </w:tr>
      <w:tr>
        <w:trPr>
          <w:cantSplit/>
          <w:cantSplit/>
        </w:trPr>
        <w:tc>
          <w:tcPr>
            <w:tcW w:type="dxa" w:w="3969"/>
            <w:vAlign w:val="top"/>
          </w:tcPr>
          <w:p>
            <w:pPr>
              <w:spacing w:after="0" w:line="240" w:lineRule="auto"/>
            </w:pPr>
            <w:r>
              <w:rPr>
                <w:rFonts w:ascii="Times New Roman" w:hAnsi="Times New Roman"/>
                <w:sz w:val="16"/>
              </w:rPr>
              <w:t>Cem kavramını yalnız ezberle açıklama</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Aynı kesin ayrım sürüyor.</w:t>
            </w:r>
          </w:p>
        </w:tc>
      </w:tr>
      <w:tr>
        <w:trPr>
          <w:cantSplit/>
          <w:cantSplit/>
        </w:trPr>
        <w:tc>
          <w:tcPr>
            <w:tcW w:type="dxa" w:w="3969"/>
            <w:vAlign w:val="top"/>
          </w:tcPr>
          <w:p>
            <w:pPr>
              <w:spacing w:after="0" w:line="240" w:lineRule="auto"/>
            </w:pPr>
            <w:r>
              <w:rPr>
                <w:rFonts w:ascii="Times New Roman" w:hAnsi="Times New Roman"/>
                <w:sz w:val="16"/>
              </w:rPr>
              <w:t>التابوت lehçe/imlâ karışımı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Doğrudan Kureyş lehçesi formülü sürüyor.</w:t>
            </w:r>
          </w:p>
        </w:tc>
      </w:tr>
      <w:tr>
        <w:trPr>
          <w:cantSplit/>
          <w:cantSplit/>
        </w:trPr>
        <w:tc>
          <w:tcPr>
            <w:tcW w:type="dxa" w:w="3969"/>
            <w:vAlign w:val="top"/>
          </w:tcPr>
          <w:p>
            <w:pPr>
              <w:spacing w:after="0" w:line="240" w:lineRule="auto"/>
            </w:pPr>
            <w:r>
              <w:rPr>
                <w:rFonts w:ascii="Times New Roman" w:hAnsi="Times New Roman"/>
                <w:sz w:val="16"/>
              </w:rPr>
              <w:t>Sözlük kaynaklarından tarihsel teori çıkarma</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1.6.1–1.7’de devam ediyor.</w:t>
            </w:r>
          </w:p>
        </w:tc>
      </w:tr>
      <w:tr>
        <w:trPr>
          <w:cantSplit/>
          <w:cantSplit/>
        </w:trPr>
        <w:tc>
          <w:tcPr>
            <w:tcW w:type="dxa" w:w="3969"/>
            <w:vAlign w:val="top"/>
          </w:tcPr>
          <w:p>
            <w:pPr>
              <w:spacing w:after="0" w:line="240" w:lineRule="auto"/>
            </w:pPr>
            <w:r>
              <w:rPr>
                <w:rFonts w:ascii="Times New Roman" w:hAnsi="Times New Roman"/>
                <w:sz w:val="16"/>
              </w:rPr>
              <w:t>Modern araştırmacı görüşlerini genişletme</w:t>
            </w:r>
          </w:p>
        </w:tc>
        <w:tc>
          <w:tcPr>
            <w:tcW w:type="dxa" w:w="2268"/>
            <w:vAlign w:val="top"/>
          </w:tcPr>
          <w:p>
            <w:pPr>
              <w:spacing w:after="0" w:line="240" w:lineRule="auto"/>
            </w:pPr>
            <w:r>
              <w:rPr>
                <w:rFonts w:ascii="Times New Roman" w:hAnsi="Times New Roman"/>
                <w:sz w:val="16"/>
              </w:rPr>
              <w:t>Düzeltilmemiş / kaynak kontrolü gerekli</w:t>
            </w:r>
          </w:p>
        </w:tc>
        <w:tc>
          <w:tcPr>
            <w:tcW w:type="dxa" w:w="5102"/>
            <w:vAlign w:val="top"/>
          </w:tcPr>
          <w:p>
            <w:pPr>
              <w:spacing w:after="0" w:line="240" w:lineRule="auto"/>
            </w:pPr>
            <w:r>
              <w:rPr>
                <w:rFonts w:ascii="Times New Roman" w:hAnsi="Times New Roman"/>
                <w:sz w:val="16"/>
              </w:rPr>
              <w:t>Altı mushaf sentezi ve bazı modern atıflar hâlâ geniş.</w:t>
            </w:r>
          </w:p>
        </w:tc>
      </w:tr>
      <w:tr>
        <w:trPr>
          <w:cantSplit/>
          <w:cantSplit/>
        </w:trPr>
        <w:tc>
          <w:tcPr>
            <w:tcW w:type="dxa" w:w="3969"/>
            <w:vAlign w:val="top"/>
          </w:tcPr>
          <w:p>
            <w:pPr>
              <w:spacing w:after="0" w:line="240" w:lineRule="auto"/>
            </w:pPr>
            <w:r>
              <w:rPr>
                <w:rFonts w:ascii="Times New Roman" w:hAnsi="Times New Roman"/>
                <w:sz w:val="16"/>
              </w:rPr>
              <w:t>Çalışma notları / bozuk DOI</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Çok sayıda not ve iki bozuk DOI sürüyor.</w:t>
            </w:r>
          </w:p>
        </w:tc>
      </w:tr>
      <w:tr>
        <w:trPr>
          <w:cantSplit/>
          <w:cantSplit/>
        </w:trPr>
        <w:tc>
          <w:tcPr>
            <w:tcW w:type="dxa" w:w="3969"/>
            <w:vAlign w:val="top"/>
          </w:tcPr>
          <w:p>
            <w:pPr>
              <w:spacing w:after="0" w:line="240" w:lineRule="auto"/>
            </w:pPr>
            <w:r>
              <w:rPr>
                <w:rFonts w:ascii="Times New Roman" w:hAnsi="Times New Roman"/>
                <w:sz w:val="16"/>
              </w:rPr>
              <w:t>Mushaf sayısı dört–altı çelişkisi</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1.5 ve 4.1 açıkça farklı hüküm veriyor.</w:t>
            </w:r>
          </w:p>
        </w:tc>
      </w:tr>
      <w:tr>
        <w:trPr>
          <w:cantSplit/>
          <w:cantSplit/>
        </w:trPr>
        <w:tc>
          <w:tcPr>
            <w:tcW w:type="dxa" w:w="3969"/>
            <w:vAlign w:val="top"/>
          </w:tcPr>
          <w:p>
            <w:pPr>
              <w:spacing w:after="0" w:line="240" w:lineRule="auto"/>
            </w:pPr>
            <w:r>
              <w:rPr>
                <w:rFonts w:ascii="Times New Roman" w:hAnsi="Times New Roman"/>
                <w:sz w:val="16"/>
              </w:rPr>
              <w:t>Hazf “bilinçli/hikmetli tercih”</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“bilinçli olarak düşürülmesi” tanımı devam ediyor.</w:t>
            </w:r>
          </w:p>
        </w:tc>
      </w:tr>
      <w:tr>
        <w:trPr>
          <w:cantSplit/>
          <w:cantSplit/>
        </w:trPr>
        <w:tc>
          <w:tcPr>
            <w:tcW w:type="dxa" w:w="3969"/>
            <w:vAlign w:val="top"/>
          </w:tcPr>
          <w:p>
            <w:pPr>
              <w:spacing w:after="0" w:line="240" w:lineRule="auto"/>
            </w:pPr>
            <w:r>
              <w:rPr>
                <w:rFonts w:ascii="Times New Roman" w:hAnsi="Times New Roman"/>
                <w:sz w:val="16"/>
              </w:rPr>
              <w:t>Yazım çoklu kırâatleri korumak için tasarlandı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3.1 ve 4.6–4.7’de amaç dili sürüyor.</w:t>
            </w:r>
          </w:p>
        </w:tc>
      </w:tr>
      <w:tr>
        <w:trPr>
          <w:cantSplit/>
          <w:cantSplit/>
        </w:trPr>
        <w:tc>
          <w:tcPr>
            <w:tcW w:type="dxa" w:w="3969"/>
            <w:vAlign w:val="top"/>
          </w:tcPr>
          <w:p>
            <w:pPr>
              <w:spacing w:after="0" w:line="240" w:lineRule="auto"/>
            </w:pPr>
            <w:r>
              <w:rPr>
                <w:rFonts w:ascii="Times New Roman" w:hAnsi="Times New Roman"/>
                <w:sz w:val="16"/>
              </w:rPr>
              <w:t>İkinci Bölüm hacim/işlev zayıflığı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Bölüm hâlâ yaklaşık 4.583 kelime; kavram hiyerarşisi Girişten zayıf.</w:t>
            </w:r>
          </w:p>
        </w:tc>
      </w:tr>
      <w:tr>
        <w:trPr>
          <w:cantSplit/>
          <w:cantSplit/>
        </w:trPr>
        <w:tc>
          <w:tcPr>
            <w:tcW w:type="dxa" w:w="3969"/>
            <w:vAlign w:val="top"/>
          </w:tcPr>
          <w:p>
            <w:pPr>
              <w:spacing w:after="0" w:line="240" w:lineRule="auto"/>
            </w:pPr>
            <w:r>
              <w:rPr>
                <w:rFonts w:ascii="Times New Roman" w:hAnsi="Times New Roman"/>
                <w:sz w:val="16"/>
              </w:rPr>
              <w:t>2.4 “standartlaşma” başlığı</w:t>
            </w:r>
          </w:p>
        </w:tc>
        <w:tc>
          <w:tcPr>
            <w:tcW w:type="dxa" w:w="2268"/>
            <w:vAlign w:val="top"/>
          </w:tcPr>
          <w:p>
            <w:pPr>
              <w:spacing w:after="0" w:line="240" w:lineRule="auto"/>
            </w:pPr>
            <w:r>
              <w:rPr>
                <w:rFonts w:ascii="Times New Roman" w:hAnsi="Times New Roman"/>
                <w:sz w:val="16"/>
              </w:rPr>
              <w:t>Düzeltilmiş</w:t>
            </w:r>
          </w:p>
        </w:tc>
        <w:tc>
          <w:tcPr>
            <w:tcW w:type="dxa" w:w="5102"/>
            <w:vAlign w:val="top"/>
          </w:tcPr>
          <w:p>
            <w:pPr>
              <w:spacing w:after="0" w:line="240" w:lineRule="auto"/>
            </w:pPr>
            <w:r>
              <w:rPr>
                <w:rFonts w:ascii="Times New Roman" w:hAnsi="Times New Roman"/>
                <w:sz w:val="16"/>
              </w:rPr>
              <w:t>Başlık “ortak başvuru metni ... yansımaları” olarak iyileştirilmiş.</w:t>
            </w:r>
          </w:p>
        </w:tc>
      </w:tr>
      <w:tr>
        <w:trPr>
          <w:cantSplit/>
          <w:cantSplit/>
        </w:trPr>
        <w:tc>
          <w:tcPr>
            <w:tcW w:type="dxa" w:w="3969"/>
            <w:vAlign w:val="top"/>
          </w:tcPr>
          <w:p>
            <w:pPr>
              <w:spacing w:after="0" w:line="240" w:lineRule="auto"/>
            </w:pPr>
            <w:r>
              <w:rPr>
                <w:rFonts w:ascii="Times New Roman" w:hAnsi="Times New Roman"/>
                <w:sz w:val="16"/>
              </w:rPr>
              <w:t>3.4–3.6 hikmet/i‘câz sorunu</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Ana tezle en büyük çatışma alanı olmaya devam ediyor.</w:t>
            </w:r>
          </w:p>
        </w:tc>
      </w:tr>
      <w:tr>
        <w:trPr>
          <w:cantSplit/>
          <w:cantSplit/>
        </w:trPr>
        <w:tc>
          <w:tcPr>
            <w:tcW w:type="dxa" w:w="3969"/>
            <w:vAlign w:val="top"/>
          </w:tcPr>
          <w:p>
            <w:pPr>
              <w:spacing w:after="0" w:line="240" w:lineRule="auto"/>
            </w:pPr>
            <w:r>
              <w:rPr>
                <w:rFonts w:ascii="Times New Roman" w:hAnsi="Times New Roman"/>
                <w:sz w:val="16"/>
              </w:rPr>
              <w:t>3.7–3.12 konu dağılması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Altı ayrı başlık hâlâ mevcut.</w:t>
            </w:r>
          </w:p>
        </w:tc>
      </w:tr>
      <w:tr>
        <w:trPr>
          <w:cantSplit/>
          <w:cantSplit/>
        </w:trPr>
        <w:tc>
          <w:tcPr>
            <w:tcW w:type="dxa" w:w="3969"/>
            <w:vAlign w:val="top"/>
          </w:tcPr>
          <w:p>
            <w:pPr>
              <w:spacing w:after="0" w:line="240" w:lineRule="auto"/>
            </w:pPr>
            <w:r>
              <w:rPr>
                <w:rFonts w:ascii="Times New Roman" w:hAnsi="Times New Roman"/>
                <w:sz w:val="16"/>
              </w:rPr>
              <w:t>İsrail/Afrika mushafları anlatısı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Anlatı ve nedensel kullanım sürüyor.</w:t>
            </w:r>
          </w:p>
        </w:tc>
      </w:tr>
      <w:tr>
        <w:trPr>
          <w:cantSplit/>
          <w:cantSplit/>
        </w:trPr>
        <w:tc>
          <w:tcPr>
            <w:tcW w:type="dxa" w:w="3969"/>
            <w:vAlign w:val="top"/>
          </w:tcPr>
          <w:p>
            <w:pPr>
              <w:spacing w:after="0" w:line="240" w:lineRule="auto"/>
            </w:pPr>
            <w:r>
              <w:rPr>
                <w:rFonts w:ascii="Times New Roman" w:hAnsi="Times New Roman"/>
                <w:sz w:val="16"/>
              </w:rPr>
              <w:t>4.1–4.3 tarih tekrarı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Bölüm hâlâ tarihsel çerçeveyi uzun tekrar ediyor.</w:t>
            </w:r>
          </w:p>
        </w:tc>
      </w:tr>
      <w:tr>
        <w:trPr>
          <w:cantSplit/>
          <w:cantSplit/>
        </w:trPr>
        <w:tc>
          <w:tcPr>
            <w:tcW w:type="dxa" w:w="3969"/>
            <w:vAlign w:val="top"/>
          </w:tcPr>
          <w:p>
            <w:pPr>
              <w:spacing w:after="0" w:line="240" w:lineRule="auto"/>
            </w:pPr>
            <w:r>
              <w:rPr>
                <w:rFonts w:ascii="Times New Roman" w:hAnsi="Times New Roman"/>
                <w:sz w:val="16"/>
              </w:rPr>
              <w:t>Sahâbe mushaflarının topluca tefsirî ilave sayılması</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4.2’de genelleme sürüyor.</w:t>
            </w:r>
          </w:p>
        </w:tc>
      </w:tr>
      <w:tr>
        <w:trPr>
          <w:cantSplit/>
          <w:cantSplit/>
        </w:trPr>
        <w:tc>
          <w:tcPr>
            <w:tcW w:type="dxa" w:w="3969"/>
            <w:vAlign w:val="top"/>
          </w:tcPr>
          <w:p>
            <w:pPr>
              <w:spacing w:after="0" w:line="240" w:lineRule="auto"/>
            </w:pPr>
            <w:r>
              <w:rPr>
                <w:rFonts w:ascii="Times New Roman" w:hAnsi="Times New Roman"/>
                <w:sz w:val="16"/>
              </w:rPr>
              <w:t>Resme aykırı = mensuh/tek tip şâz</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4.3’te kategoriler karışıyor.</w:t>
            </w:r>
          </w:p>
        </w:tc>
      </w:tr>
      <w:tr>
        <w:trPr>
          <w:cantSplit/>
          <w:cantSplit/>
        </w:trPr>
        <w:tc>
          <w:tcPr>
            <w:tcW w:type="dxa" w:w="3969"/>
            <w:vAlign w:val="top"/>
          </w:tcPr>
          <w:p>
            <w:pPr>
              <w:spacing w:after="0" w:line="240" w:lineRule="auto"/>
            </w:pPr>
            <w:r>
              <w:rPr>
                <w:rFonts w:ascii="Times New Roman" w:hAnsi="Times New Roman"/>
                <w:sz w:val="16"/>
              </w:rPr>
              <w:t>İçindekiler uzun başlık dizgisi</w:t>
            </w:r>
          </w:p>
        </w:tc>
        <w:tc>
          <w:tcPr>
            <w:tcW w:type="dxa" w:w="2268"/>
            <w:vAlign w:val="top"/>
          </w:tcPr>
          <w:p>
            <w:pPr>
              <w:spacing w:after="0" w:line="240" w:lineRule="auto"/>
            </w:pPr>
            <w:r>
              <w:rPr>
                <w:rFonts w:ascii="Times New Roman" w:hAnsi="Times New Roman"/>
                <w:sz w:val="16"/>
              </w:rPr>
              <w:t>Düzeltilmemiş</w:t>
            </w:r>
          </w:p>
        </w:tc>
        <w:tc>
          <w:tcPr>
            <w:tcW w:type="dxa" w:w="5102"/>
            <w:vAlign w:val="top"/>
          </w:tcPr>
          <w:p>
            <w:pPr>
              <w:spacing w:after="0" w:line="240" w:lineRule="auto"/>
            </w:pPr>
            <w:r>
              <w:rPr>
                <w:rFonts w:ascii="Times New Roman" w:hAnsi="Times New Roman"/>
                <w:sz w:val="16"/>
              </w:rPr>
              <w:t>1.9.2, 3.10, 4.5, 4.6 kırılmaları sürüyor.</w:t>
            </w:r>
          </w:p>
        </w:tc>
      </w:tr>
      <w:tr>
        <w:trPr>
          <w:cantSplit/>
          <w:cantSplit/>
        </w:trPr>
        <w:tc>
          <w:tcPr>
            <w:tcW w:type="dxa" w:w="3969"/>
            <w:vAlign w:val="top"/>
          </w:tcPr>
          <w:p>
            <w:pPr>
              <w:spacing w:after="0" w:line="240" w:lineRule="auto"/>
            </w:pPr>
            <w:r>
              <w:rPr>
                <w:rFonts w:ascii="Times New Roman" w:hAnsi="Times New Roman"/>
                <w:sz w:val="16"/>
              </w:rPr>
              <w:t>Bölüm etiketi/başlık stili</w:t>
            </w:r>
          </w:p>
        </w:tc>
        <w:tc>
          <w:tcPr>
            <w:tcW w:type="dxa" w:w="2268"/>
            <w:vAlign w:val="top"/>
          </w:tcPr>
          <w:p>
            <w:pPr>
              <w:spacing w:after="0" w:line="240" w:lineRule="auto"/>
            </w:pPr>
            <w:r>
              <w:rPr>
                <w:rFonts w:ascii="Times New Roman" w:hAnsi="Times New Roman"/>
                <w:sz w:val="16"/>
              </w:rPr>
              <w:t>Düzeltilirken yeni sorun oluşmuş</w:t>
            </w:r>
          </w:p>
        </w:tc>
        <w:tc>
          <w:tcPr>
            <w:tcW w:type="dxa" w:w="5102"/>
            <w:vAlign w:val="top"/>
          </w:tcPr>
          <w:p>
            <w:pPr>
              <w:spacing w:after="0" w:line="240" w:lineRule="auto"/>
            </w:pPr>
            <w:r>
              <w:rPr>
                <w:rFonts w:ascii="Times New Roman" w:hAnsi="Times New Roman"/>
                <w:sz w:val="16"/>
              </w:rPr>
              <w:t>Önceki rapor bazı Heading seviyeleri diyordu; güncel dosyada doğrudan gövde paragrafları Heading hiyerarşisine bağlı görünmüyor.</w:t>
            </w:r>
          </w:p>
        </w:tc>
      </w:tr>
      <w:tr>
        <w:trPr>
          <w:cantSplit/>
          <w:cantSplit/>
        </w:trPr>
        <w:tc>
          <w:tcPr>
            <w:tcW w:type="dxa" w:w="3969"/>
            <w:vAlign w:val="top"/>
          </w:tcPr>
          <w:p>
            <w:pPr>
              <w:spacing w:after="0" w:line="240" w:lineRule="auto"/>
            </w:pPr>
            <w:r>
              <w:rPr>
                <w:rFonts w:ascii="Times New Roman" w:hAnsi="Times New Roman"/>
                <w:sz w:val="16"/>
              </w:rPr>
              <w:t>Önsöz/Sonuç Heading stili</w:t>
            </w:r>
          </w:p>
        </w:tc>
        <w:tc>
          <w:tcPr>
            <w:tcW w:type="dxa" w:w="2268"/>
            <w:vAlign w:val="top"/>
          </w:tcPr>
          <w:p>
            <w:pPr>
              <w:spacing w:after="0" w:line="240" w:lineRule="auto"/>
            </w:pPr>
            <w:r>
              <w:rPr>
                <w:rFonts w:ascii="Times New Roman" w:hAnsi="Times New Roman"/>
                <w:sz w:val="16"/>
              </w:rPr>
              <w:t>Düzeltilirken yeni sorun oluşmuş</w:t>
            </w:r>
          </w:p>
        </w:tc>
        <w:tc>
          <w:tcPr>
            <w:tcW w:type="dxa" w:w="5102"/>
            <w:vAlign w:val="top"/>
          </w:tcPr>
          <w:p>
            <w:pPr>
              <w:spacing w:after="0" w:line="240" w:lineRule="auto"/>
            </w:pPr>
            <w:r>
              <w:rPr>
                <w:rFonts w:ascii="Times New Roman" w:hAnsi="Times New Roman"/>
                <w:sz w:val="16"/>
              </w:rPr>
              <w:t>Giriş/Kaynakça dâhil gövde hiyerarşisi kaybolmuş.</w:t>
            </w:r>
          </w:p>
        </w:tc>
      </w:tr>
      <w:tr>
        <w:trPr>
          <w:cantSplit/>
          <w:cantSplit/>
        </w:trPr>
        <w:tc>
          <w:tcPr>
            <w:tcW w:type="dxa" w:w="3969"/>
            <w:vAlign w:val="top"/>
          </w:tcPr>
          <w:p>
            <w:pPr>
              <w:spacing w:after="0" w:line="240" w:lineRule="auto"/>
            </w:pPr>
            <w:r>
              <w:rPr>
                <w:rFonts w:ascii="Times New Roman" w:hAnsi="Times New Roman"/>
                <w:sz w:val="16"/>
              </w:rPr>
              <w:t>Başlık sayfasında yazar bilgisi yok</w:t>
            </w:r>
          </w:p>
        </w:tc>
        <w:tc>
          <w:tcPr>
            <w:tcW w:type="dxa" w:w="2268"/>
            <w:vAlign w:val="top"/>
          </w:tcPr>
          <w:p>
            <w:pPr>
              <w:spacing w:after="0" w:line="240" w:lineRule="auto"/>
            </w:pPr>
            <w:r>
              <w:rPr>
                <w:rFonts w:ascii="Times New Roman" w:hAnsi="Times New Roman"/>
                <w:sz w:val="16"/>
              </w:rPr>
              <w:t>Düzeltilmiş</w:t>
            </w:r>
          </w:p>
        </w:tc>
        <w:tc>
          <w:tcPr>
            <w:tcW w:type="dxa" w:w="5102"/>
            <w:vAlign w:val="top"/>
          </w:tcPr>
          <w:p>
            <w:pPr>
              <w:spacing w:after="0" w:line="240" w:lineRule="auto"/>
            </w:pPr>
            <w:r>
              <w:rPr>
                <w:rFonts w:ascii="Times New Roman" w:hAnsi="Times New Roman"/>
                <w:sz w:val="16"/>
              </w:rPr>
              <w:t>Güncel ilk sayfada yazar, unvan, kurum ve bölüm bilgisi bulunuyor.</w:t>
            </w:r>
          </w:p>
        </w:tc>
      </w:tr>
    </w:tbl>
    <w:p>
      <w:pPr>
        <w:pStyle w:val="Compact"/>
      </w:pPr>
    </w:p>
    <w:p>
      <w:pPr>
        <w:pStyle w:val="Heading2"/>
        <w:keepNext/>
        <w:keepLines/>
      </w:pPr>
      <w:r>
        <w:t>22. Önceki Analizde Bulunmayan Yeni Bulgular</w:t>
      </w:r>
    </w:p>
    <w:p>
      <w:pPr>
        <w:pStyle w:val="ListBullet"/>
      </w:pPr>
      <w:r>
        <w:t>1.10’da açık kronoloji hatası: Zerkeşî, kitapta verilen ölüm tarihlerine rağmen İbnü’l-Cezerî’nin prensiplerini benimseyen “sonraki” âlim olarak gösteriliyor.</w:t>
      </w:r>
    </w:p>
    <w:p>
      <w:pPr>
        <w:pStyle w:val="ListBullet"/>
      </w:pPr>
      <w:r>
        <w:t>1.3’te Hârice, “Zeyd b. Sâbit’in kızı” olarak tanımlanırken aynı eser içinde Hârice b. Zeyd biçiminde geçiyor; kişi kimliği metin içinde çelişiyor.</w:t>
      </w:r>
    </w:p>
    <w:p>
      <w:pPr>
        <w:pStyle w:val="ListBullet"/>
      </w:pPr>
      <w:r>
        <w:t>Ebû Şâme’nin milâdî ölüm tarihi iki farklı biçimde (1276/1267) verilmiş; bu yalnız tekrar değil açık veri çelişkisidir.</w:t>
      </w:r>
    </w:p>
    <w:p>
      <w:pPr>
        <w:pStyle w:val="ListBullet"/>
      </w:pPr>
      <w:r>
        <w:t>Bâkıllânî 403/10113, İbn Mu‘âz el-Cühenî 442/10509 ve Hamîdullah 20029 gibi yeni redaksiyon kaynaklı sayı bozulmaları vardır.</w:t>
      </w:r>
    </w:p>
    <w:p>
      <w:pPr>
        <w:pStyle w:val="ListBullet"/>
      </w:pPr>
      <w:r>
        <w:t>1.9’un açılışında “Resm-i Mushaf (resm-i Osmânî)” eşitlemesi, yeni Girişte açıkça kurulan kavramsal ayrımı doğrudan ihlal ediyor.</w:t>
      </w:r>
    </w:p>
    <w:p>
      <w:pPr>
        <w:pStyle w:val="ListBullet"/>
      </w:pPr>
      <w:r>
        <w:t>Güncel DOCX’te başlıkların tamamının gerçek Heading hiyerarşisinden kopmuş görünmesi, önceki sürümdeki “yanlış Heading seviyesi” sorunundan daha ağır yeni bir Word sorunudur.</w:t>
      </w:r>
    </w:p>
    <w:p>
      <w:pPr>
        <w:pStyle w:val="ListBullet"/>
      </w:pPr>
      <w:r>
        <w:t>OOXML düzeyinde Arapça içeren 53 dipnotlu paragrafta dipnot referans run’larının yalnız 1’i RTL işaretlidir; bu, kullanıcının tarif ettiği “dipnot numarası yanlış tarafa geçiyor” sorununun yapısal nedenini açıklıyor.</w:t>
      </w:r>
    </w:p>
    <w:p>
      <w:pPr>
        <w:pStyle w:val="ListBullet"/>
      </w:pPr>
      <w:r>
        <w:t>1.5’te yalnız “altı mushaf” çelişkisi değil, “desteklenmektedir” kelimesinin paragrafın bağlamının tersini söylemesi de kritik bir mantık/tashih hatasıdır.</w:t>
      </w:r>
    </w:p>
    <w:p>
      <w:pPr>
        <w:pStyle w:val="ListBullet"/>
      </w:pPr>
      <w:r>
        <w:t>3.6’daki “üç ana çizgi” ifadesi yalnız iki yaklaşım sayıyor; sonuç sınıflaması biçimsel olarak eksiktir.</w:t>
      </w:r>
    </w:p>
    <w:p>
      <w:pPr>
        <w:pStyle w:val="ListBullet"/>
      </w:pPr>
      <w:r>
        <w:t>4.4 başlığındaki “Kırâatlerin Tercîhî, Tevcîhi...” biçimi gramer ve terim paralelliği bakımından sorunludur.</w:t>
      </w:r>
    </w:p>
    <w:p>
      <w:pPr>
        <w:pStyle w:val="ListBullet"/>
      </w:pPr>
      <w:r>
        <w:t>Kaynakçadaki DOI bozulmalarından biri yalnız çift önek değil, DOI gövdesi bakımından da doğrulama gerektiriyor; sayı tahmin edilmemelidir.</w:t>
      </w:r>
    </w:p>
    <w:p>
      <w:pPr>
        <w:pStyle w:val="ListBullet"/>
      </w:pPr>
      <w:r>
        <w:t>Girişteki “okuyuş ve isnadla denetlenen” formülü, kitabın kendi kavramsal çerçevesi bakımından “edâ ve isnad” kadar kesin değildir.</w:t>
      </w:r>
    </w:p>
    <w:p>
      <w:pPr>
        <w:pStyle w:val="Heading2"/>
        <w:keepNext/>
        <w:keepLines/>
      </w:pPr>
      <w:r>
        <w:t>23. Önceliklendirilmiş Son Düzeltme Planı</w:t>
      </w:r>
    </w:p>
    <w:p>
      <w:pPr>
        <w:pStyle w:val="Heading3"/>
        <w:keepNext/>
        <w:keepLines/>
      </w:pPr>
      <w:r>
        <w:t>1. Bilimsel düzeltmeler</w:t>
      </w:r>
    </w:p>
    <w:p>
      <w:pPr>
        <w:pStyle w:val="ListNumber"/>
      </w:pPr>
      <w:r>
        <w:t>Ana gövdede resme bağımsız irade, seçim, koruma, anlam üretme ve yönlendirme gücü yükleyen bütün cümleleri yeniden kur.</w:t>
      </w:r>
    </w:p>
    <w:p>
      <w:pPr>
        <w:pStyle w:val="ListNumber"/>
      </w:pPr>
      <w:r>
        <w:t>Yedi harf–Ebû Bekir suhufu–arza-i âhire–Osmânî istinsah zincirinde rivâyet, klasik yorum ve yazar sentezini ayır.</w:t>
      </w:r>
    </w:p>
    <w:p>
      <w:pPr>
        <w:pStyle w:val="ListNumber"/>
      </w:pPr>
      <w:r>
        <w:t>1.5 ile 4.1 arasındaki mushaf sayısı çelişkisini tek ihtiyatlı formülasyonla gider.</w:t>
      </w:r>
    </w:p>
    <w:p>
      <w:pPr>
        <w:pStyle w:val="ListNumber"/>
      </w:pPr>
      <w:r>
        <w:t>3.4–3.6’daki hikmet/i‘câz açıklamalarını kaynak görüşü olarak sınırlandır; başlıkları değiştir.</w:t>
      </w:r>
    </w:p>
    <w:p>
      <w:pPr>
        <w:pStyle w:val="ListNumber"/>
      </w:pPr>
      <w:r>
        <w:t>4.2–4.4’te sahâbe mushafı, şâzlık, İbn Şenebûz ve vakıf türlerini ayrı kategorilerde yeniden yaz.</w:t>
      </w:r>
    </w:p>
    <w:p>
      <w:pPr>
        <w:pStyle w:val="Heading3"/>
        <w:keepNext/>
        <w:keepLines/>
      </w:pPr>
      <w:r>
        <w:t>2. Kaynak doğrulamaları</w:t>
      </w:r>
    </w:p>
    <w:p>
      <w:pPr>
        <w:pStyle w:val="ListNumber"/>
      </w:pPr>
      <w:r>
        <w:t>Mervân’ın niyeti, arza-i âhire ilişkisi, “altı mushaf” görüşünün modern araştırmacılara nispeti ve matbu mushaf kronolojisini kaynaklardan tek tek doğrula.</w:t>
      </w:r>
    </w:p>
    <w:p>
      <w:pPr>
        <w:pStyle w:val="ListNumber"/>
      </w:pPr>
      <w:r>
        <w:t>Soru işaretli kişi adlarını ve bozuk ölüm tarihlerini doğrula; doğrulanamayan tarihleri çıkar.</w:t>
      </w:r>
    </w:p>
    <w:p>
      <w:pPr>
        <w:pStyle w:val="ListNumber"/>
      </w:pPr>
      <w:r>
        <w:t>İsrail/Afrika mushaf anlatısını doğrulayamazsan çıkar; doğrulasan bile modern imlâ argümanının nedensel kanıtı yapma.</w:t>
      </w:r>
    </w:p>
    <w:p>
      <w:pPr>
        <w:pStyle w:val="ListNumber"/>
      </w:pPr>
      <w:r>
        <w:t>İki bozuk DOI’yi yayıncı/dergi kaydından doğrula; tahminle düzeltme yapma.</w:t>
      </w:r>
    </w:p>
    <w:p>
      <w:pPr>
        <w:pStyle w:val="Heading3"/>
        <w:keepNext/>
        <w:keepLines/>
      </w:pPr>
      <w:r>
        <w:t>3. Yapısal düzenlemeler</w:t>
      </w:r>
    </w:p>
    <w:p>
      <w:pPr>
        <w:pStyle w:val="ListNumber"/>
      </w:pPr>
      <w:r>
        <w:t>1.3–1.4 tekrarını azalt; 1.3’ü Ebû Bekir cemi, 1.4’ü Osmânî istinsah ile sınırla.</w:t>
      </w:r>
    </w:p>
    <w:p>
      <w:pPr>
        <w:pStyle w:val="ListNumber"/>
      </w:pPr>
      <w:r>
        <w:t>İkinci Bölümü iki teorik alt başlıkla güçlendir.</w:t>
      </w:r>
    </w:p>
    <w:p>
      <w:pPr>
        <w:pStyle w:val="ListNumber"/>
      </w:pPr>
      <w:r>
        <w:t>3.7–3.12’yi “Resm-i Osmânî’ye Bağlılığın Gerekçeleri ve Sınırları” altında birleştir.</w:t>
      </w:r>
    </w:p>
    <w:p>
      <w:pPr>
        <w:pStyle w:val="ListNumber"/>
      </w:pPr>
      <w:r>
        <w:t>Dördüncü Bölümde tarih özetlerini kısalt; her alt başlıkta ilke → somut örnek → resm ilişkisi → isnad/dil → sınır düzenine geç.</w:t>
      </w:r>
    </w:p>
    <w:p>
      <w:pPr>
        <w:pStyle w:val="Heading3"/>
        <w:keepNext/>
        <w:keepLines/>
      </w:pPr>
      <w:r>
        <w:t>4. Dil ve terminoloji</w:t>
      </w:r>
    </w:p>
    <w:p>
      <w:pPr>
        <w:pStyle w:val="ListNumber"/>
      </w:pPr>
      <w:r>
        <w:t>Kur’an/Kur’ân, tarîk, İmam Mushaf, resm-i mushaf/resm-i Osmânî, tercih/tercîhî biçimlerini ev stiline göre tekleştir.</w:t>
      </w:r>
    </w:p>
    <w:p>
      <w:pPr>
        <w:pStyle w:val="ListNumber"/>
      </w:pPr>
      <w:r>
        <w:t>“değil/değildir”, “sonuç olarak”, “açıkça ortaya koymaktadır”, “klasik”, “Nitekim”, “Dolayısıyla” tekrarlarını bağlam bazlı azalt.</w:t>
      </w:r>
    </w:p>
    <w:p>
      <w:pPr>
        <w:pStyle w:val="ListNumber"/>
      </w:pPr>
      <w:r>
        <w:t>Kırmızı uzun cümleleri önce çalışma notu / terminoloji önerisi / gerçek metin diye ayır; sonra yazar kararıyla düzelt.</w:t>
      </w:r>
    </w:p>
    <w:p>
      <w:pPr>
        <w:pStyle w:val="Heading3"/>
        <w:keepNext/>
        <w:keepLines/>
      </w:pPr>
      <w:r>
        <w:t>5. Dipnot ve kaynakça</w:t>
      </w:r>
    </w:p>
    <w:p>
      <w:pPr>
        <w:pStyle w:val="ListNumber"/>
      </w:pPr>
      <w:r>
        <w:t>İSNAD 2’de ilk tam, sonraki kısa kullanım sistemini kitap geneline uygula.</w:t>
      </w:r>
    </w:p>
    <w:p>
      <w:pPr>
        <w:pStyle w:val="ListNumber"/>
      </w:pPr>
      <w:r>
        <w:t>Müellif adlarındaki artikeller için ev stili–İSNAD 2 kararını açıkça ver; Zotero author alanlarından normalize et.</w:t>
      </w:r>
    </w:p>
    <w:p>
      <w:pPr>
        <w:pStyle w:val="ListNumber"/>
      </w:pPr>
      <w:r>
        <w:t>Sûre adlarını proje ev stiline göre tekleştir; eser başlıkları ve doğrudan alıntılara dokunma.</w:t>
      </w:r>
    </w:p>
    <w:p>
      <w:pPr>
        <w:pStyle w:val="ListNumber"/>
      </w:pPr>
      <w:r>
        <w:t>Kaynakçayı dipnotlarla çift yönlü eşleştir; farklı baskıları otomatik mükerrer sayma.</w:t>
      </w:r>
    </w:p>
    <w:p>
      <w:pPr>
        <w:pStyle w:val="Heading3"/>
        <w:keepNext/>
        <w:keepLines/>
      </w:pPr>
      <w:r>
        <w:t>6. Teknik son hazırlık</w:t>
      </w:r>
    </w:p>
    <w:p>
      <w:pPr>
        <w:pStyle w:val="ListNumber"/>
      </w:pPr>
      <w:r>
        <w:t>Bütün başlıkları gerçek Word Heading hiyerarşisine bağla ve çok düzeyli numaralandırmayı kur.</w:t>
      </w:r>
    </w:p>
    <w:p>
      <w:pPr>
        <w:pStyle w:val="ListNumber"/>
      </w:pPr>
      <w:r>
        <w:t>184 kırmızı içerikli paragraf ile dipnotlardaki çalışma notlarını tamamen temizle veya yazar kararıyla kabul/reddet.</w:t>
      </w:r>
    </w:p>
    <w:p>
      <w:pPr>
        <w:pStyle w:val="ListNumber"/>
      </w:pPr>
      <w:r>
        <w:t>Arapça paragraf/run ve dipnot referanslarını RTL/bidi stiline bağla; tüm Arapça örnekleri PDF provasında tek tek kontrol et.</w:t>
      </w:r>
    </w:p>
    <w:p>
      <w:pPr>
        <w:pStyle w:val="ListNumber"/>
      </w:pPr>
      <w:r>
        <w:t>Aktif Zotero alanlı ana dosyayı arşivle; yayınevine ayrı, alanları düzleştirilmiş teslim kopyası üret; İçindekileri son kez güncelle.</w:t>
      </w:r>
    </w:p>
    <w:p>
      <w:pPr>
        <w:pStyle w:val="Heading2"/>
        <w:pageBreakBefore w:val="0"/>
        <w:keepNext/>
        <w:keepLines/>
      </w:pPr>
      <w:r>
        <w:t>24. Nihai Yayın Hazırlığı Kararı</w:t>
      </w:r>
    </w:p>
    <w:p>
      <w:pPr/>
      <w:r>
        <w:rPr>
          <w:b/>
          <w:color w:val="C00000"/>
          <w:sz w:val="26"/>
        </w:rPr>
        <w:t>Karar: A. Bilimsel redaksiyon gerekiyor.</w:t>
      </w:r>
    </w:p>
    <w:p>
      <w:pPr/>
      <w:r>
        <w:t>Temel tez artık açık ve savunulabilir bir çerçeveye sahiptir; özellikle Önsöz, Giriş ve Sonuç bu çerçeveyi büyük ölçüde doğru kurmaktadır. Ancak kitabın ana gövdesinde bu çerçevenin dışına çıkan tarihsel kesinleştirmeler, resmin özneleştirilmesi, hikmet/i‘câz yorumlarının kanıt düzeyinin belirsizliği, mushaf sayısı ve kronoloji çelişkileri, sahâbe mushafı/şâz kırâat genellemeleri ile kaynak doğrulaması bekleyen modern baskı anlatıları vardır. Bunlar yalnız dil ve son tashih düzeyinde çözülebilecek meseleler değildir.</w:t>
      </w:r>
    </w:p>
    <w:p>
      <w:pPr/>
      <w:r>
        <w:t>Bu nedenle çalışma henüz “C. Dil ve son redaksiyon aşamasına geçebilir” veya “D. Dizgi ve son prova aşamasına hazır” seviyesinde değildir. Önce 23. bölümdeki bilimsel ve kaynak düzeltmeleri tamamlanmalı, ardından yapısal redaksiyon ve İSNAD 2/kaynakça temizliği yapılmalıdır. Teknik Word ve RTL sorunları ancak bilimsel metin dondurulduktan sonra son provada kapatılmalıdır.</w:t>
      </w:r>
    </w:p>
    <w:p>
      <w:pPr>
        <w:pStyle w:val="Heading2"/>
        <w:keepNext/>
        <w:keepLines/>
      </w:pPr>
      <w:r>
        <w:t>Ek: Hızlı Sorun Dizini</w:t>
      </w:r>
    </w:p>
    <w:tbl>
      <w:tblPr>
        <w:tblStyle w:val="TableGrid"/>
        <w:tblW w:type="auto" w:w="0"/>
        <w:jc w:val="center"/>
        <w:tblLook w:firstColumn="1" w:firstRow="1" w:lastColumn="0" w:lastRow="0" w:noHBand="0" w:noVBand="1" w:val="04A0"/>
      </w:tblPr>
      <w:tblGrid>
        <w:gridCol w:w="3230"/>
        <w:gridCol w:w="3230"/>
        <w:gridCol w:w="3230"/>
      </w:tblGrid>
      <w:tr>
        <w:trPr>
          <w:cantSplit/>
          <w:cantSplit/>
        </w:trPr>
        <w:tc>
          <w:tcPr>
            <w:tcW w:type="dxa" w:w="1134"/>
            <w:shd w:fill="D9E2F3"/>
            <w:vAlign w:val="center"/>
          </w:tcPr>
          <w:p>
            <w:r>
              <w:rPr>
                <w:rFonts w:ascii="Times New Roman" w:hAnsi="Times New Roman"/>
                <w:b/>
                <w:sz w:val="16"/>
              </w:rPr>
              <w:t>Öncelik</w:t>
            </w:r>
          </w:p>
        </w:tc>
        <w:tc>
          <w:tcPr>
            <w:tcW w:type="dxa" w:w="2835"/>
            <w:shd w:fill="D9E2F3"/>
            <w:vAlign w:val="center"/>
          </w:tcPr>
          <w:p>
            <w:r>
              <w:rPr>
                <w:rFonts w:ascii="Times New Roman" w:hAnsi="Times New Roman"/>
                <w:b/>
                <w:sz w:val="16"/>
              </w:rPr>
              <w:t>Başlıca konumlar</w:t>
            </w:r>
          </w:p>
        </w:tc>
        <w:tc>
          <w:tcPr>
            <w:tcW w:type="dxa" w:w="6803"/>
            <w:shd w:fill="D9E2F3"/>
            <w:vAlign w:val="center"/>
          </w:tcPr>
          <w:p>
            <w:r>
              <w:rPr>
                <w:rFonts w:ascii="Times New Roman" w:hAnsi="Times New Roman"/>
                <w:b/>
                <w:sz w:val="16"/>
              </w:rPr>
              <w:t>Ana işlem</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1.3–1.5</w:t>
            </w:r>
          </w:p>
        </w:tc>
        <w:tc>
          <w:tcPr>
            <w:tcW w:type="dxa" w:w="6803"/>
            <w:vAlign w:val="top"/>
          </w:tcPr>
          <w:p>
            <w:pPr>
              <w:spacing w:after="0" w:line="240" w:lineRule="auto"/>
            </w:pPr>
            <w:r>
              <w:rPr>
                <w:rFonts w:ascii="Times New Roman" w:hAnsi="Times New Roman"/>
                <w:sz w:val="16"/>
              </w:rPr>
              <w:t>Yedi harf/arza/mushaf sayısı ve çalışma notlarını düzelt.</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1.9–1.10</w:t>
            </w:r>
          </w:p>
        </w:tc>
        <w:tc>
          <w:tcPr>
            <w:tcW w:type="dxa" w:w="6803"/>
            <w:vAlign w:val="top"/>
          </w:tcPr>
          <w:p>
            <w:pPr>
              <w:spacing w:after="0" w:line="240" w:lineRule="auto"/>
            </w:pPr>
            <w:r>
              <w:rPr>
                <w:rFonts w:ascii="Times New Roman" w:hAnsi="Times New Roman"/>
                <w:sz w:val="16"/>
              </w:rPr>
              <w:t>Resm niyeti ve kronoloji tersliğini düzelt.</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3.4–3.6</w:t>
            </w:r>
          </w:p>
        </w:tc>
        <w:tc>
          <w:tcPr>
            <w:tcW w:type="dxa" w:w="6803"/>
            <w:vAlign w:val="top"/>
          </w:tcPr>
          <w:p>
            <w:pPr>
              <w:spacing w:after="0" w:line="240" w:lineRule="auto"/>
            </w:pPr>
            <w:r>
              <w:rPr>
                <w:rFonts w:ascii="Times New Roman" w:hAnsi="Times New Roman"/>
                <w:sz w:val="16"/>
              </w:rPr>
              <w:t>Hikmet/i‘câz yorumlarını kaynak görüşü olarak sınırla.</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3.7–3.12</w:t>
            </w:r>
          </w:p>
        </w:tc>
        <w:tc>
          <w:tcPr>
            <w:tcW w:type="dxa" w:w="6803"/>
            <w:vAlign w:val="top"/>
          </w:tcPr>
          <w:p>
            <w:pPr>
              <w:spacing w:after="0" w:line="240" w:lineRule="auto"/>
            </w:pPr>
            <w:r>
              <w:rPr>
                <w:rFonts w:ascii="Times New Roman" w:hAnsi="Times New Roman"/>
                <w:sz w:val="16"/>
              </w:rPr>
              <w:t>Apologetik/tekrar yapısını birleştir ve kısalt.</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4.2–4.4</w:t>
            </w:r>
          </w:p>
        </w:tc>
        <w:tc>
          <w:tcPr>
            <w:tcW w:type="dxa" w:w="6803"/>
            <w:vAlign w:val="top"/>
          </w:tcPr>
          <w:p>
            <w:pPr>
              <w:spacing w:after="0" w:line="240" w:lineRule="auto"/>
            </w:pPr>
            <w:r>
              <w:rPr>
                <w:rFonts w:ascii="Times New Roman" w:hAnsi="Times New Roman"/>
                <w:sz w:val="16"/>
              </w:rPr>
              <w:t>Sahâbe mushafı, şâzlık ve vakıf kategorilerini ayır.</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4.7</w:t>
            </w:r>
          </w:p>
        </w:tc>
        <w:tc>
          <w:tcPr>
            <w:tcW w:type="dxa" w:w="6803"/>
            <w:vAlign w:val="top"/>
          </w:tcPr>
          <w:p>
            <w:pPr>
              <w:spacing w:after="0" w:line="240" w:lineRule="auto"/>
            </w:pPr>
            <w:r>
              <w:rPr>
                <w:rFonts w:ascii="Times New Roman" w:hAnsi="Times New Roman"/>
                <w:sz w:val="16"/>
              </w:rPr>
              <w:t>Baskı kronolojisini kaynaklardan doğrula.</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Dipnot/Kaynakça</w:t>
            </w:r>
          </w:p>
        </w:tc>
        <w:tc>
          <w:tcPr>
            <w:tcW w:type="dxa" w:w="6803"/>
            <w:vAlign w:val="top"/>
          </w:tcPr>
          <w:p>
            <w:pPr>
              <w:spacing w:after="0" w:line="240" w:lineRule="auto"/>
            </w:pPr>
            <w:r>
              <w:rPr>
                <w:rFonts w:ascii="Times New Roman" w:hAnsi="Times New Roman"/>
                <w:sz w:val="16"/>
              </w:rPr>
              <w:t>Çalışma notlarını ve bozuk DOI’leri temizle.</w:t>
            </w:r>
          </w:p>
        </w:tc>
      </w:tr>
      <w:tr>
        <w:trPr>
          <w:cantSplit/>
          <w:cantSplit/>
        </w:trPr>
        <w:tc>
          <w:tcPr>
            <w:tcW w:type="dxa" w:w="1134"/>
            <w:vAlign w:val="top"/>
          </w:tcPr>
          <w:p>
            <w:pPr>
              <w:spacing w:after="0" w:line="240" w:lineRule="auto"/>
            </w:pPr>
            <w:r>
              <w:rPr>
                <w:rFonts w:ascii="Times New Roman" w:hAnsi="Times New Roman"/>
                <w:sz w:val="16"/>
              </w:rPr>
              <w:t>Kritik</w:t>
            </w:r>
          </w:p>
        </w:tc>
        <w:tc>
          <w:tcPr>
            <w:tcW w:type="dxa" w:w="2835"/>
            <w:vAlign w:val="top"/>
          </w:tcPr>
          <w:p>
            <w:pPr>
              <w:spacing w:after="0" w:line="240" w:lineRule="auto"/>
            </w:pPr>
            <w:r>
              <w:rPr>
                <w:rFonts w:ascii="Times New Roman" w:hAnsi="Times New Roman"/>
                <w:sz w:val="16"/>
              </w:rPr>
              <w:t>Word yapısı</w:t>
            </w:r>
          </w:p>
        </w:tc>
        <w:tc>
          <w:tcPr>
            <w:tcW w:type="dxa" w:w="6803"/>
            <w:vAlign w:val="top"/>
          </w:tcPr>
          <w:p>
            <w:pPr>
              <w:spacing w:after="0" w:line="240" w:lineRule="auto"/>
            </w:pPr>
            <w:r>
              <w:rPr>
                <w:rFonts w:ascii="Times New Roman" w:hAnsi="Times New Roman"/>
                <w:sz w:val="16"/>
              </w:rPr>
              <w:t>Heading hiyerarşisini yeniden kur; kırmızı notları temizle.</w:t>
            </w:r>
          </w:p>
        </w:tc>
      </w:tr>
      <w:tr>
        <w:trPr>
          <w:cantSplit/>
          <w:cantSplit/>
        </w:trPr>
        <w:tc>
          <w:tcPr>
            <w:tcW w:type="dxa" w:w="1134"/>
            <w:vAlign w:val="top"/>
          </w:tcPr>
          <w:p>
            <w:pPr>
              <w:spacing w:after="0" w:line="240" w:lineRule="auto"/>
            </w:pPr>
            <w:r>
              <w:rPr>
                <w:rFonts w:ascii="Times New Roman" w:hAnsi="Times New Roman"/>
                <w:sz w:val="16"/>
              </w:rPr>
              <w:t>Yüksek</w:t>
            </w:r>
          </w:p>
        </w:tc>
        <w:tc>
          <w:tcPr>
            <w:tcW w:type="dxa" w:w="2835"/>
            <w:vAlign w:val="top"/>
          </w:tcPr>
          <w:p>
            <w:pPr>
              <w:spacing w:after="0" w:line="240" w:lineRule="auto"/>
            </w:pPr>
            <w:r>
              <w:rPr>
                <w:rFonts w:ascii="Times New Roman" w:hAnsi="Times New Roman"/>
                <w:sz w:val="16"/>
              </w:rPr>
              <w:t>Arapça örnekler</w:t>
            </w:r>
          </w:p>
        </w:tc>
        <w:tc>
          <w:tcPr>
            <w:tcW w:type="dxa" w:w="6803"/>
            <w:vAlign w:val="top"/>
          </w:tcPr>
          <w:p>
            <w:pPr>
              <w:spacing w:after="0" w:line="240" w:lineRule="auto"/>
            </w:pPr>
            <w:r>
              <w:rPr>
                <w:rFonts w:ascii="Times New Roman" w:hAnsi="Times New Roman"/>
                <w:sz w:val="16"/>
              </w:rPr>
              <w:t>RTL dipnot referanslarını standardize et ve görsel prova yap.</w:t>
            </w:r>
          </w:p>
        </w:tc>
      </w:tr>
      <w:tr>
        <w:trPr>
          <w:cantSplit/>
          <w:cantSplit/>
        </w:trPr>
        <w:tc>
          <w:tcPr>
            <w:tcW w:type="dxa" w:w="1134"/>
            <w:vAlign w:val="top"/>
          </w:tcPr>
          <w:p>
            <w:pPr>
              <w:spacing w:after="0" w:line="240" w:lineRule="auto"/>
            </w:pPr>
            <w:r>
              <w:rPr>
                <w:rFonts w:ascii="Times New Roman" w:hAnsi="Times New Roman"/>
                <w:sz w:val="16"/>
              </w:rPr>
              <w:t>Yüksek</w:t>
            </w:r>
          </w:p>
        </w:tc>
        <w:tc>
          <w:tcPr>
            <w:tcW w:type="dxa" w:w="2835"/>
            <w:vAlign w:val="top"/>
          </w:tcPr>
          <w:p>
            <w:pPr>
              <w:spacing w:after="0" w:line="240" w:lineRule="auto"/>
            </w:pPr>
            <w:r>
              <w:rPr>
                <w:rFonts w:ascii="Times New Roman" w:hAnsi="Times New Roman"/>
                <w:sz w:val="16"/>
              </w:rPr>
              <w:t>İkinci Bölüm</w:t>
            </w:r>
          </w:p>
        </w:tc>
        <w:tc>
          <w:tcPr>
            <w:tcW w:type="dxa" w:w="6803"/>
            <w:vAlign w:val="top"/>
          </w:tcPr>
          <w:p>
            <w:pPr>
              <w:spacing w:after="0" w:line="240" w:lineRule="auto"/>
            </w:pPr>
            <w:r>
              <w:rPr>
                <w:rFonts w:ascii="Times New Roman" w:hAnsi="Times New Roman"/>
                <w:sz w:val="16"/>
              </w:rPr>
              <w:t>Rivâyet teorisini genişlet; kitabın başlığındaki “rivâyet” unsurunu güçlendir.</w:t>
            </w:r>
          </w:p>
        </w:tc>
      </w:tr>
    </w:tbl>
    <w:p>
      <w:pPr>
        <w:pStyle w:val="Compact"/>
      </w:pPr>
    </w:p>
    <w:p>
      <w:pPr>
        <w:pStyle w:val="Heading1"/>
        <w:keepNext/>
        <w:pageBreakBefore/>
      </w:pPr>
      <w:r>
        <w:t>İKİNCİ KISIM — Metinsel Akış, Geçiş, Tekrar ve Formülaik Anlatım Denetimi</w:t>
      </w:r>
    </w:p>
    <w:p>
      <w:pPr>
        <w:spacing w:after="200"/>
      </w:pPr>
      <w:r>
        <w:rPr>
          <w:rFonts w:ascii="Aptos" w:hAnsi="Aptos" w:cs="Aptos" w:eastAsia="Aptos"/>
          <w:i/>
          <w:sz w:val="21"/>
        </w:rPr>
        <w:t>İkinci raporun bağımsız paragraf, alt başlık ve bölüm akışı taraması; gereksiz ara sonuçlar ve formülaik anlatım örüntüleri.</w:t>
      </w:r>
    </w:p>
    <w:p>
      <w:pPr>
        <w:pStyle w:val="Heading2"/>
        <w:keepNext/>
      </w:pPr>
      <w:r>
        <w:t>1. Genel Metinsel Akış ve Üslup Değerlendirmesi</w:t>
      </w:r>
    </w:p>
    <w:p>
      <w:r>
        <w:t>Bu ikinci denetim önceki kapsamlı raporun bulgularını başlangıç noktası olarak kullanmadan yapılmış; kitap önce paragraf ve bölüm akışı bakımından bağımsız olarak taranmış, daha sonra bulgular önceki raporla karşılaştırılmıştır. İncelemenin odağı bilimsel içeriği yeniden hakemlemek değil, mevcut ilmî çerçevenin kitap boyunca nasıl ilerlediğini ve okura nasıl aktarıldığını denetlemektir.</w:t>
      </w:r>
    </w:p>
    <w:p>
      <w:r>
        <w:t>Güncel nüshada ana tez özellikle Önsöz, Giriş ve Sonuçta açık ve tutarlıdır. Buna karşılık gövdede düşünce akışını zayıflatan başlıca problem, yanlış bilgi kadar “aynı doğru düşüncenin fazla sayıda yeniden kurulmasıdır”. Birçok alt başlık, önce bir çerçeve paragrafı kurmakta, ardından örnekleri vermekte, sonra bir ara sonuç çıkarmakta ve sonraki birkaç paragrafta aynı değerlendirmeyi farklı kelimelerle tekrar etmektedir. Bu yapı özellikle 1.4–1.10, 2.1–2.4, 3.4–3.12 ve 4.1–4.7’de belirgindir.</w:t>
      </w:r>
    </w:p>
    <w:p>
      <w:r>
        <w:t>En ağır akış sorunları beş türde yoğunlaşmaktadır: (1) deliller tamamlanmadan gelen erken sentezler, (2) alt başlık bitmeden konuyu kapatan mini-sonuç paragrafları, (3) bir sonraki alt başlığın konusunu önceki başlıkta ayrıntılı biçimde anlatma, (4) bölümün ana tezini her alt başlıkta yeniden kurma ve (5) “Bu çerçevede / Nitekim / Böylece / Dolayısıyla / göstermektedir / ortaya koymaktadır” zincirlerinin düşünsel ilişkiyi açıklamak yerine mekanik geçiş görevi görmesi.</w:t>
      </w:r>
    </w:p>
    <w:p>
      <w:r>
        <w:t>Bu nedenle önerilen redaksiyonun ana ilkesi yeni metin eklemek değil, önce gereksiz tekrarları çıkarmak, sonra kalan paragrafların ilk ve son cümlelerini birbirine bağlamak olmalıdır. Yeni geçiş paragrafı yalnız mevcut cümlelerin düzenlenmesiyle bağ kurulamadığı yerlerde kullanılmalıdır.</w:t>
      </w:r>
    </w:p>
    <w:p>
      <w:pPr>
        <w:pStyle w:val="Heading2"/>
        <w:keepNext/>
      </w:pPr>
      <w:r>
        <w:t>2. Yüksek Öncelikli Yapısal ve Geçiş Sorunları</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tcPr>
          <w:p>
            <w:r>
              <w:rPr>
                <w:rFonts w:ascii="Times New Roman" w:hAnsi="Times New Roman" w:eastAsia="Times New Roman"/>
                <w:b/>
                <w:color w:val="FFFFFF"/>
                <w:sz w:val="17"/>
              </w:rPr>
              <w:t>Yer</w:t>
            </w:r>
          </w:p>
        </w:tc>
        <w:tc>
          <w:tcPr>
            <w:tcW w:type="dxa" w:w="2351"/>
            <w:shd w:fill="1F4E79"/>
          </w:tcPr>
          <w:p>
            <w:r>
              <w:rPr>
                <w:rFonts w:ascii="Times New Roman" w:hAnsi="Times New Roman" w:eastAsia="Times New Roman"/>
                <w:b/>
                <w:color w:val="FFFFFF"/>
                <w:sz w:val="17"/>
              </w:rPr>
              <w:t>Temel sorun</w:t>
            </w:r>
          </w:p>
        </w:tc>
        <w:tc>
          <w:tcPr>
            <w:tcW w:type="dxa" w:w="2351"/>
            <w:shd w:fill="1F4E79"/>
          </w:tcPr>
          <w:p>
            <w:r>
              <w:rPr>
                <w:rFonts w:ascii="Times New Roman" w:hAnsi="Times New Roman" w:eastAsia="Times New Roman"/>
                <w:b/>
                <w:color w:val="FFFFFF"/>
                <w:sz w:val="17"/>
              </w:rPr>
              <w:t>Önerilen işlem</w:t>
            </w:r>
          </w:p>
        </w:tc>
        <w:tc>
          <w:tcPr>
            <w:tcW w:type="dxa" w:w="2351"/>
            <w:shd w:fill="1F4E79"/>
          </w:tcPr>
          <w:p>
            <w:r>
              <w:rPr>
                <w:rFonts w:ascii="Times New Roman" w:hAnsi="Times New Roman" w:eastAsia="Times New Roman"/>
                <w:b/>
                <w:color w:val="FFFFFF"/>
                <w:sz w:val="17"/>
              </w:rPr>
              <w:t>Önceki rapor</w:t>
            </w:r>
          </w:p>
        </w:tc>
      </w:tr>
      <w:tr>
        <w:tc>
          <w:tcPr>
            <w:tcW w:type="dxa" w:w="2351"/>
            <w:tcMar>
              <w:top w:w="80" w:type="dxa"/>
              <w:start w:w="100" w:type="dxa"/>
              <w:bottom w:w="80" w:type="dxa"/>
              <w:end w:w="100" w:type="dxa"/>
            </w:tcMar>
            <w:vAlign w:val="top"/>
          </w:tcPr>
          <w:p>
            <w:r>
              <w:rPr>
                <w:rFonts w:ascii="Times New Roman" w:hAnsi="Times New Roman" w:eastAsia="Times New Roman"/>
                <w:sz w:val="17"/>
              </w:rPr>
              <w:t>Giriş</w:t>
            </w:r>
          </w:p>
        </w:tc>
        <w:tc>
          <w:tcPr>
            <w:tcW w:type="dxa" w:w="2351"/>
            <w:tcMar>
              <w:top w:w="80" w:type="dxa"/>
              <w:start w:w="100" w:type="dxa"/>
              <w:bottom w:w="80" w:type="dxa"/>
              <w:end w:w="100" w:type="dxa"/>
            </w:tcMar>
            <w:vAlign w:val="top"/>
          </w:tcPr>
          <w:p>
            <w:r>
              <w:rPr>
                <w:rFonts w:ascii="Times New Roman" w:hAnsi="Times New Roman" w:eastAsia="Times New Roman"/>
                <w:sz w:val="17"/>
              </w:rPr>
              <w:t>Amaç–kapsam–yöntem–kaynak–katkı–bölüm planı dizisi iki kez kuruluyor; 4. bölüm ön izlemesi yöntemden önce geliyor.</w:t>
            </w:r>
          </w:p>
        </w:tc>
        <w:tc>
          <w:tcPr>
            <w:tcW w:type="dxa" w:w="2351"/>
            <w:tcMar>
              <w:top w:w="80" w:type="dxa"/>
              <w:start w:w="100" w:type="dxa"/>
              <w:bottom w:w="80" w:type="dxa"/>
              <w:end w:w="100" w:type="dxa"/>
            </w:tcMar>
            <w:vAlign w:val="top"/>
          </w:tcPr>
          <w:p>
            <w:r>
              <w:rPr>
                <w:rFonts w:ascii="Times New Roman" w:hAnsi="Times New Roman" w:eastAsia="Times New Roman"/>
                <w:sz w:val="17"/>
              </w:rPr>
              <w:t>30. paragrafı bölüm planına taşı; yöntem ve kaynak kullanımını art arda getir; bölüm tanıtımlarını kısalt.</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1.1</w:t>
            </w:r>
          </w:p>
        </w:tc>
        <w:tc>
          <w:tcPr>
            <w:tcW w:type="dxa" w:w="2351"/>
            <w:tcMar>
              <w:top w:w="80" w:type="dxa"/>
              <w:start w:w="100" w:type="dxa"/>
              <w:bottom w:w="80" w:type="dxa"/>
              <w:end w:w="100" w:type="dxa"/>
            </w:tcMar>
            <w:vAlign w:val="top"/>
          </w:tcPr>
          <w:p>
            <w:r>
              <w:rPr>
                <w:rFonts w:ascii="Times New Roman" w:hAnsi="Times New Roman" w:eastAsia="Times New Roman"/>
                <w:sz w:val="17"/>
              </w:rPr>
              <w:t>İlk sentez ve İslâm’a geçişten sonra tekrar İslâm öncesi örneklere dönülüyor.</w:t>
            </w:r>
          </w:p>
        </w:tc>
        <w:tc>
          <w:tcPr>
            <w:tcW w:type="dxa" w:w="2351"/>
            <w:tcMar>
              <w:top w:w="80" w:type="dxa"/>
              <w:start w:w="100" w:type="dxa"/>
              <w:bottom w:w="80" w:type="dxa"/>
              <w:end w:w="100" w:type="dxa"/>
            </w:tcMar>
            <w:vAlign w:val="top"/>
          </w:tcPr>
          <w:p>
            <w:r>
              <w:rPr>
                <w:rFonts w:ascii="Times New Roman" w:hAnsi="Times New Roman" w:eastAsia="Times New Roman"/>
                <w:sz w:val="17"/>
              </w:rPr>
              <w:t>49–50. paragrafları sona taşı/erit; tek sentez 56’da kalsın.</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1.3 → 1.4</w:t>
            </w:r>
          </w:p>
        </w:tc>
        <w:tc>
          <w:tcPr>
            <w:tcW w:type="dxa" w:w="2351"/>
            <w:tcMar>
              <w:top w:w="80" w:type="dxa"/>
              <w:start w:w="100" w:type="dxa"/>
              <w:bottom w:w="80" w:type="dxa"/>
              <w:end w:w="100" w:type="dxa"/>
            </w:tcMar>
            <w:vAlign w:val="top"/>
          </w:tcPr>
          <w:p>
            <w:r>
              <w:rPr>
                <w:rFonts w:ascii="Times New Roman" w:hAnsi="Times New Roman" w:eastAsia="Times New Roman"/>
                <w:sz w:val="17"/>
              </w:rPr>
              <w:t>Yedi harf ve arza-i âhire tartışması 1.3’te ayrıntılandırılarak 1.4 ve 2.3’ün alanına giriyor.</w:t>
            </w:r>
          </w:p>
        </w:tc>
        <w:tc>
          <w:tcPr>
            <w:tcW w:type="dxa" w:w="2351"/>
            <w:tcMar>
              <w:top w:w="80" w:type="dxa"/>
              <w:start w:w="100" w:type="dxa"/>
              <w:bottom w:w="80" w:type="dxa"/>
              <w:end w:w="100" w:type="dxa"/>
            </w:tcMar>
            <w:vAlign w:val="top"/>
          </w:tcPr>
          <w:p>
            <w:r>
              <w:rPr>
                <w:rFonts w:ascii="Times New Roman" w:hAnsi="Times New Roman" w:eastAsia="Times New Roman"/>
                <w:sz w:val="17"/>
              </w:rPr>
              <w:t>1.3’ü suhufun akıbetiyle kapat; sonraki tartışmaya yalnız kısa köprü bırak.</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1.4</w:t>
            </w:r>
          </w:p>
        </w:tc>
        <w:tc>
          <w:tcPr>
            <w:tcW w:type="dxa" w:w="2351"/>
            <w:tcMar>
              <w:top w:w="80" w:type="dxa"/>
              <w:start w:w="100" w:type="dxa"/>
              <w:bottom w:w="80" w:type="dxa"/>
              <w:end w:w="100" w:type="dxa"/>
            </w:tcMar>
            <w:vAlign w:val="top"/>
          </w:tcPr>
          <w:p>
            <w:r>
              <w:rPr>
                <w:rFonts w:ascii="Times New Roman" w:hAnsi="Times New Roman" w:eastAsia="Times New Roman"/>
                <w:sz w:val="17"/>
              </w:rPr>
              <w:t>İstinsahın gerekçeleri anlatıldıktan sonra “asıl üzerinde durulması gereken” denilerek aynı gerekçeler yeniden başlatılıyor.</w:t>
            </w:r>
          </w:p>
        </w:tc>
        <w:tc>
          <w:tcPr>
            <w:tcW w:type="dxa" w:w="2351"/>
            <w:tcMar>
              <w:top w:w="80" w:type="dxa"/>
              <w:start w:w="100" w:type="dxa"/>
              <w:bottom w:w="80" w:type="dxa"/>
              <w:end w:w="100" w:type="dxa"/>
            </w:tcMar>
            <w:vAlign w:val="top"/>
          </w:tcPr>
          <w:p>
            <w:r>
              <w:rPr>
                <w:rFonts w:ascii="Times New Roman" w:hAnsi="Times New Roman" w:eastAsia="Times New Roman"/>
                <w:sz w:val="17"/>
              </w:rPr>
              <w:t>96–98’i önceki açıklamalara yedir; tek kapanış bırak.</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1.5</w:t>
            </w:r>
          </w:p>
        </w:tc>
        <w:tc>
          <w:tcPr>
            <w:tcW w:type="dxa" w:w="2351"/>
            <w:tcMar>
              <w:top w:w="80" w:type="dxa"/>
              <w:start w:w="100" w:type="dxa"/>
              <w:bottom w:w="80" w:type="dxa"/>
              <w:end w:w="100" w:type="dxa"/>
            </w:tcMar>
            <w:vAlign w:val="top"/>
          </w:tcPr>
          <w:p>
            <w:r>
              <w:rPr>
                <w:rFonts w:ascii="Times New Roman" w:hAnsi="Times New Roman" w:eastAsia="Times New Roman"/>
                <w:sz w:val="17"/>
              </w:rPr>
              <w:t>Klasik görüşler, çağdaş araştırmacılar ve ardından iki ayrı sentez üçlü kapanış oluşturuyor.</w:t>
            </w:r>
          </w:p>
        </w:tc>
        <w:tc>
          <w:tcPr>
            <w:tcW w:type="dxa" w:w="2351"/>
            <w:tcMar>
              <w:top w:w="80" w:type="dxa"/>
              <w:start w:w="100" w:type="dxa"/>
              <w:bottom w:w="80" w:type="dxa"/>
              <w:end w:w="100" w:type="dxa"/>
            </w:tcMar>
            <w:vAlign w:val="top"/>
          </w:tcPr>
          <w:p>
            <w:r>
              <w:rPr>
                <w:rFonts w:ascii="Times New Roman" w:hAnsi="Times New Roman" w:eastAsia="Times New Roman"/>
                <w:sz w:val="17"/>
              </w:rPr>
              <w:t>108’i ara sonuç olmaktan çıkar; 115–116 ile tek ihtiyatlı sentez oluştur.</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1.8</w:t>
            </w:r>
          </w:p>
        </w:tc>
        <w:tc>
          <w:tcPr>
            <w:tcW w:type="dxa" w:w="2351"/>
            <w:tcMar>
              <w:top w:w="80" w:type="dxa"/>
              <w:start w:w="100" w:type="dxa"/>
              <w:bottom w:w="80" w:type="dxa"/>
              <w:end w:w="100" w:type="dxa"/>
            </w:tcMar>
            <w:vAlign w:val="top"/>
          </w:tcPr>
          <w:p>
            <w:r>
              <w:rPr>
                <w:rFonts w:ascii="Times New Roman" w:hAnsi="Times New Roman" w:eastAsia="Times New Roman"/>
                <w:sz w:val="17"/>
              </w:rPr>
              <w:t>İki görüş sunulduktan sonra soru yeniden kuruluyor ve ilk görüş tekrar anlatılıyor.</w:t>
            </w:r>
          </w:p>
        </w:tc>
        <w:tc>
          <w:tcPr>
            <w:tcW w:type="dxa" w:w="2351"/>
            <w:tcMar>
              <w:top w:w="80" w:type="dxa"/>
              <w:start w:w="100" w:type="dxa"/>
              <w:bottom w:w="80" w:type="dxa"/>
              <w:end w:w="100" w:type="dxa"/>
            </w:tcMar>
            <w:vAlign w:val="top"/>
          </w:tcPr>
          <w:p>
            <w:r>
              <w:rPr>
                <w:rFonts w:ascii="Times New Roman" w:hAnsi="Times New Roman" w:eastAsia="Times New Roman"/>
                <w:sz w:val="17"/>
              </w:rPr>
              <w:t>153–157’den sonra doğrudan karşı delil ve kaynak eleştirisine geç; 158–163’ü yeniden yerleştir.</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1.10</w:t>
            </w:r>
          </w:p>
        </w:tc>
        <w:tc>
          <w:tcPr>
            <w:tcW w:type="dxa" w:w="2351"/>
            <w:tcMar>
              <w:top w:w="80" w:type="dxa"/>
              <w:start w:w="100" w:type="dxa"/>
              <w:bottom w:w="80" w:type="dxa"/>
              <w:end w:w="100" w:type="dxa"/>
            </w:tcMar>
            <w:vAlign w:val="top"/>
          </w:tcPr>
          <w:p>
            <w:r>
              <w:rPr>
                <w:rFonts w:ascii="Times New Roman" w:hAnsi="Times New Roman" w:eastAsia="Times New Roman"/>
                <w:sz w:val="17"/>
              </w:rPr>
              <w:t>Üç kabul ölçüsü 205–217 arasında farklı biçimlerde tekrar tekrar anlatılıyor.</w:t>
            </w:r>
          </w:p>
        </w:tc>
        <w:tc>
          <w:tcPr>
            <w:tcW w:type="dxa" w:w="2351"/>
            <w:tcMar>
              <w:top w:w="80" w:type="dxa"/>
              <w:start w:w="100" w:type="dxa"/>
              <w:bottom w:w="80" w:type="dxa"/>
              <w:end w:w="100" w:type="dxa"/>
            </w:tcMar>
            <w:vAlign w:val="top"/>
          </w:tcPr>
          <w:p>
            <w:r>
              <w:rPr>
                <w:rFonts w:ascii="Times New Roman" w:hAnsi="Times New Roman" w:eastAsia="Times New Roman"/>
                <w:sz w:val="17"/>
              </w:rPr>
              <w:t>Kronoloji: erken pratik → İbn Mücâhid → İbnü’l-Cezerî → sonraki kabul şeklinde tek hat kur.</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2.1 → 2.2</w:t>
            </w:r>
          </w:p>
        </w:tc>
        <w:tc>
          <w:tcPr>
            <w:tcW w:type="dxa" w:w="2351"/>
            <w:tcMar>
              <w:top w:w="80" w:type="dxa"/>
              <w:start w:w="100" w:type="dxa"/>
              <w:bottom w:w="80" w:type="dxa"/>
              <w:end w:w="100" w:type="dxa"/>
            </w:tcMar>
            <w:vAlign w:val="top"/>
          </w:tcPr>
          <w:p>
            <w:r>
              <w:rPr>
                <w:rFonts w:ascii="Times New Roman" w:hAnsi="Times New Roman" w:eastAsia="Times New Roman"/>
                <w:sz w:val="17"/>
              </w:rPr>
              <w:t>2.1’in son iki paragrafı rivâyet/sened ayrıntılarını 2.2’den önce tüketiyor.</w:t>
            </w:r>
          </w:p>
        </w:tc>
        <w:tc>
          <w:tcPr>
            <w:tcW w:type="dxa" w:w="2351"/>
            <w:tcMar>
              <w:top w:w="80" w:type="dxa"/>
              <w:start w:w="100" w:type="dxa"/>
              <w:bottom w:w="80" w:type="dxa"/>
              <w:end w:w="100" w:type="dxa"/>
            </w:tcMar>
            <w:vAlign w:val="top"/>
          </w:tcPr>
          <w:p>
            <w:r>
              <w:rPr>
                <w:rFonts w:ascii="Times New Roman" w:hAnsi="Times New Roman" w:eastAsia="Times New Roman"/>
                <w:sz w:val="17"/>
              </w:rPr>
              <w:t>2.1’i tanım ve tarihçe ile bitir; rivâyet ve sened açıklamalarını 2.2’ye bırak.</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2.4 → 3. Bölüm</w:t>
            </w:r>
          </w:p>
        </w:tc>
        <w:tc>
          <w:tcPr>
            <w:tcW w:type="dxa" w:w="2351"/>
            <w:tcMar>
              <w:top w:w="80" w:type="dxa"/>
              <w:start w:w="100" w:type="dxa"/>
              <w:bottom w:w="80" w:type="dxa"/>
              <w:end w:w="100" w:type="dxa"/>
            </w:tcMar>
            <w:vAlign w:val="top"/>
          </w:tcPr>
          <w:p>
            <w:r>
              <w:rPr>
                <w:rFonts w:ascii="Times New Roman" w:hAnsi="Times New Roman" w:eastAsia="Times New Roman"/>
                <w:sz w:val="17"/>
              </w:rPr>
              <w:t>İkinci bölüm “tefsirde etki”yle kapanıyor, üçüncü bölüm somut resm–lafız–mana ilişkisine hazırlıksız geçiyor.</w:t>
            </w:r>
          </w:p>
        </w:tc>
        <w:tc>
          <w:tcPr>
            <w:tcW w:type="dxa" w:w="2351"/>
            <w:tcMar>
              <w:top w:w="80" w:type="dxa"/>
              <w:start w:w="100" w:type="dxa"/>
              <w:bottom w:w="80" w:type="dxa"/>
              <w:end w:w="100" w:type="dxa"/>
            </w:tcMar>
            <w:vAlign w:val="top"/>
          </w:tcPr>
          <w:p>
            <w:r>
              <w:rPr>
                <w:rFonts w:ascii="Times New Roman" w:hAnsi="Times New Roman" w:eastAsia="Times New Roman"/>
                <w:sz w:val="17"/>
              </w:rPr>
              <w:t>2.4’ün son cümlesini üçüncü bölümün somut incelemesine köprü yap.</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3.6–3.12</w:t>
            </w:r>
          </w:p>
        </w:tc>
        <w:tc>
          <w:tcPr>
            <w:tcW w:type="dxa" w:w="2351"/>
            <w:tcMar>
              <w:top w:w="80" w:type="dxa"/>
              <w:start w:w="100" w:type="dxa"/>
              <w:bottom w:w="80" w:type="dxa"/>
              <w:end w:w="100" w:type="dxa"/>
            </w:tcMar>
            <w:vAlign w:val="top"/>
          </w:tcPr>
          <w:p>
            <w:r>
              <w:rPr>
                <w:rFonts w:ascii="Times New Roman" w:hAnsi="Times New Roman" w:eastAsia="Times New Roman"/>
                <w:sz w:val="17"/>
              </w:rPr>
              <w:t>Bağlayıcılık, ittiba, sünnet, selef, müşâfehe, muhafaza ve birlik gerekçeleri birbirine giriyor.</w:t>
            </w:r>
          </w:p>
        </w:tc>
        <w:tc>
          <w:tcPr>
            <w:tcW w:type="dxa" w:w="2351"/>
            <w:tcMar>
              <w:top w:w="80" w:type="dxa"/>
              <w:start w:w="100" w:type="dxa"/>
              <w:bottom w:w="80" w:type="dxa"/>
              <w:end w:w="100" w:type="dxa"/>
            </w:tcMar>
            <w:vAlign w:val="top"/>
          </w:tcPr>
          <w:p>
            <w:r>
              <w:rPr>
                <w:rFonts w:ascii="Times New Roman" w:hAnsi="Times New Roman" w:eastAsia="Times New Roman"/>
                <w:sz w:val="17"/>
              </w:rPr>
              <w:t>Bağlayıcılık tartışmasını 3.6’da topla; 327–330’u 3.6’ya taşı; 3.7–3.12’de işlevleri birbirinden ayır ve tekrarları azalt.</w:t>
            </w:r>
          </w:p>
        </w:tc>
        <w:tc>
          <w:tcPr>
            <w:tcW w:type="dxa" w:w="2351"/>
            <w:tcMar>
              <w:top w:w="80" w:type="dxa"/>
              <w:start w:w="100" w:type="dxa"/>
              <w:bottom w:w="80" w:type="dxa"/>
              <w:end w:w="100" w:type="dxa"/>
            </w:tcMar>
            <w:vAlign w:val="top"/>
          </w:tcPr>
          <w:p>
            <w:r>
              <w:rPr>
                <w:rFonts w:ascii="Times New Roman" w:hAnsi="Times New Roman" w:eastAsia="Times New Roman"/>
                <w:sz w:val="17"/>
              </w:rPr>
              <w:t>Kısmen vardı</w:t>
            </w:r>
          </w:p>
        </w:tc>
      </w:tr>
      <w:tr>
        <w:tc>
          <w:tcPr>
            <w:tcW w:type="dxa" w:w="2351"/>
            <w:tcMar>
              <w:top w:w="80" w:type="dxa"/>
              <w:start w:w="100" w:type="dxa"/>
              <w:bottom w:w="80" w:type="dxa"/>
              <w:end w:w="100" w:type="dxa"/>
            </w:tcMar>
            <w:vAlign w:val="top"/>
          </w:tcPr>
          <w:p>
            <w:r>
              <w:rPr>
                <w:rFonts w:ascii="Times New Roman" w:hAnsi="Times New Roman" w:eastAsia="Times New Roman"/>
                <w:sz w:val="17"/>
              </w:rPr>
              <w:t>3.3 → 3.4</w:t>
            </w:r>
          </w:p>
        </w:tc>
        <w:tc>
          <w:tcPr>
            <w:tcW w:type="dxa" w:w="2351"/>
            <w:tcMar>
              <w:top w:w="80" w:type="dxa"/>
              <w:start w:w="100" w:type="dxa"/>
              <w:bottom w:w="80" w:type="dxa"/>
              <w:end w:w="100" w:type="dxa"/>
            </w:tcMar>
            <w:vAlign w:val="top"/>
          </w:tcPr>
          <w:p>
            <w:r>
              <w:rPr>
                <w:rFonts w:ascii="Times New Roman" w:hAnsi="Times New Roman" w:eastAsia="Times New Roman"/>
                <w:sz w:val="17"/>
              </w:rPr>
              <w:t>3.3’ün sonunda ses/hareke tartışması mana-hikmet alanına kayıyor; 3.4 aynı konuyu yeniden açıyor.</w:t>
            </w:r>
          </w:p>
        </w:tc>
        <w:tc>
          <w:tcPr>
            <w:tcW w:type="dxa" w:w="2351"/>
            <w:tcMar>
              <w:top w:w="80" w:type="dxa"/>
              <w:start w:w="100" w:type="dxa"/>
              <w:bottom w:w="80" w:type="dxa"/>
              <w:end w:w="100" w:type="dxa"/>
            </w:tcMar>
            <w:vAlign w:val="top"/>
          </w:tcPr>
          <w:p>
            <w:r>
              <w:rPr>
                <w:rFonts w:ascii="Times New Roman" w:hAnsi="Times New Roman" w:eastAsia="Times New Roman"/>
                <w:sz w:val="17"/>
              </w:rPr>
              <w:t>Mana merkezli kısmı 3.4’e taşı; 3.3’ü fonetik/yazısal düzeyde kapat.</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3. Bölüm → 4. Bölüm</w:t>
            </w:r>
          </w:p>
        </w:tc>
        <w:tc>
          <w:tcPr>
            <w:tcW w:type="dxa" w:w="2351"/>
            <w:tcMar>
              <w:top w:w="80" w:type="dxa"/>
              <w:start w:w="100" w:type="dxa"/>
              <w:bottom w:w="80" w:type="dxa"/>
              <w:end w:w="100" w:type="dxa"/>
            </w:tcMar>
            <w:vAlign w:val="top"/>
          </w:tcPr>
          <w:p>
            <w:r>
              <w:rPr>
                <w:rFonts w:ascii="Times New Roman" w:hAnsi="Times New Roman" w:eastAsia="Times New Roman"/>
                <w:sz w:val="17"/>
              </w:rPr>
              <w:t>Üçüncü bölüm ümmet birliğiyle biterken dördüncü bölüm teknik rivâyet ölçüsüne birden dönüyor.</w:t>
            </w:r>
          </w:p>
        </w:tc>
        <w:tc>
          <w:tcPr>
            <w:tcW w:type="dxa" w:w="2351"/>
            <w:tcMar>
              <w:top w:w="80" w:type="dxa"/>
              <w:start w:w="100" w:type="dxa"/>
              <w:bottom w:w="80" w:type="dxa"/>
              <w:end w:w="100" w:type="dxa"/>
            </w:tcMar>
            <w:vAlign w:val="top"/>
          </w:tcPr>
          <w:p>
            <w:r>
              <w:rPr>
                <w:rFonts w:ascii="Times New Roman" w:hAnsi="Times New Roman" w:eastAsia="Times New Roman"/>
                <w:sz w:val="17"/>
              </w:rPr>
              <w:t>3.12’nin sonuna kitabın ana sorusuna dönüş sağlayan tek cümle ekle.</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4.5 → 4.6</w:t>
            </w:r>
          </w:p>
        </w:tc>
        <w:tc>
          <w:tcPr>
            <w:tcW w:type="dxa" w:w="2351"/>
            <w:tcMar>
              <w:top w:w="80" w:type="dxa"/>
              <w:start w:w="100" w:type="dxa"/>
              <w:bottom w:w="80" w:type="dxa"/>
              <w:end w:w="100" w:type="dxa"/>
            </w:tcMar>
            <w:vAlign w:val="top"/>
          </w:tcPr>
          <w:p>
            <w:r>
              <w:rPr>
                <w:rFonts w:ascii="Times New Roman" w:hAnsi="Times New Roman" w:eastAsia="Times New Roman"/>
                <w:sz w:val="17"/>
              </w:rPr>
              <w:t>Erken dönem resm rivâyetlerinden modern basılı mushafa zaman atlaması hazırlıksız.</w:t>
            </w:r>
          </w:p>
        </w:tc>
        <w:tc>
          <w:tcPr>
            <w:tcW w:type="dxa" w:w="2351"/>
            <w:tcMar>
              <w:top w:w="80" w:type="dxa"/>
              <w:start w:w="100" w:type="dxa"/>
              <w:bottom w:w="80" w:type="dxa"/>
              <w:end w:w="100" w:type="dxa"/>
            </w:tcMar>
            <w:vAlign w:val="top"/>
          </w:tcPr>
          <w:p>
            <w:r>
              <w:rPr>
                <w:rFonts w:ascii="Times New Roman" w:hAnsi="Times New Roman" w:eastAsia="Times New Roman"/>
                <w:sz w:val="17"/>
              </w:rPr>
              <w:t>4.6’nın ilk cümlesini klasik resm birikiminin neşir geleneğine aktarılması üzerinden kur.</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4.6 → 4.7</w:t>
            </w:r>
          </w:p>
        </w:tc>
        <w:tc>
          <w:tcPr>
            <w:tcW w:type="dxa" w:w="2351"/>
            <w:tcMar>
              <w:top w:w="80" w:type="dxa"/>
              <w:start w:w="100" w:type="dxa"/>
              <w:bottom w:w="80" w:type="dxa"/>
              <w:end w:w="100" w:type="dxa"/>
            </w:tcMar>
            <w:vAlign w:val="top"/>
          </w:tcPr>
          <w:p>
            <w:r>
              <w:rPr>
                <w:rFonts w:ascii="Times New Roman" w:hAnsi="Times New Roman" w:eastAsia="Times New Roman"/>
                <w:sz w:val="17"/>
              </w:rPr>
              <w:t>4.7 başlığından sonra iki paragraf hat/kaligrafi tarihine geri dönüyor; asıl konu ancak sonraki paragrafta başlıyor.</w:t>
            </w:r>
          </w:p>
        </w:tc>
        <w:tc>
          <w:tcPr>
            <w:tcW w:type="dxa" w:w="2351"/>
            <w:tcMar>
              <w:top w:w="80" w:type="dxa"/>
              <w:start w:w="100" w:type="dxa"/>
              <w:bottom w:w="80" w:type="dxa"/>
              <w:end w:w="100" w:type="dxa"/>
            </w:tcMar>
            <w:vAlign w:val="top"/>
          </w:tcPr>
          <w:p>
            <w:r>
              <w:rPr>
                <w:rFonts w:ascii="Times New Roman" w:hAnsi="Times New Roman" w:eastAsia="Times New Roman"/>
                <w:sz w:val="17"/>
              </w:rPr>
              <w:t>4.7’yi mevcut 459. paragrafla başlat; 457–458’i kısalt, taşı veya çıkar.</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r>
        <w:tc>
          <w:tcPr>
            <w:tcW w:type="dxa" w:w="2351"/>
            <w:tcMar>
              <w:top w:w="80" w:type="dxa"/>
              <w:start w:w="100" w:type="dxa"/>
              <w:bottom w:w="80" w:type="dxa"/>
              <w:end w:w="100" w:type="dxa"/>
            </w:tcMar>
            <w:vAlign w:val="top"/>
          </w:tcPr>
          <w:p>
            <w:r>
              <w:rPr>
                <w:rFonts w:ascii="Times New Roman" w:hAnsi="Times New Roman" w:eastAsia="Times New Roman"/>
                <w:sz w:val="17"/>
              </w:rPr>
              <w:t>4.7</w:t>
            </w:r>
          </w:p>
        </w:tc>
        <w:tc>
          <w:tcPr>
            <w:tcW w:type="dxa" w:w="2351"/>
            <w:tcMar>
              <w:top w:w="80" w:type="dxa"/>
              <w:start w:w="100" w:type="dxa"/>
              <w:bottom w:w="80" w:type="dxa"/>
              <w:end w:w="100" w:type="dxa"/>
            </w:tcMar>
            <w:vAlign w:val="top"/>
          </w:tcPr>
          <w:p>
            <w:r>
              <w:rPr>
                <w:rFonts w:ascii="Times New Roman" w:hAnsi="Times New Roman" w:eastAsia="Times New Roman"/>
                <w:sz w:val="17"/>
              </w:rPr>
              <w:t>471. paragraf genel sonuç veriyor, ardından Türkiye örneği geliyor ve 475’te ikinci sonuç kuruluyor.</w:t>
            </w:r>
          </w:p>
        </w:tc>
        <w:tc>
          <w:tcPr>
            <w:tcW w:type="dxa" w:w="2351"/>
            <w:tcMar>
              <w:top w:w="80" w:type="dxa"/>
              <w:start w:w="100" w:type="dxa"/>
              <w:bottom w:w="80" w:type="dxa"/>
              <w:end w:w="100" w:type="dxa"/>
            </w:tcMar>
            <w:vAlign w:val="top"/>
          </w:tcPr>
          <w:p>
            <w:r>
              <w:rPr>
                <w:rFonts w:ascii="Times New Roman" w:hAnsi="Times New Roman" w:eastAsia="Times New Roman"/>
                <w:sz w:val="17"/>
              </w:rPr>
              <w:t>471’i Türkiye örneğine geçişe dönüştür; genel sentezi bölümün gerçek sonuna bırak.</w:t>
            </w:r>
          </w:p>
        </w:tc>
        <w:tc>
          <w:tcPr>
            <w:tcW w:type="dxa" w:w="2351"/>
            <w:tcMar>
              <w:top w:w="80" w:type="dxa"/>
              <w:start w:w="100" w:type="dxa"/>
              <w:bottom w:w="80" w:type="dxa"/>
              <w:end w:w="100" w:type="dxa"/>
            </w:tcMar>
            <w:vAlign w:val="top"/>
          </w:tcPr>
          <w:p>
            <w:r>
              <w:rPr>
                <w:rFonts w:ascii="Times New Roman" w:hAnsi="Times New Roman" w:eastAsia="Times New Roman"/>
                <w:sz w:val="17"/>
              </w:rPr>
              <w:t>Yeni/kısmen yeni</w:t>
            </w:r>
          </w:p>
        </w:tc>
      </w:tr>
    </w:tbl>
    <w:p>
      <w:pPr>
        <w:pStyle w:val="Heading2"/>
        <w:keepNext/>
      </w:pPr>
      <w:r>
        <w:t>3. Önsöz</w:t>
      </w:r>
    </w:p>
    <w:p>
      <w:pPr>
        <w:pStyle w:val="Heading4"/>
        <w:keepNext/>
      </w:pPr>
      <w:r>
        <w:t>ÖN-01. Önsöz ile Giriş aynı ana tezi gereğinden fazla yeniden kuruyor</w:t>
      </w:r>
    </w:p>
    <w:p>
      <w:r>
        <w:rPr>
          <w:b/>
        </w:rPr>
        <w:t xml:space="preserve">Kategori: </w:t>
      </w:r>
      <w:r>
        <w:t>Tekrar / Yapısal</w:t>
      </w:r>
    </w:p>
    <w:p>
      <w:r>
        <w:rPr>
          <w:b/>
        </w:rPr>
        <w:t xml:space="preserve">Önem: </w:t>
      </w:r>
      <w:r>
        <w:t>Orta</w:t>
      </w:r>
    </w:p>
    <w:p>
      <w:r>
        <w:rPr>
          <w:b/>
        </w:rPr>
        <w:t xml:space="preserve">Yer: </w:t>
      </w:r>
      <w:r>
        <w:t>Önsöz, s.1; özellikle 2–5. paragraflar</w:t>
      </w:r>
    </w:p>
    <w:p>
      <w:r>
        <w:rPr>
          <w:b/>
        </w:rPr>
        <w:t>Kitaptaki ifade</w:t>
      </w:r>
    </w:p>
    <w:p>
      <w:pPr>
        <w:pStyle w:val="QuoteBlock"/>
      </w:pPr>
      <w:r>
        <w:t>Kur’an’ın korunması ve sonraki nesillere aktarılması, İslâm ilimleri geleneğinin merkezî meselelerinden biridir. Bu aktarım yalnız yazılı metnin muhafazasıyla veya yalnız hafıza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r>
        <w:rPr>
          <w:b/>
        </w:rPr>
        <w:t xml:space="preserve">Sorun: </w:t>
      </w:r>
      <w:r>
        <w:t>Önsözün görevi kitabın çıkış noktasını ve yönünü açıklamaktır. Burada yazı–söz tamamlayıcılığı, resmin teknik alanla sınırlı olmadığı, resmin bağımsız kırâat kaynağı olmadığı ve yöntemsel ihtiyat ilkeleri ayrıntılı biçimde anlatılıyor; Giriş aynı dört işlevi yeniden üstleniyor.</w:t>
      </w:r>
    </w:p>
    <w:p>
      <w:r>
        <w:rPr>
          <w:b/>
        </w:rPr>
        <w:t xml:space="preserve">En uygun editoryal işlem: </w:t>
      </w:r>
      <w:r>
        <w:t>Önsözde ana tez ve amaç korunmalı; yöntemsel ayrıntılar Girişe bırakılmalı.</w:t>
      </w:r>
    </w:p>
    <w:p>
      <w:r>
        <w:rPr>
          <w:b/>
        </w:rPr>
        <w:t>Doğrudan kullanılabilecek biçim</w:t>
      </w:r>
    </w:p>
    <w:p>
      <w:pPr>
        <w:pStyle w:val="QuoteBlock"/>
      </w:pPr>
      <w:r>
        <w:t>Bu kitabın çıkış noktası, resm-i mushafın teknik yazım özellikleri ile kırâat rivâyetlerinin aktarım ve değerlendirilme biçimleri arasındaki ilişkiyi birlikte incelemektir. Çalışmada resm-i Osmânî, kırâatleri meydana getiren bağımsız bir kaynak olarak değil, rivâyetle sabit okuyuşların ortak mushaf yazısıyla ilişkisini belirleyen tamamlayıcı bir ölçü olarak ele alınmıştır.</w:t>
      </w:r>
    </w:p>
    <w:p>
      <w:r>
        <w:rPr>
          <w:b/>
        </w:rPr>
        <w:t xml:space="preserve">Önceki kapsamlı raporla karşılaştırma: </w:t>
      </w:r>
      <w:r>
        <w:t>Yeni: önceki rapor Önsözde kavramsal kaymayı incelemiş, Önsöz–Giriş işlev tekrarını sistematik olarak raporlamamıştı.</w:t>
      </w:r>
    </w:p>
    <w:p>
      <w:pPr>
        <w:pStyle w:val="Heading4"/>
        <w:keepNext/>
      </w:pPr>
      <w:r>
        <w:t>ÖN-02. Üçüncü paragraf tek başına fazla sayıda işlev yükleniyor</w:t>
      </w:r>
    </w:p>
    <w:p>
      <w:r>
        <w:rPr>
          <w:b/>
        </w:rPr>
        <w:t xml:space="preserve">Kategori: </w:t>
      </w:r>
      <w:r>
        <w:t>Paragraf içi akış</w:t>
      </w:r>
    </w:p>
    <w:p>
      <w:r>
        <w:rPr>
          <w:b/>
        </w:rPr>
        <w:t xml:space="preserve">Önem: </w:t>
      </w:r>
      <w:r>
        <w:t>Düşük</w:t>
      </w:r>
    </w:p>
    <w:p>
      <w:r>
        <w:rPr>
          <w:b/>
        </w:rPr>
        <w:t xml:space="preserve">Yer: </w:t>
      </w:r>
      <w:r>
        <w:t>Önsöz, s.1, “Resm-i Osmânî’ye uygunluk...” paragrafı</w:t>
      </w:r>
    </w:p>
    <w:p>
      <w:r>
        <w:rPr>
          <w:b/>
        </w:rPr>
        <w:t>Kitaptaki ifade</w:t>
      </w:r>
    </w:p>
    <w:p>
      <w:pPr>
        <w:pStyle w:val="QuoteBlock"/>
      </w:pPr>
      <w:r>
        <w:t>Resm-i Osmânî’ye uygunluk, klasik kırâat usûlünde temel ölçüler arasında anılmakla birlikte bu ölçünün tarihsel zemini ve uygulamadaki kapsamı çoğu zaman farklı bahisler içinde ele alınmaktadır. Mushafların çoğaltılması, şehir mushaflarına nispet edilen yazım farklılıkları, kırâatlerin kabulü ve basılı mushafların belirli rivâyetlere göre hazırlanması, aynı ilişkinin farklı safhalarıdır. Bu konuları tek bir inceleme çizgisi içinde buluşturmak, resm-i mushaf’ın yalnız imlâ kaidelerine veya yalnız sahihlik şartlarına indirgenemeyeceğini göstermektedir. Bu…</w:t>
      </w:r>
    </w:p>
    <w:p>
      <w:r>
        <w:rPr>
          <w:b/>
        </w:rPr>
        <w:t xml:space="preserve">Sorun: </w:t>
      </w:r>
      <w:r>
        <w:t>Paragraf aynı anda kabul ölçüsü, mushafların çoğaltılması, şehir mushafları, basılı mushaflar, tarihsel süreklilik ve bölüm mimarisini açıklıyor. Ana düşünce dağılıyor.</w:t>
      </w:r>
    </w:p>
    <w:p>
      <w:r>
        <w:rPr>
          <w:b/>
        </w:rPr>
        <w:t xml:space="preserve">En uygun editoryal işlem: </w:t>
      </w:r>
      <w:r>
        <w:t>Paragrafı iki işlevle sınırlandır: ilişki alanlarını say ve kitabın bunları ortak bir çizgide ele aldığını söyle.</w:t>
      </w:r>
    </w:p>
    <w:p>
      <w:r>
        <w:rPr>
          <w:b/>
        </w:rPr>
        <w:t>Doğrudan kullanılabilecek biçim</w:t>
      </w:r>
    </w:p>
    <w:p>
      <w:pPr>
        <w:pStyle w:val="QuoteBlock"/>
      </w:pPr>
      <w:r>
        <w:t>Resm-i Osmânî’ye uygunluk, kırâat usulünde temel ölçüler arasında anılmakla birlikte bu ölçünün tarihsel zemini ve uygulamadaki kapsamı farklı bahislerde ele alınmıştır. Kitap, mushafların çoğaltılmasından şehir mushaflarına ve çağdaş neşirlere uzanan bu malzemeyi, resm-i mushaf ile kırâat rivâyeti arasındaki ilişki etrafında birlikte değerlendirmektedir.</w:t>
      </w:r>
    </w:p>
    <w:p>
      <w:r>
        <w:rPr>
          <w:b/>
        </w:rPr>
        <w:t xml:space="preserve">Önceki kapsamlı raporla karşılaştırma: </w:t>
      </w:r>
      <w:r>
        <w:t>Yeni.</w:t>
      </w:r>
    </w:p>
    <w:p>
      <w:pPr>
        <w:pStyle w:val="Heading4"/>
        <w:keepNext/>
      </w:pPr>
      <w:r>
        <w:t>ÖN-03. Son paragraf yöntem ilkelerini Girişten önce ayrıntılı biçimde tüketiyor</w:t>
      </w:r>
    </w:p>
    <w:p>
      <w:r>
        <w:rPr>
          <w:b/>
        </w:rPr>
        <w:t xml:space="preserve">Kategori: </w:t>
      </w:r>
      <w:r>
        <w:t>Tekrar / Meta-anlatım</w:t>
      </w:r>
    </w:p>
    <w:p>
      <w:r>
        <w:rPr>
          <w:b/>
        </w:rPr>
        <w:t xml:space="preserve">Önem: </w:t>
      </w:r>
      <w:r>
        <w:t>Düşük</w:t>
      </w:r>
    </w:p>
    <w:p>
      <w:r>
        <w:rPr>
          <w:b/>
        </w:rPr>
        <w:t xml:space="preserve">Yer: </w:t>
      </w:r>
      <w:r>
        <w:t>Önsöz, son paragraf</w:t>
      </w:r>
    </w:p>
    <w:p>
      <w:r>
        <w:rPr>
          <w:b/>
        </w:rPr>
        <w:t>Kitaptaki ifade</w:t>
      </w:r>
    </w:p>
    <w:p>
      <w:pPr>
        <w:pStyle w:val="QuoteBlock"/>
      </w:pPr>
      <w:r>
        <w:t>Eserin, resm-i mushaf’ı yalnız geçmişte teşekkül etmiş bir imlâ biçimi olarak indirgemeyip, kırâatlerin rivâyeti, mushaf yazımı ve çağdaş neşir geleneğiyle ilişkili bir ilim alanı olarak değerlendirmeye katkı sağlaması hedeflenmektedir. Kaynaklarda farklı aktarımların bulunduğu meselelerde ihtiyatlı davranmak, tarihsel veriyi sonraki yorumlardan ayırmak ve yazım özelliklerine delillerin taşıyabileceğinden fazla anlam yüklememek çalışmada gözetilen başlıca ilkelerdendir. Kitap, resm-i mushaf ile kırâat rivâyeti arasındaki ilişkiyi bu ilmî sınırlar içinde…</w:t>
      </w:r>
    </w:p>
    <w:p>
      <w:r>
        <w:rPr>
          <w:b/>
        </w:rPr>
        <w:t xml:space="preserve">Sorun: </w:t>
      </w:r>
      <w:r>
        <w:t>“İhtiyatlı davranmak, tarihsel veriyi yorumdan ayırmak, yazıma fazla anlam yüklememek” ilkeleri Girişte yöntem ve kapsam altında daha ayrıntılı biçimde tekrar edilmektedir. Önsözde tek cümlelik ilke yeterlidir.</w:t>
      </w:r>
    </w:p>
    <w:p>
      <w:r>
        <w:rPr>
          <w:b/>
        </w:rPr>
        <w:t xml:space="preserve">En uygun editoryal işlem: </w:t>
      </w:r>
      <w:r>
        <w:t>Kısalt ve ayrıntılı yöntem beyanını Girişte bırak.</w:t>
      </w:r>
    </w:p>
    <w:p>
      <w:r>
        <w:rPr>
          <w:b/>
        </w:rPr>
        <w:t>Doğrudan kullanılabilecek biçim</w:t>
      </w:r>
    </w:p>
    <w:p>
      <w:pPr>
        <w:pStyle w:val="QuoteBlock"/>
      </w:pPr>
      <w:r>
        <w:t>Eser, resm-i mushaf ile kırâat rivâyeti arasındaki ilişkiyi tarihsel verinin sınırlarını ve farklı yorum düzeylerini gözeterek incelemektedir.</w:t>
      </w:r>
    </w:p>
    <w:p>
      <w:r>
        <w:rPr>
          <w:b/>
        </w:rPr>
        <w:t xml:space="preserve">Önceki kapsamlı raporla karşılaştırma: </w:t>
      </w:r>
      <w:r>
        <w:t>Yeni.</w:t>
      </w:r>
    </w:p>
    <w:p>
      <w:pPr>
        <w:pStyle w:val="Heading2"/>
        <w:keepNext/>
      </w:pPr>
      <w:r>
        <w:t>4. Giriş</w:t>
      </w:r>
    </w:p>
    <w:p>
      <w:pPr>
        <w:pStyle w:val="Heading4"/>
        <w:keepNext/>
      </w:pPr>
      <w:r>
        <w:t>GİR-AK-01. Girişin ikinci yarısında işlev sırası bozuluyor</w:t>
      </w:r>
    </w:p>
    <w:p>
      <w:r>
        <w:rPr>
          <w:b/>
        </w:rPr>
        <w:t xml:space="preserve">Kategori: </w:t>
      </w:r>
      <w:r>
        <w:t>Yapısal / Geçiş</w:t>
      </w:r>
    </w:p>
    <w:p>
      <w:r>
        <w:rPr>
          <w:b/>
        </w:rPr>
        <w:t xml:space="preserve">Önem: </w:t>
      </w:r>
      <w:r>
        <w:t>Yüksek</w:t>
      </w:r>
    </w:p>
    <w:p>
      <w:r>
        <w:rPr>
          <w:b/>
        </w:rPr>
        <w:t xml:space="preserve">Yer: </w:t>
      </w:r>
      <w:r>
        <w:t>Giriş, s.5–7; kapsam–4. bölüm ön izlemesi–yöntem–kaynaklar–katkı–bölüm planı</w:t>
      </w:r>
    </w:p>
    <w:p>
      <w:r>
        <w:rPr>
          <w:b/>
        </w:rPr>
        <w:t>Kitaptaki ifade</w:t>
      </w:r>
    </w:p>
    <w:p>
      <w:pPr>
        <w:pStyle w:val="QuoteBlock"/>
      </w:pPr>
      <w:r>
        <w:t>Önceki paragraf: “Bu sınırlandırma, çalışmanın Kur’an tarihinin bütün meselelerini veya yedi harf hakkındaki bütün görüşleri çözme iddiası taşımadığı anlamına gelmektedir. Sahâbe mushafları, erken yazı tarihi, kırâat tasnifleri ve matbu mushaflar yalnız resm-i mushaf ile kırâat rivâyeti arasındaki ilişkiye temas ettikleri ölçüde ele alınmıştır.…”</w:t>
        <w:br/>
        <w:t>Sonraki paragraf: “Çalışmanın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w:t>
      </w:r>
    </w:p>
    <w:p>
      <w:r>
        <w:rPr>
          <w:b/>
        </w:rPr>
        <w:t xml:space="preserve">Sorun: </w:t>
      </w:r>
      <w:r>
        <w:t>Kapsam sınırlandırmasının hemen ardından yalnız Dördüncü Bölümü ayrıntılandıran bir paragraf geliyor; ardından yöntem ve kaynaklar açıklanıyor, daha sonra dört bölüm yeniden tanıtılıyor. Böylece bölüm planı iki kez kurulmuş oluyor.</w:t>
      </w:r>
    </w:p>
    <w:p>
      <w:r>
        <w:rPr>
          <w:b/>
        </w:rPr>
        <w:t xml:space="preserve">En uygun editoryal işlem: </w:t>
      </w:r>
      <w:r>
        <w:t>30. paragrafı 35–39’daki bölüm planına yedir; 29’dan sonra doğrudan yöntem ve kaynak kullanımına geç.</w:t>
      </w:r>
    </w:p>
    <w:p>
      <w:r>
        <w:rPr>
          <w:b/>
        </w:rPr>
        <w:t>Doğrudan kullanılabilecek biçim</w:t>
      </w:r>
    </w:p>
    <w:p>
      <w:pPr>
        <w:pStyle w:val="QuoteBlock"/>
      </w:pPr>
      <w:r>
        <w:t>Bu sınırlandırmanın ardından araştırmada tarihsel rivâyetlerin karşılaştırılması, klasik kaynakların içerik analizi, kavramsal ve filolojik çözümleme ile resm ve kırâat verilerinin mukayesesi birlikte kullanılmaktadır.</w:t>
      </w:r>
    </w:p>
    <w:p>
      <w:r>
        <w:rPr>
          <w:b/>
        </w:rPr>
        <w:t xml:space="preserve">Önceki kapsamlı raporla karşılaştırma: </w:t>
      </w:r>
      <w:r>
        <w:t>Yeni.</w:t>
      </w:r>
    </w:p>
    <w:p>
      <w:pPr>
        <w:pStyle w:val="Heading4"/>
        <w:keepNext/>
      </w:pPr>
      <w:r>
        <w:t>GİR-AK-02. Amaç, kapsam ve katkı aynı düşünceyi farklı soyut ifadelerle yineliyor</w:t>
      </w:r>
    </w:p>
    <w:p>
      <w:r>
        <w:rPr>
          <w:b/>
        </w:rPr>
        <w:t xml:space="preserve">Kategori: </w:t>
      </w:r>
      <w:r>
        <w:t>Tekrar / Formülaik anlatım</w:t>
      </w:r>
    </w:p>
    <w:p>
      <w:r>
        <w:rPr>
          <w:b/>
        </w:rPr>
        <w:t xml:space="preserve">Önem: </w:t>
      </w:r>
      <w:r>
        <w:t>Orta</w:t>
      </w:r>
    </w:p>
    <w:p>
      <w:r>
        <w:rPr>
          <w:b/>
        </w:rPr>
        <w:t xml:space="preserve">Yer: </w:t>
      </w:r>
      <w:r>
        <w:t>Giriş, s.3–7; özellikle 20, 28–29, 34 ve 40. paragraflar</w:t>
      </w:r>
    </w:p>
    <w:p>
      <w:r>
        <w:rPr>
          <w:b/>
        </w:rPr>
        <w:t>Kitaptaki ifade</w:t>
      </w:r>
    </w:p>
    <w:p>
      <w:pPr>
        <w:pStyle w:val="QuoteBlock"/>
      </w:pPr>
      <w:r>
        <w:t>Kitabın literatüre sağlamayı hedeflediği katkı, resm ilmi ile kırâat ilmini bütünüyle yeni kavramlarla açıklamak değil, çoğu zaman ayrı başlıklar altında incelenen meseleleri ortak bir problem etrafında buluşturmaktır. Resm-i Osmânî yalnız eski bir imlâ sistemi olarak değil, rivâyetle nakledilen okuyuşların ortak yazılı sınırlarını belirleyen bir ölçü olarak incelenmektedir. Bu ölçünün tarihsel oluşumu, bağlayıcılığı, kırâatlerin kabul ve uygulamasındaki işlevi ile çağdaş mushaf neşrindeki devamı arasında ilişki kurulmaktadır. Böylece yazılı birlik,…</w:t>
      </w:r>
    </w:p>
    <w:p>
      <w:r>
        <w:rPr>
          <w:b/>
        </w:rPr>
        <w:t xml:space="preserve">Sorun: </w:t>
      </w:r>
      <w:r>
        <w:t>“Resm ile kırâati ortak problem etrafında buluşturma” düşüncesi amaç, kapsam, literatüre katkı ve son temel soru paragraflarında yeniden kuruluyor. İşlevler ayrışmadığı için Giriş olduğundan daha uzun ve şematik görünüyor.</w:t>
      </w:r>
    </w:p>
    <w:p>
      <w:r>
        <w:rPr>
          <w:b/>
        </w:rPr>
        <w:t xml:space="preserve">En uygun editoryal işlem: </w:t>
      </w:r>
      <w:r>
        <w:t>Her işlevi bir kez kur: problem → temel tez → kavramlar → kapsam → yöntem/kaynak → katkı → kısa bölüm planı.</w:t>
      </w:r>
    </w:p>
    <w:p>
      <w:r>
        <w:rPr>
          <w:b/>
        </w:rPr>
        <w:t>Doğrudan kullanılabilecek biçim</w:t>
      </w:r>
    </w:p>
    <w:p>
      <w:pPr>
        <w:pStyle w:val="QuoteBlock"/>
      </w:pPr>
      <w:r>
        <w:t>Kitabın katkısı, resm ilmi ile kırâat ilmini yeni kavramlarla yeniden tanımlamak değil, çoğu zaman ayrı başlıklarda ele alınan meseleleri resm-i mushaf ile kırâat rivâyeti arasındaki ilişki etrafında birlikte değerlendirmektir.</w:t>
      </w:r>
    </w:p>
    <w:p>
      <w:r>
        <w:rPr>
          <w:b/>
        </w:rPr>
        <w:t xml:space="preserve">Önceki kapsamlı raporla karşılaştırma: </w:t>
      </w:r>
      <w:r>
        <w:t>Yeni.</w:t>
      </w:r>
    </w:p>
    <w:p>
      <w:pPr>
        <w:pStyle w:val="Heading4"/>
        <w:keepNext/>
      </w:pPr>
      <w:r>
        <w:t>GİR-AK-03. Bölüm planı gereğinden ayrıntılı ve gövdenin içeriğini önceden tekrar ediyor</w:t>
      </w:r>
    </w:p>
    <w:p>
      <w:r>
        <w:rPr>
          <w:b/>
        </w:rPr>
        <w:t xml:space="preserve">Kategori: </w:t>
      </w:r>
      <w:r>
        <w:t>Meta-anlatım / Tekrar</w:t>
      </w:r>
    </w:p>
    <w:p>
      <w:r>
        <w:rPr>
          <w:b/>
        </w:rPr>
        <w:t xml:space="preserve">Önem: </w:t>
      </w:r>
      <w:r>
        <w:t>Orta</w:t>
      </w:r>
    </w:p>
    <w:p>
      <w:r>
        <w:rPr>
          <w:b/>
        </w:rPr>
        <w:t xml:space="preserve">Yer: </w:t>
      </w:r>
      <w:r>
        <w:t>Giriş, s.6–7; dört bölümün tanıtıldığı paragraflar</w:t>
      </w:r>
    </w:p>
    <w:p>
      <w:r>
        <w:rPr>
          <w:b/>
        </w:rPr>
        <w:t>Kitaptaki ifade</w:t>
      </w:r>
    </w:p>
    <w:p>
      <w:pPr>
        <w:pStyle w:val="QuoteBlock"/>
      </w:pPr>
      <w:r>
        <w:t>Kitabın dört ana bölümü bu düşünsel ilerleyişe göre düzenlenmiştir.</w:t>
      </w:r>
    </w:p>
    <w:p>
      <w:r>
        <w:rPr>
          <w:b/>
        </w:rPr>
        <w:t xml:space="preserve">Sorun: </w:t>
      </w:r>
      <w:r>
        <w:t>Dört bölümün her biri uzun paragraflarla özetleniyor. Daha önce kapsam ve “son halka” paragraflarında aynı içerik verildiğinden bu plan, okura yön göstermekten çok gövdeyi önceden yeniden anlatıyor.</w:t>
      </w:r>
    </w:p>
    <w:p>
      <w:r>
        <w:rPr>
          <w:b/>
        </w:rPr>
        <w:t xml:space="preserve">En uygun editoryal işlem: </w:t>
      </w:r>
      <w:r>
        <w:t>Bölüm planını bölüm başına bir cümleye indir.</w:t>
      </w:r>
    </w:p>
    <w:p>
      <w:r>
        <w:rPr>
          <w:b/>
        </w:rPr>
        <w:t>Doğrudan kullanılabilecek biçim</w:t>
      </w:r>
    </w:p>
    <w:p>
      <w:pPr>
        <w:pStyle w:val="QuoteBlock"/>
      </w:pPr>
      <w:r>
        <w:t>Birinci bölüm tarihsel ve kavramsal zemini, ikinci bölüm kırâatlerin rivâyet mantığını, üçüncü bölüm resm–kırâat–lafız–mana ilişkisini, dördüncü bölüm ise resm verilerinin kırâat vecihlerinin rivâyet ve değerlendirilmesindeki somut kullanım alanlarını ele almaktadır.</w:t>
      </w:r>
    </w:p>
    <w:p>
      <w:r>
        <w:rPr>
          <w:b/>
        </w:rPr>
        <w:t xml:space="preserve">Önceki kapsamlı raporla karşılaştırma: </w:t>
      </w:r>
      <w:r>
        <w:t>Yeni.</w:t>
      </w:r>
    </w:p>
    <w:p>
      <w:pPr>
        <w:pStyle w:val="Heading4"/>
        <w:keepNext/>
      </w:pPr>
      <w:r>
        <w:t>GİR-AK-04. Ana tez aynı olumsuz tanım kalıbıyla tekrar ediliyor</w:t>
      </w:r>
    </w:p>
    <w:p>
      <w:r>
        <w:rPr>
          <w:b/>
        </w:rPr>
        <w:t xml:space="preserve">Kategori: </w:t>
      </w:r>
      <w:r>
        <w:t>Formülaik anlatım / Tekrar</w:t>
      </w:r>
    </w:p>
    <w:p>
      <w:r>
        <w:rPr>
          <w:b/>
        </w:rPr>
        <w:t xml:space="preserve">Önem: </w:t>
      </w:r>
      <w:r>
        <w:t>Düşük</w:t>
      </w:r>
    </w:p>
    <w:p>
      <w:r>
        <w:rPr>
          <w:b/>
        </w:rPr>
        <w:t xml:space="preserve">Yer: </w:t>
      </w:r>
      <w:r>
        <w:t>Giriş, çeşitli paragraflar; özellikle “kaynak değildir / yerine geçmez / tek başına...” dizileri</w:t>
      </w:r>
    </w:p>
    <w:p>
      <w:r>
        <w:rPr>
          <w:b/>
        </w:rPr>
        <w:t>Kitaptaki ifade</w:t>
      </w:r>
    </w:p>
    <w:p>
      <w:pPr>
        <w:pStyle w:val="QuoteBlock"/>
      </w:pPr>
      <w:r>
        <w:t>Kitabın hareket noktası, resm-i Osmânî’nin kırâatleri meydana getiren bağımsız bir kaynak olmadığıdır. Çalışmada kırâatin aslî dayanağı, telakki ve müşâfehe yoluyla sürdürülen, okuyuş ve isnadla denetlenen rivâyet geleneği olarak kabul edilmektedir.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usûlünde…</w:t>
      </w:r>
    </w:p>
    <w:p>
      <w:r>
        <w:rPr>
          <w:b/>
        </w:rPr>
        <w:t xml:space="preserve">Sorun: </w:t>
      </w:r>
      <w:r>
        <w:t>Ana tez kitabın güvenliği için gerekli olmakla birlikte Girişte birkaç kez negatif tanım dizileriyle yeniden kuruluyor. Bu, “X değildir; Y’dir” şablonunu mekanikleştiriyor.</w:t>
      </w:r>
    </w:p>
    <w:p>
      <w:r>
        <w:rPr>
          <w:b/>
        </w:rPr>
        <w:t xml:space="preserve">En uygun editoryal işlem: </w:t>
      </w:r>
      <w:r>
        <w:t>Bir güçlü ana tez paragrafını koru; sonraki yerlerde kısa gönderme yap.</w:t>
      </w:r>
    </w:p>
    <w:p>
      <w:r>
        <w:rPr>
          <w:b/>
        </w:rPr>
        <w:t>Doğrudan kullanılabilecek biçim</w:t>
      </w:r>
    </w:p>
    <w:p>
      <w:pPr>
        <w:pStyle w:val="QuoteBlock"/>
      </w:pPr>
      <w:r>
        <w:t>Çalışmada kırâatin aslî aktarım zemini telakki, müşâfehe, edâ ve isnadla sürdürülen rivâyet geleneğidir. Resm-i Osmânî ise bu aktarımın ortak mushaf yazısıyla ilişkisini belirleyen tamamlayıcı ölçülerden biridir.</w:t>
      </w:r>
    </w:p>
    <w:p>
      <w:r>
        <w:rPr>
          <w:b/>
        </w:rPr>
        <w:t xml:space="preserve">Önceki kapsamlı raporla karşılaştırma: </w:t>
      </w:r>
      <w:r>
        <w:t>Kısmen yeni: önceki rapor terminoloji ve ana tez uyumunu ele aldı; bu tekrar örüntüsünü ayrı bir akış sorunu olarak sınıflandırmadı.</w:t>
      </w:r>
    </w:p>
    <w:p>
      <w:pPr>
        <w:pStyle w:val="Heading4"/>
        <w:keepNext/>
      </w:pPr>
      <w:r>
        <w:t>GİR-AK-05. Girişten Birinci Bölüme geçiş doğru fakat gereksiz bir ikinci kapanış hissi veriyor</w:t>
      </w:r>
    </w:p>
    <w:p>
      <w:r>
        <w:rPr>
          <w:b/>
        </w:rPr>
        <w:t xml:space="preserve">Kategori: </w:t>
      </w:r>
      <w:r>
        <w:t>Bölüm geçişi</w:t>
      </w:r>
    </w:p>
    <w:p>
      <w:r>
        <w:rPr>
          <w:b/>
        </w:rPr>
        <w:t xml:space="preserve">Önem: </w:t>
      </w:r>
      <w:r>
        <w:t>Düşük</w:t>
      </w:r>
    </w:p>
    <w:p>
      <w:r>
        <w:rPr>
          <w:b/>
        </w:rPr>
        <w:t xml:space="preserve">Yer: </w:t>
      </w:r>
      <w:r>
        <w:t>Giriş son paragrafı → Birinci Bölüm</w:t>
      </w:r>
    </w:p>
    <w:p>
      <w:r>
        <w:rPr>
          <w:b/>
        </w:rPr>
        <w:t>Kitaptaki ifade</w:t>
      </w:r>
    </w:p>
    <w:p>
      <w:pPr>
        <w:pStyle w:val="QuoteBlock"/>
      </w:pPr>
      <w:r>
        <w:t>Bu yapı içinde araştırmanın temel sorusu, yazı ile sözlü rivâyetten hangisinin üstün olduğu değildir. Asıl mesele, rivâyet yoluyla sabit olan okuyuşlarla bu okuyuşların ortak mushaf yazımı içinde kabul edilip aktarılması arasındaki ilişkinin nasıl kurulduğudur. Kitabın bölümleri, resm-i Osmânî’nin bu ilişkideki yerini, tarihsel teşekkülü, normatif sınırı ve uygulamadaki etkileri birbirine karıştırmadan açıklamaya yönelmektedir.</w:t>
      </w:r>
    </w:p>
    <w:p>
      <w:r>
        <w:rPr>
          <w:b/>
        </w:rPr>
        <w:t xml:space="preserve">Sorun: </w:t>
      </w:r>
      <w:r>
        <w:t>Son paragraf temel soruyu yeniden formüle ediyor. Bu işlev Girişin başında zaten kurulmuştur. Geçiş için ana soruyu tekrar etmek yerine tarihsel zemine bağlanmak daha ekonomiktir.</w:t>
      </w:r>
    </w:p>
    <w:p>
      <w:r>
        <w:rPr>
          <w:b/>
        </w:rPr>
        <w:t xml:space="preserve">En uygun editoryal işlem: </w:t>
      </w:r>
      <w:r>
        <w:t>Son paragrafı bir cümle kısalt ve Birinci Bölümün gerekçesine bağla.</w:t>
      </w:r>
    </w:p>
    <w:p>
      <w:r>
        <w:rPr>
          <w:b/>
        </w:rPr>
        <w:t>Doğrudan kullanılabilecek biçim</w:t>
      </w:r>
    </w:p>
    <w:p>
      <w:pPr>
        <w:pStyle w:val="QuoteBlock"/>
      </w:pPr>
      <w:r>
        <w:t>Bu ilişkinin nasıl kurulduğunu açıklayabilmek için önce resm-i Osmânî’nin ortaya çıktığı tarihsel ve kavramsal zemini belirlemek gerekir. Birinci bölüm bu zemini incelemektedir.</w:t>
      </w:r>
    </w:p>
    <w:p>
      <w:r>
        <w:rPr>
          <w:b/>
        </w:rPr>
        <w:t xml:space="preserve">Önceki kapsamlı raporla karşılaştırma: </w:t>
      </w:r>
      <w:r>
        <w:t>Yeni.</w:t>
      </w:r>
    </w:p>
    <w:p>
      <w:pPr>
        <w:pStyle w:val="Heading2"/>
        <w:keepNext/>
      </w:pPr>
      <w:r>
        <w:t>5. Birinci Bölüm</w:t>
      </w:r>
    </w:p>
    <w:p>
      <w:pPr>
        <w:pStyle w:val="Heading4"/>
        <w:keepNext/>
      </w:pPr>
      <w:r>
        <w:t>B1-AK-01. 1.1’de sentez, delil dizisi tamamlanmadan geliyor ve ardından geriye dönüş yaşanıyor</w:t>
      </w:r>
    </w:p>
    <w:p>
      <w:r>
        <w:rPr>
          <w:b/>
        </w:rPr>
        <w:t xml:space="preserve">Kategori: </w:t>
      </w:r>
      <w:r>
        <w:t>Yapısal / Kronolojik akış</w:t>
      </w:r>
    </w:p>
    <w:p>
      <w:r>
        <w:rPr>
          <w:b/>
        </w:rPr>
        <w:t xml:space="preserve">Önem: </w:t>
      </w:r>
      <w:r>
        <w:t>Yüksek</w:t>
      </w:r>
    </w:p>
    <w:p>
      <w:r>
        <w:rPr>
          <w:b/>
        </w:rPr>
        <w:t xml:space="preserve">Yer: </w:t>
      </w:r>
      <w:r>
        <w:t>1.1, s.8–10; 49–56. paragraflar</w:t>
      </w:r>
    </w:p>
    <w:p>
      <w:r>
        <w:rPr>
          <w:b/>
        </w:rPr>
        <w:t>Kitaptaki ifade</w:t>
      </w:r>
    </w:p>
    <w:p>
      <w:pPr>
        <w:pStyle w:val="QuoteBlock"/>
      </w:pPr>
      <w:r>
        <w:t>Önceki paragraf: “Bu farklı görüşler birlikte değerlendirildiğinde ortaya daha şu mutedil tablo çıkmaktadır: İslâm öncesi Arap toplumunda yazı, yaygın ve sistemli bir uygulama değildi; ancak tamamen yabancı olunan bir kabiliyet de değildi. Yazı daha çok belirli çevrelerde pratik ihtiyaçlara bağlı olarak kullanılan bir araç konumundaydı. Çünkü o…”</w:t>
        <w:br/>
        <w:t>Sonraki paragraf: “İslâm’ın gelişiyle hafıza ve sözlü aktarım geleneği değişmeye başlamıştır. Kur’an vahyi sözlü aktarımı merkeze almaya devam etmiş; ancak vahyin korunması, öğretilmesi ve aktarılması sürecinde yazının önemi her geçen gün artmıştır. Bu süreç Arap yazısının sadece teknik yönden değil, aynı zamanda toplumsal ve kültürel dönüşümünü…”</w:t>
      </w:r>
    </w:p>
    <w:p>
      <w:r>
        <w:rPr>
          <w:b/>
        </w:rPr>
        <w:t xml:space="preserve">Sorun: </w:t>
      </w:r>
      <w:r>
        <w:t>49. paragraf iki görüşü sentezleyip “mutedil tablo”yu veriyor; 50. paragraf İslâm dönemine geçiyor. Ancak 51–55 tekrar İslâm öncesi Varaka, Kusay, şiir, Ubey ve Goldziher örneklerine dönüyor. Okur tarihsel olarak ileri gidip yeniden geri dönüyor.</w:t>
      </w:r>
    </w:p>
    <w:p>
      <w:r>
        <w:rPr>
          <w:b/>
        </w:rPr>
        <w:t xml:space="preserve">En uygun editoryal işlem: </w:t>
      </w:r>
      <w:r>
        <w:t>49–50’yi sona taşı/erit. Önce bütün İslâm öncesi kanıtları ver; 56’da tek sentez ve 1.2’ye geçiş bırak.</w:t>
      </w:r>
    </w:p>
    <w:p>
      <w:r>
        <w:rPr>
          <w:b/>
        </w:rPr>
        <w:t>Doğrudan kullanılabilecek biçim</w:t>
      </w:r>
    </w:p>
    <w:p>
      <w:pPr>
        <w:pStyle w:val="QuoteBlock"/>
      </w:pPr>
      <w:r>
        <w:t>Bu veriler birlikte ele alındığında, İslâm öncesi Arap toplumunda yazının bilindiği, ancak kullanımının belirli çevre ve ihtiyaçlarla sınırlı kaldığı anlaşılmaktadır. Vahyin nüzûlüyle birlikte yazının kullanım alanı ve işlevi yeni bir boyut kazanmıştır.</w:t>
      </w:r>
    </w:p>
    <w:p>
      <w:r>
        <w:rPr>
          <w:b/>
        </w:rPr>
        <w:t xml:space="preserve">Önceki kapsamlı raporla karşılaştırma: </w:t>
      </w:r>
      <w:r>
        <w:t>Yeni.</w:t>
      </w:r>
    </w:p>
    <w:p>
      <w:pPr>
        <w:pStyle w:val="Heading4"/>
        <w:keepNext/>
      </w:pPr>
      <w:r>
        <w:t>B1-AK-02. 1.1’de iki ayrı sonuç paragrafı aynı hükmü kuruyor</w:t>
      </w:r>
    </w:p>
    <w:p>
      <w:r>
        <w:rPr>
          <w:b/>
        </w:rPr>
        <w:t xml:space="preserve">Kategori: </w:t>
      </w:r>
      <w:r>
        <w:t>Gereksiz ara sonuç</w:t>
      </w:r>
    </w:p>
    <w:p>
      <w:r>
        <w:rPr>
          <w:b/>
        </w:rPr>
        <w:t xml:space="preserve">Önem: </w:t>
      </w:r>
      <w:r>
        <w:t>Orta</w:t>
      </w:r>
    </w:p>
    <w:p>
      <w:r>
        <w:rPr>
          <w:b/>
        </w:rPr>
        <w:t xml:space="preserve">Yer: </w:t>
      </w:r>
      <w:r>
        <w:t>1.1, 49 ve 56. paragraflar</w:t>
      </w:r>
    </w:p>
    <w:p>
      <w:r>
        <w:rPr>
          <w:b/>
        </w:rPr>
        <w:t>Kitaptaki ifade</w:t>
      </w:r>
    </w:p>
    <w:p>
      <w:pPr>
        <w:pStyle w:val="QuoteBlock"/>
      </w:pPr>
      <w:r>
        <w:t>Bütün bu veriler bir arada değerlendirildiğinde İslâm öncesi Arap toplumunda yazının hiç bilinmediğini söylemek mümkün değildir. Ancak toplumun geneline yayılmış bir konumda da olmadığı anlaşılmaktadır. Yazı daha çok belirli kişiler tarafından belirli ihtiyaçlar için kullanılan sınırlı bir araç olmuştur. Ancak İslâm’ın gelişiyle birlikte özellikle Kur’an vahyi etrafında şekillenen yeni dinî toplumsal yapı bu sınırlı yazı becerisini giderek merkezî bir konuma taşımış, böylece Arap yazısı tarihsel bir kırılma geçirerek Kur’an’ın metinleşme sürecinin temel…</w:t>
      </w:r>
    </w:p>
    <w:p>
      <w:r>
        <w:rPr>
          <w:b/>
        </w:rPr>
        <w:t xml:space="preserve">Sorun: </w:t>
      </w:r>
      <w:r>
        <w:t>49 ile 56 aynı “ne tamamen bilinmiyor ne toplumun geneline yayılmış” sonucunu iki kez veriyor. İkinci sonuç “Bütün bu veriler...” formülüyle AI-benzeri kapanış etkisi oluşturuyor.</w:t>
      </w:r>
    </w:p>
    <w:p>
      <w:r>
        <w:rPr>
          <w:b/>
        </w:rPr>
        <w:t xml:space="preserve">En uygun editoryal işlem: </w:t>
      </w:r>
      <w:r>
        <w:t>49’u kaldır veya delil dizisine girişe dönüştür; 56’yı tek kısa sentez olarak bırak.</w:t>
      </w:r>
    </w:p>
    <w:p>
      <w:r>
        <w:rPr>
          <w:b/>
        </w:rPr>
        <w:t>Doğrudan kullanılabilecek biçim</w:t>
      </w:r>
    </w:p>
    <w:p>
      <w:pPr>
        <w:pStyle w:val="QuoteBlock"/>
      </w:pPr>
      <w:r>
        <w:t>İslâm öncesi Arap toplumunda yazı bütünüyle bilinmeyen bir beceri değildi; ancak toplumun geneline yayılmış sistemli bir uygulama hâline de gelmemişti.</w:t>
      </w:r>
    </w:p>
    <w:p>
      <w:r>
        <w:rPr>
          <w:b/>
        </w:rPr>
        <w:t xml:space="preserve">Önceki kapsamlı raporla karşılaştırma: </w:t>
      </w:r>
      <w:r>
        <w:t>Yeni.</w:t>
      </w:r>
    </w:p>
    <w:p>
      <w:pPr>
        <w:pStyle w:val="Heading4"/>
        <w:keepNext/>
      </w:pPr>
      <w:r>
        <w:t>B1-AK-03. 1.2 somut rivâyetlere geçmeden üç kez genel çerçeve kuruyor</w:t>
      </w:r>
    </w:p>
    <w:p>
      <w:r>
        <w:rPr>
          <w:b/>
        </w:rPr>
        <w:t xml:space="preserve">Kategori: </w:t>
      </w:r>
      <w:r>
        <w:t>Paragraf içi akış / Tekrar</w:t>
      </w:r>
    </w:p>
    <w:p>
      <w:r>
        <w:rPr>
          <w:b/>
        </w:rPr>
        <w:t xml:space="preserve">Önem: </w:t>
      </w:r>
      <w:r>
        <w:t>Orta</w:t>
      </w:r>
    </w:p>
    <w:p>
      <w:r>
        <w:rPr>
          <w:b/>
        </w:rPr>
        <w:t xml:space="preserve">Yer: </w:t>
      </w:r>
      <w:r>
        <w:t>1.2, s.10–11; 58–61. paragraflar</w:t>
      </w:r>
    </w:p>
    <w:p>
      <w:r>
        <w:rPr>
          <w:b/>
        </w:rPr>
        <w:t>Kitaptaki ifade</w:t>
      </w:r>
    </w:p>
    <w:p>
      <w:pPr>
        <w:pStyle w:val="QuoteBlock"/>
      </w:pPr>
      <w:r>
        <w:t>Önceki paragraf: “Vahyin inişiyle birlikte yazının pozisyonu belirgin bir şekilde değişmeye başlamıştır. Vahyin korunması ve tebliği sürecinde sözlü aktarım merkezî önemini korumakla birlikte yazı giderek daha fazla başvurulan bir vasıta hâline gelmiştir. Hz. Peygamber’in vahiy kâtiplerini görevlendirmesi, inen âyetleri kayıt altına almak…”</w:t>
        <w:br/>
        <w:t>Sonraki paragraf: “Kur’an vahyinin kitaplaşma serüveni, işte bu tarihsel ve kültürel dönüşüm içinde şekillenmiştir. Vahyin inzal sürecinde sözlü aktarım esas olmakla birlikte, yazı bu sürecin her aşamasında giderek daha belirgin hâle gelmiştir. Hz. Peygamber’in vefatından sonra Kur’an’ın yazılı bir metin hâlinde bir araya getirilmesi bu sürecin…”</w:t>
      </w:r>
    </w:p>
    <w:p>
      <w:r>
        <w:rPr>
          <w:b/>
        </w:rPr>
        <w:t xml:space="preserve">Sorun: </w:t>
      </w:r>
      <w:r>
        <w:t>58 yazının artan rolünü, 59 “kitaplaşma serüveni”ni, 60 söz–yazı dengesini sonuçlandırıyor; tarihsel kanıtlar ancak 61’de başlıyor. Alt başlık daha başlamadan üç kez genel değerlendirme yapmış oluyor.</w:t>
      </w:r>
    </w:p>
    <w:p>
      <w:r>
        <w:rPr>
          <w:b/>
        </w:rPr>
        <w:t xml:space="preserve">En uygun editoryal işlem: </w:t>
      </w:r>
      <w:r>
        <w:t>58’i giriş olarak tut; 59–60’ı kısalt veya 1.2’nin son sentezine taşı; 61’e daha erken geç.</w:t>
      </w:r>
    </w:p>
    <w:p>
      <w:r>
        <w:rPr>
          <w:b/>
        </w:rPr>
        <w:t>Doğrudan kullanılabilecek biçim</w:t>
      </w:r>
    </w:p>
    <w:p>
      <w:pPr>
        <w:pStyle w:val="QuoteBlock"/>
      </w:pPr>
      <w:r>
        <w:t>Vahyin inişiyle yazı, sözlü aktarımın yanında giderek daha belirgin bir kayıt vasıtası hâline gelmiştir. Bu gelişmenin kapsamı ve düzeni, vahyin ne zaman ve nasıl yazıya geçirildiğine ilişkin rivâyetler üzerinden izlenebilir.</w:t>
      </w:r>
    </w:p>
    <w:p>
      <w:r>
        <w:rPr>
          <w:b/>
        </w:rPr>
        <w:t xml:space="preserve">Önceki kapsamlı raporla karşılaştırma: </w:t>
      </w:r>
      <w:r>
        <w:t>Yeni.</w:t>
      </w:r>
    </w:p>
    <w:p>
      <w:pPr>
        <w:pStyle w:val="Heading4"/>
        <w:keepNext/>
      </w:pPr>
      <w:r>
        <w:t>B1-AK-04. 1.2’nin kapanışı ile 1.3’ün açılışı aynı bilgiyi yeniden söylüyor</w:t>
      </w:r>
    </w:p>
    <w:p>
      <w:r>
        <w:rPr>
          <w:b/>
        </w:rPr>
        <w:t xml:space="preserve">Kategori: </w:t>
      </w:r>
      <w:r>
        <w:t>Alt başlık geçişi / Tekrar</w:t>
      </w:r>
    </w:p>
    <w:p>
      <w:r>
        <w:rPr>
          <w:b/>
        </w:rPr>
        <w:t xml:space="preserve">Önem: </w:t>
      </w:r>
      <w:r>
        <w:t>Orta</w:t>
      </w:r>
    </w:p>
    <w:p>
      <w:r>
        <w:rPr>
          <w:b/>
        </w:rPr>
        <w:t xml:space="preserve">Yer: </w:t>
      </w:r>
      <w:r>
        <w:t>1.2 son paragrafı → 1.3 ilk paragrafı</w:t>
      </w:r>
    </w:p>
    <w:p>
      <w:r>
        <w:rPr>
          <w:b/>
        </w:rPr>
        <w:t>Kitaptaki ifade</w:t>
      </w:r>
    </w:p>
    <w:p>
      <w:pPr>
        <w:pStyle w:val="QuoteBlock"/>
      </w:pPr>
      <w:r>
        <w:t>Önceki paragraf: “Her iki yaklaşım birlikte değerlendirildiğinde, nüzûl döneminde vahyin yazıyla kayıt altına alındığı, ancak bu kayıtların tek merkezde toplanıp düzenlenerek kitap hâline getirilmiş bir yapıya sahip olmadığı anlaşılmaktadır. Bu durum, Kur’an’ın erken dönemde hem sözlü hem de yazılı yollarla muhafaza altına alındığını, fakat…”</w:t>
        <w:br/>
        <w:t>Sonraki paragraf: “Nüzûl döneminde vahyin kayıt altına alındığı açık olmakla birlikte bu kayıtların kitap şeklinde bir araya getirilmediği görülmektedir. Hz. Peygamber hayattayken vahiy hem ezber yoluyla hem de çeşitli yazı malzemeleri üzerine kaydedilerek korunmuş, ancak bu malzemeler dağınık hâlde kalmıştır. İşte Kur’an’ın ilk defa bütüncül bir…”</w:t>
      </w:r>
    </w:p>
    <w:p>
      <w:r>
        <w:rPr>
          <w:b/>
        </w:rPr>
        <w:t xml:space="preserve">Sorun: </w:t>
      </w:r>
      <w:r>
        <w:t>1.2 “kayıtlar tek merkezde toplanıp kitap hâline getirilmemiştir” diyerek biter; 1.3 aynı cümleyi “kayıtların kitap şeklinde bir araya getirilmediği” şeklinde yeniden açar.</w:t>
      </w:r>
    </w:p>
    <w:p>
      <w:r>
        <w:rPr>
          <w:b/>
        </w:rPr>
        <w:t xml:space="preserve">En uygun editoryal işlem: </w:t>
      </w:r>
      <w:r>
        <w:t>1.2’yi doğrudan derleme ihtiyacına bağla; 1.3 ilk cümlesini kısalt.</w:t>
      </w:r>
    </w:p>
    <w:p>
      <w:r>
        <w:rPr>
          <w:b/>
        </w:rPr>
        <w:t>Doğrudan kullanılabilecek biçim</w:t>
      </w:r>
    </w:p>
    <w:p>
      <w:pPr>
        <w:pStyle w:val="QuoteBlock"/>
      </w:pPr>
      <w:r>
        <w:t>Nüzûl döneminde vahyin yazıyla kaydedildiği, fakat bu kayıtların tek bir derleme hâlinde toplanmadığı anlaşılmaktadır. Hz. Peygamber’in vefatından sonra gündeme gelen mesele, mevcut yazılı ve sözlü malzemenin sistemli biçimde bir araya getirilmesidir.</w:t>
      </w:r>
    </w:p>
    <w:p>
      <w:r>
        <w:rPr>
          <w:b/>
        </w:rPr>
        <w:t xml:space="preserve">Önceki kapsamlı raporla karşılaştırma: </w:t>
      </w:r>
      <w:r>
        <w:t>Yeni.</w:t>
      </w:r>
    </w:p>
    <w:p>
      <w:pPr>
        <w:pStyle w:val="Heading4"/>
        <w:keepNext/>
      </w:pPr>
      <w:r>
        <w:t>B1-AK-05. 1.3 yedi harf ve arza-i âhire tartışmasına fazla erken giriyor</w:t>
      </w:r>
    </w:p>
    <w:p>
      <w:r>
        <w:rPr>
          <w:b/>
        </w:rPr>
        <w:t xml:space="preserve">Kategori: </w:t>
      </w:r>
      <w:r>
        <w:t>Başlık kapsamı / Bölümler arası tekrar</w:t>
      </w:r>
    </w:p>
    <w:p>
      <w:r>
        <w:rPr>
          <w:b/>
        </w:rPr>
        <w:t xml:space="preserve">Önem: </w:t>
      </w:r>
      <w:r>
        <w:t>Yüksek</w:t>
      </w:r>
    </w:p>
    <w:p>
      <w:r>
        <w:rPr>
          <w:b/>
        </w:rPr>
        <w:t xml:space="preserve">Yer: </w:t>
      </w:r>
      <w:r>
        <w:t>1.3, s.15–16; Mervan anlatısından sonraki 77–79. paragraflar</w:t>
      </w:r>
    </w:p>
    <w:p>
      <w:r>
        <w:rPr>
          <w:b/>
        </w:rPr>
        <w:t>Kitaptaki ifade</w:t>
      </w:r>
    </w:p>
    <w:p>
      <w:pPr>
        <w:pStyle w:val="QuoteBlock"/>
      </w:pPr>
      <w:r>
        <w:t>Nitekim kaynaklarda Hz. Ebû Bekir’in emriyle derlenen Kur’an nüshasının “yedi harf”i ihtiva ettiği, yani Kur’an’ın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 Ancak Kur’an’ın “yedi harf” üzere indirilmiş olmasının, bütün bu vecihlerin muhafazasının farz veya…</w:t>
      </w:r>
    </w:p>
    <w:p>
      <w:r>
        <w:rPr>
          <w:b/>
        </w:rPr>
        <w:t xml:space="preserve">Sorun: </w:t>
      </w:r>
      <w:r>
        <w:t>Alt başlığın işlevi Ebû Bekir dönemi cem ve tarihsel arka plandır. Son bölümde yedi harf, Osmanî istinsah, tek harf ve arza-i âhire ayrıntılandırılarak 1.4 ve özellikle 2.3’ün tartışma alanı önceden tüketiliyor.</w:t>
      </w:r>
    </w:p>
    <w:p>
      <w:r>
        <w:rPr>
          <w:b/>
        </w:rPr>
        <w:t xml:space="preserve">En uygun editoryal işlem: </w:t>
      </w:r>
      <w:r>
        <w:t>1.3’ü suhufun akıbetiyle kapat; yedi harf/arza değerlendirmesini 2.3’e taşı veya burada tek geçiş cümlesine indir.</w:t>
      </w:r>
    </w:p>
    <w:p>
      <w:r>
        <w:rPr>
          <w:b/>
        </w:rPr>
        <w:t>Doğrudan kullanılabilecek biçim</w:t>
      </w:r>
    </w:p>
    <w:p>
      <w:pPr>
        <w:pStyle w:val="QuoteBlock"/>
      </w:pPr>
      <w:r>
        <w:t>Hz. Ebû Bekir döneminde derlenen sahifelerin sonraki istinsah faaliyetiyle ilişkisi, Osmânî mushafların çoğaltılmasını gerektiren şartlar ve yedi harf tartışmasıyla birlikte sonraki başlıklarda ele alınacaktır.</w:t>
      </w:r>
    </w:p>
    <w:p>
      <w:r>
        <w:rPr>
          <w:b/>
        </w:rPr>
        <w:t xml:space="preserve">Önceki kapsamlı raporla karşılaştırma: </w:t>
      </w:r>
      <w:r>
        <w:t>Yeni; önceki rapor bu pasajın bilimsel kesinliğini ele aldı, fakat başlık taşması ve tekrar mimarisini ayrıca göstermedi.</w:t>
      </w:r>
    </w:p>
    <w:p>
      <w:pPr>
        <w:pStyle w:val="Heading4"/>
        <w:keepNext/>
      </w:pPr>
      <w:r>
        <w:t>B1-AK-06. 1.4 gerekçeleri anlattıktan sonra gerekçeleri yeniden başlatıyor</w:t>
      </w:r>
    </w:p>
    <w:p>
      <w:r>
        <w:rPr>
          <w:b/>
        </w:rPr>
        <w:t xml:space="preserve">Kategori: </w:t>
      </w:r>
      <w:r>
        <w:t>Yapısal / Tekrar</w:t>
      </w:r>
    </w:p>
    <w:p>
      <w:r>
        <w:rPr>
          <w:b/>
        </w:rPr>
        <w:t xml:space="preserve">Önem: </w:t>
      </w:r>
      <w:r>
        <w:t>Yüksek</w:t>
      </w:r>
    </w:p>
    <w:p>
      <w:r>
        <w:rPr>
          <w:b/>
        </w:rPr>
        <w:t xml:space="preserve">Yer: </w:t>
      </w:r>
      <w:r>
        <w:t>1.4, s.16–20; özellikle 96–98</w:t>
      </w:r>
    </w:p>
    <w:p>
      <w:r>
        <w:rPr>
          <w:b/>
        </w:rPr>
        <w:t>Kitaptaki ifade</w:t>
      </w:r>
    </w:p>
    <w:p>
      <w:pPr>
        <w:pStyle w:val="QuoteBlock"/>
      </w:pPr>
      <w:r>
        <w:t>Bu noktada asıl üzerinde durulması gereken mesele, Müslümanları söz konusu rivâyetlerdeki ihtilafa sürükleyen sebeplerin gerisinde yatan ana nedenlerin neler olduğu hususudur. Bu ihtilafların gerisinde iki sebep bulunmaktadır. Birincisi, Kur’an’ın “yedi harf” üzere okunmasına verilen ruhsattır. Sahih hadislerle sabit olan bu ruhsat, nüzûl döneminde farklı kabileler için kolaylaştırıcı bir işlev görmüştür. Hz. Ebû Bekir zamanında derlenen Kur’an da aynı şekilde “yedi harf”i içermektedir. Özellikle Hz. Ömer devrinde İslâm devletinin sınırlarının…</w:t>
      </w:r>
    </w:p>
    <w:p>
      <w:r>
        <w:rPr>
          <w:b/>
        </w:rPr>
        <w:t xml:space="preserve">Sorun: </w:t>
      </w:r>
      <w:r>
        <w:t>Bölümde Huzeyfe rivâyeti, bölgesel farklılaşma ve şahsî mushaflar zaten anlatılmışken “asıl üzerinde durulması gereken... iki sebep” denilerek aynı nedenler ikinci kez kuruluyor. Bu, okurda önceki açıklamaların hazırlık, 96’dan sonrasının asıl metin olduğu izlenimini yaratıyor.</w:t>
      </w:r>
    </w:p>
    <w:p>
      <w:r>
        <w:rPr>
          <w:b/>
        </w:rPr>
        <w:t xml:space="preserve">En uygun editoryal işlem: </w:t>
      </w:r>
      <w:r>
        <w:t>96’daki iki sebebi önceki ilgili paragraflara dağıt; 98’deki “Hülasa” paragrafını tek kısa kapanışa indir.</w:t>
      </w:r>
    </w:p>
    <w:p>
      <w:r>
        <w:rPr>
          <w:b/>
        </w:rPr>
        <w:t>Doğrudan kullanılabilecek biçim</w:t>
      </w:r>
    </w:p>
    <w:p>
      <w:pPr>
        <w:pStyle w:val="QuoteBlock"/>
      </w:pPr>
      <w:r>
        <w:t>Bu rivâyetlerde öne çıkan iki unsur, farklı okuyuşların yeni Müslüman çevrelerde ihtilafa dönüşmesi ve şahsî mushafların ortak bir başvuru metni bulunmadığında bu ihtilafı artırabilmesidir. Bu unsurlar, Osmânî istinsah kararının tarihsel bağlamını açıklamaktadır.</w:t>
      </w:r>
    </w:p>
    <w:p>
      <w:r>
        <w:rPr>
          <w:b/>
        </w:rPr>
        <w:t xml:space="preserve">Önceki kapsamlı raporla karşılaştırma: </w:t>
      </w:r>
      <w:r>
        <w:t>Yeni.</w:t>
      </w:r>
    </w:p>
    <w:p>
      <w:pPr>
        <w:pStyle w:val="Heading4"/>
        <w:keepNext/>
      </w:pPr>
      <w:r>
        <w:t>B1-AK-07. 1.4 “Hülasa” ile aynı bölümü ikinci kez kapatıyor</w:t>
      </w:r>
    </w:p>
    <w:p>
      <w:r>
        <w:rPr>
          <w:b/>
        </w:rPr>
        <w:t xml:space="preserve">Kategori: </w:t>
      </w:r>
      <w:r>
        <w:t>Gereksiz ara sonuç</w:t>
      </w:r>
    </w:p>
    <w:p>
      <w:r>
        <w:rPr>
          <w:b/>
        </w:rPr>
        <w:t xml:space="preserve">Önem: </w:t>
      </w:r>
      <w:r>
        <w:t>Orta</w:t>
      </w:r>
    </w:p>
    <w:p>
      <w:r>
        <w:rPr>
          <w:b/>
        </w:rPr>
        <w:t xml:space="preserve">Yer: </w:t>
      </w:r>
      <w:r>
        <w:t>1.4 son paragraf</w:t>
      </w:r>
    </w:p>
    <w:p>
      <w:r>
        <w:rPr>
          <w:b/>
        </w:rPr>
        <w:t>Kitaptaki ifade</w:t>
      </w:r>
    </w:p>
    <w:p>
      <w:pPr>
        <w:pStyle w:val="QuoteBlock"/>
      </w:pPr>
      <w:r>
        <w:t>Hülasa, istinsah kararı, vahyin aslını değiştirme veya yeni bir metin oluşturma girişimi değildir. Aksine bu karar, sözlü kırâat çeşitliliğinin ve bölgesel mushaf farklılıklarının doğurduğu metinsel belirsizlikleri ortadan kaldırarak ümmetin birliğini korumaya yönelik tarihsel bir hamledir. Bu süreçle birlikte resm-i Osmânî yazı normu, merkezî ve bağlayıcı bir otorite hâline gelmiş, Kur’an metni yazı düzeyinde sabitlenmiş, kırâat farklılıkları ise bu yazı çerçevesinde anlam kazanmıştır</w:t>
      </w:r>
    </w:p>
    <w:p>
      <w:r>
        <w:rPr>
          <w:b/>
        </w:rPr>
        <w:t xml:space="preserve">Sorun: </w:t>
      </w:r>
      <w:r>
        <w:t>Önceki birkaç paragraf zaten istinsahın yeni metin üretmek değil ortaklık sağlamak olduğunu tekrar ediyor. “Hülasa” paragrafı yeni analitik katkı getirmeden aynı hükmü yeniden kuruyor.</w:t>
      </w:r>
    </w:p>
    <w:p>
      <w:r>
        <w:rPr>
          <w:b/>
        </w:rPr>
        <w:t xml:space="preserve">En uygun editoryal işlem: </w:t>
      </w:r>
      <w:r>
        <w:t>Paragrafı çıkar veya bir sonraki başlığa köprü olacak tek cümleye indir.</w:t>
      </w:r>
    </w:p>
    <w:p>
      <w:r>
        <w:rPr>
          <w:b/>
        </w:rPr>
        <w:t>Doğrudan kullanılabilecek biçim</w:t>
      </w:r>
    </w:p>
    <w:p>
      <w:pPr>
        <w:pStyle w:val="QuoteBlock"/>
      </w:pPr>
      <w:r>
        <w:t>İstinsah kararının nasıl uygulandığını değerlendirebilmek için çoğaltılan nüshaların sayısı ve gönderildikleri merkezlere dair rivâyetlere bakmak gerekir.</w:t>
      </w:r>
    </w:p>
    <w:p>
      <w:r>
        <w:rPr>
          <w:b/>
        </w:rPr>
        <w:t xml:space="preserve">Önceki kapsamlı raporla karşılaştırma: </w:t>
      </w:r>
      <w:r>
        <w:t>Yeni.</w:t>
      </w:r>
    </w:p>
    <w:p>
      <w:pPr>
        <w:pStyle w:val="Heading4"/>
        <w:keepNext/>
      </w:pPr>
      <w:r>
        <w:t>B1-AK-08. 1.5’te ara sonuç, çağdaş görüşler ve iki son sentez art arda geliyor</w:t>
      </w:r>
    </w:p>
    <w:p>
      <w:r>
        <w:rPr>
          <w:b/>
        </w:rPr>
        <w:t xml:space="preserve">Kategori: </w:t>
      </w:r>
      <w:r>
        <w:t>Yapısal / Gereksiz özet</w:t>
      </w:r>
    </w:p>
    <w:p>
      <w:r>
        <w:rPr>
          <w:b/>
        </w:rPr>
        <w:t xml:space="preserve">Önem: </w:t>
      </w:r>
      <w:r>
        <w:t>Yüksek</w:t>
      </w:r>
    </w:p>
    <w:p>
      <w:r>
        <w:rPr>
          <w:b/>
        </w:rPr>
        <w:t xml:space="preserve">Yer: </w:t>
      </w:r>
      <w:r>
        <w:t>1.5, s.20–24; 108–116</w:t>
      </w:r>
    </w:p>
    <w:p>
      <w:r>
        <w:rPr>
          <w:b/>
        </w:rPr>
        <w:t>Kitaptaki ifade</w:t>
      </w:r>
    </w:p>
    <w:p>
      <w:pPr>
        <w:pStyle w:val="QuoteBlock"/>
      </w:pPr>
      <w:r>
        <w:t>Mevcut rivâyetler ışığında, Osmânî mushafları en kuvvetli ihtimalle şu şekilde tasnif etmek mümkündür: Halifenin yanında kalan “İmam Mushaf” ile birlikte Medine, Mekke, Şam, Kûfe ve Basra’ya gönderilen beş nüsha bulunmaktadır. Böylece toplam altı nüshanın varlığı ihtimalî kuvvet kazanmaktadır. Kevserî’nin (ö. 1371/1951) ifadesiyle Hz. Osman bir mushafı kendisi için ayırmış, kalan beş mushafı da emsâr bölgelerine göndermiştir. Bu çerçevede istinsah sürecinde yazılan mushafların sayısı konusunda kesin bir rakam vermek güç olmakla birlikte, tarihsel ve…</w:t>
      </w:r>
    </w:p>
    <w:p>
      <w:r>
        <w:rPr>
          <w:b/>
        </w:rPr>
        <w:t xml:space="preserve">Sorun: </w:t>
      </w:r>
      <w:r>
        <w:t>Klasik/erken kaynaklar 100–107’de taranıyor; 108 hemen genel hüküm veriyor. Ardından çağdaş araştırmacılar 109–114’te aynı mesele için yeniden sıralanıyor; 115 ve 116 tekrar genel sonuç veriyor. Alt başlığın son üçte biri “sonuç üretme” döngüsüne dönüşüyor.</w:t>
      </w:r>
    </w:p>
    <w:p>
      <w:r>
        <w:rPr>
          <w:b/>
        </w:rPr>
        <w:t xml:space="preserve">En uygun editoryal işlem: </w:t>
      </w:r>
      <w:r>
        <w:t>108’i kaldır veya çağdaş literatüre geçiş cümlesine dönüştür; 115–116’yı tek ihtiyatlı sonuçta birleştir.</w:t>
      </w:r>
    </w:p>
    <w:p>
      <w:r>
        <w:rPr>
          <w:b/>
        </w:rPr>
        <w:t>Doğrudan kullanılabilecek biçim</w:t>
      </w:r>
    </w:p>
    <w:p>
      <w:pPr>
        <w:pStyle w:val="QuoteBlock"/>
      </w:pPr>
      <w:r>
        <w:t>Erken kaynaklardaki farklı sayılar, çağdaş araştırmalarda da farklı biçimlerde değerlendirilmiştir. Bu nedenle nüsha sayısı ve dağıtım merkezleri konusunda tek bir rakamı tartışmasız sonuç olarak vermek yerine, rivâyetlerin dayanaklarını ve ortaklaştıkları merkezleri birlikte değerlendirmek daha ihtiyatlıdır.</w:t>
      </w:r>
    </w:p>
    <w:p>
      <w:r>
        <w:rPr>
          <w:b/>
        </w:rPr>
        <w:t xml:space="preserve">Önceki kapsamlı raporla karşılaştırma: </w:t>
      </w:r>
      <w:r>
        <w:t>Yeni.</w:t>
      </w:r>
    </w:p>
    <w:p>
      <w:pPr>
        <w:pStyle w:val="Heading4"/>
        <w:keepNext/>
      </w:pPr>
      <w:r>
        <w:t>B1-AK-09. 1.5’te çağdaş araştırmacılar “X de... Y de...” ritmiyle mekanik biçimde sıralanıyor</w:t>
      </w:r>
    </w:p>
    <w:p>
      <w:r>
        <w:rPr>
          <w:b/>
        </w:rPr>
        <w:t xml:space="preserve">Kategori: </w:t>
      </w:r>
      <w:r>
        <w:t>Formülaik anlatım</w:t>
      </w:r>
    </w:p>
    <w:p>
      <w:r>
        <w:rPr>
          <w:b/>
        </w:rPr>
        <w:t xml:space="preserve">Önem: </w:t>
      </w:r>
      <w:r>
        <w:t>Düşük</w:t>
      </w:r>
    </w:p>
    <w:p>
      <w:r>
        <w:rPr>
          <w:b/>
        </w:rPr>
        <w:t xml:space="preserve">Yer: </w:t>
      </w:r>
      <w:r>
        <w:t>1.5, çağdaş araştırmacıların sıralandığı 109–114. paragraflar</w:t>
      </w:r>
    </w:p>
    <w:p>
      <w:r>
        <w:rPr>
          <w:b/>
        </w:rPr>
        <w:t>Kitaptaki ifade</w:t>
      </w:r>
    </w:p>
    <w:p>
      <w:pPr>
        <w:pStyle w:val="QuoteBlock"/>
      </w:pPr>
      <w:r>
        <w:t>Zürkânî, klasik literatürü sistematik biçimde inceleyerek Dânî, ez-Zerkeşî, İbn Hacer ve Süyûtî'nin değerlendirmelerini karşılaştırmış; "beş şehir" mushafı görüşünün hem rivayet sıhhati hem de tarihî bağlam bakımından daha kuvvetli olduğunu ileri sürmüştür. Zürkânî'nin en önemli katkısı, gelenek içindeki bu mukayeseyi sistematik bir yöntemle ortaya koymasıdır. Subhî es-Sâlih, benzer biçimde klasik rivâyetleri tasnif ederek en kuvvetli görüşün beş ana merkeze gönderilen mushaflar olduğunu belirtir. O, özellikle erken dönem kaynaklarında şehir isimlerinin…</w:t>
      </w:r>
    </w:p>
    <w:p>
      <w:r>
        <w:rPr>
          <w:b/>
        </w:rPr>
        <w:t xml:space="preserve">Sorun: </w:t>
      </w:r>
      <w:r>
        <w:t>Her paragraf yeni bir isim getirip benzer sonuca ulaşıyor. Bu yöntem literatür dökümü hissi veriyor ve karşılaştırmanın hangi ölçüte göre yapıldığını gizliyor.</w:t>
      </w:r>
    </w:p>
    <w:p>
      <w:r>
        <w:rPr>
          <w:b/>
        </w:rPr>
        <w:t xml:space="preserve">En uygun editoryal işlem: </w:t>
      </w:r>
      <w:r>
        <w:t>İsimleri “savunulan sayı / dayanak / ihtiyat düzeyi” ölçütüne göre birleştir; her araştırmacıya ayrı sonuç cümlesi verme.</w:t>
      </w:r>
    </w:p>
    <w:p>
      <w:r>
        <w:rPr>
          <w:b/>
        </w:rPr>
        <w:t>Doğrudan kullanılabilecek biçim</w:t>
      </w:r>
    </w:p>
    <w:p>
      <w:pPr>
        <w:pStyle w:val="QuoteBlock"/>
      </w:pPr>
      <w:r>
        <w:t>Çağdaş değerlendirmeler, çoğaltılan nüshaların sayısı konusunda tek bir görüşte birleşmemektedir. Görüşler, rivâyetlerin hangi merkezleri birlikte saydığı ve halifenin yanında kalan nüshanın nasıl adlandırıldığına göre farklılaşmaktadır.</w:t>
      </w:r>
    </w:p>
    <w:p>
      <w:r>
        <w:rPr>
          <w:b/>
        </w:rPr>
        <w:t xml:space="preserve">Önceki kapsamlı raporla karşılaştırma: </w:t>
      </w:r>
      <w:r>
        <w:t>Yeni.</w:t>
      </w:r>
    </w:p>
    <w:p>
      <w:pPr>
        <w:pStyle w:val="Heading4"/>
        <w:keepNext/>
      </w:pPr>
      <w:r>
        <w:t>B1-AK-10. 1.5’ten 1.6’ya tarihsel sayı tartışmasından kavramsal tanıma hazırlıksız geçiliyor</w:t>
      </w:r>
    </w:p>
    <w:p>
      <w:r>
        <w:rPr>
          <w:b/>
        </w:rPr>
        <w:t xml:space="preserve">Kategori: </w:t>
      </w:r>
      <w:r>
        <w:t>Alt başlık geçişi</w:t>
      </w:r>
    </w:p>
    <w:p>
      <w:r>
        <w:rPr>
          <w:b/>
        </w:rPr>
        <w:t xml:space="preserve">Önem: </w:t>
      </w:r>
      <w:r>
        <w:t>Orta</w:t>
      </w:r>
    </w:p>
    <w:p>
      <w:r>
        <w:rPr>
          <w:b/>
        </w:rPr>
        <w:t xml:space="preserve">Yer: </w:t>
      </w:r>
      <w:r>
        <w:t>1.5 sonu → 1.6 başlangıcı</w:t>
      </w:r>
    </w:p>
    <w:p>
      <w:r>
        <w:rPr>
          <w:b/>
        </w:rPr>
        <w:t>Kitaptaki ifade</w:t>
      </w:r>
    </w:p>
    <w:p>
      <w:pPr>
        <w:pStyle w:val="QuoteBlock"/>
      </w:pPr>
      <w:r>
        <w:t>Resm-i Osmânî, Kur’an ilimleri içerisinde hem yazı tarihi hem de metnin korunması açısından merkezî bir kavramdır. Bu kavramın doğru anlaşılabilmesi için gerek “resm” kelimesinin dilsel temeli, gerekse Hz. Osman döneminde gerçekleştirilen istinsah sürecinin tarihî bağlamı ile birlikte değerlendirilmesi gerekmektedir. Zira resm-i Osmânî yalnızca teknik bir yazım tercihini aşan ve Kur’an metninin yazı düzeyinde sabitlenmesini temsil eden tarihsel bir dönüm noktasıdır.</w:t>
      </w:r>
    </w:p>
    <w:p>
      <w:r>
        <w:rPr>
          <w:b/>
        </w:rPr>
        <w:t xml:space="preserve">Sorun: </w:t>
      </w:r>
      <w:r>
        <w:t>Nüsha sayısı ve merkezler tartışması bittikten sonra “Resm-i Osmânî, Kur’an ilimleri içerisinde...” şeklinde yeni bir kavramsal başlangıç yapılıyor; iki bahis arasındaki neden-sonuç ilişkisi görünmüyor.</w:t>
      </w:r>
    </w:p>
    <w:p>
      <w:r>
        <w:rPr>
          <w:b/>
        </w:rPr>
        <w:t xml:space="preserve">En uygun editoryal işlem: </w:t>
      </w:r>
      <w:r>
        <w:t>1.6’nın ilk cümlesini dağıtım meselesinden kavramsal tanıma bağla.</w:t>
      </w:r>
    </w:p>
    <w:p>
      <w:r>
        <w:rPr>
          <w:b/>
        </w:rPr>
        <w:t>Doğrudan kullanılabilecek biçim</w:t>
      </w:r>
    </w:p>
    <w:p>
      <w:pPr>
        <w:pStyle w:val="QuoteBlock"/>
      </w:pPr>
      <w:r>
        <w:t>Osmânî mushafların farklı merkezlerde ortak başvuru nüshaları hâline gelmesi, bu nüshalara nispet edilen yazım geleneğinin neyi ifade ettiğini açıklamayı gerekli kılmaktadır. Bu nedenle önce “resm” ve “resm-i Osmânî” kavramlarının dilsel ve ıstılâhî çerçevesi belirlenmelidir.</w:t>
      </w:r>
    </w:p>
    <w:p>
      <w:r>
        <w:rPr>
          <w:b/>
        </w:rPr>
        <w:t xml:space="preserve">Önceki kapsamlı raporla karşılaştırma: </w:t>
      </w:r>
      <w:r>
        <w:t>Yeni.</w:t>
      </w:r>
    </w:p>
    <w:p>
      <w:pPr>
        <w:pStyle w:val="Heading4"/>
        <w:keepNext/>
      </w:pPr>
      <w:r>
        <w:t>B1-AK-11. 1.6 üç ardışık meta-giriş paragrafıyla başlıyor</w:t>
      </w:r>
    </w:p>
    <w:p>
      <w:r>
        <w:rPr>
          <w:b/>
        </w:rPr>
        <w:t xml:space="preserve">Kategori: </w:t>
      </w:r>
      <w:r>
        <w:t>Meta-anlatım / Tekrar</w:t>
      </w:r>
    </w:p>
    <w:p>
      <w:r>
        <w:rPr>
          <w:b/>
        </w:rPr>
        <w:t xml:space="preserve">Önem: </w:t>
      </w:r>
      <w:r>
        <w:t>Orta</w:t>
      </w:r>
    </w:p>
    <w:p>
      <w:r>
        <w:rPr>
          <w:b/>
        </w:rPr>
        <w:t xml:space="preserve">Yer: </w:t>
      </w:r>
      <w:r>
        <w:t>1.6, s.24–25; 119–121</w:t>
      </w:r>
    </w:p>
    <w:p>
      <w:r>
        <w:rPr>
          <w:b/>
        </w:rPr>
        <w:t>Kitaptaki ifade</w:t>
      </w:r>
    </w:p>
    <w:p>
      <w:pPr>
        <w:pStyle w:val="QuoteBlock"/>
      </w:pPr>
      <w:r>
        <w:t>Bu çerçevede konuyu iki ana eksen üzerinde ele almak gerekmektedir. İlk olarak kavramın dilsel ve terimsel zemini ortaya konulmalı; ardından bu kavramın tarihsel süreç içerisinde nasıl normatif bir yazı biçimine dönüştüğü açıklanmalıdır.</w:t>
      </w:r>
    </w:p>
    <w:p>
      <w:r>
        <w:rPr>
          <w:b/>
        </w:rPr>
        <w:t xml:space="preserve">Sorun: </w:t>
      </w:r>
      <w:r>
        <w:t>119 kavramın önemini, 120 iki eksende nasıl ele alınacağını, 121 ise aynı iki eksenin neden gerektiğini anlatıyor. Asıl kavram çözümlemesi 122’de başlıyor.</w:t>
      </w:r>
    </w:p>
    <w:p>
      <w:r>
        <w:rPr>
          <w:b/>
        </w:rPr>
        <w:t xml:space="preserve">En uygun editoryal işlem: </w:t>
      </w:r>
      <w:r>
        <w:t>119–121’i tek kısa girişte birleştir.</w:t>
      </w:r>
    </w:p>
    <w:p>
      <w:r>
        <w:rPr>
          <w:b/>
        </w:rPr>
        <w:t>Doğrudan kullanılabilecek biçim</w:t>
      </w:r>
    </w:p>
    <w:p>
      <w:pPr>
        <w:pStyle w:val="QuoteBlock"/>
      </w:pPr>
      <w:r>
        <w:t>Resm-i Osmânî’nin kavramsal çerçevesi, kelimenin dilsel anlamı ile mushaf yazı geleneğinde kazandığı teknik anlam birlikte ele alınarak belirlenebilir. Bu ayrım, tarihsel oluşum ile sonraki normatif kullanımın birbirine karıştırılmaması bakımından önemlidir.</w:t>
      </w:r>
    </w:p>
    <w:p>
      <w:r>
        <w:rPr>
          <w:b/>
        </w:rPr>
        <w:t xml:space="preserve">Önceki kapsamlı raporla karşılaştırma: </w:t>
      </w:r>
      <w:r>
        <w:t>Yeni.</w:t>
      </w:r>
    </w:p>
    <w:p>
      <w:pPr>
        <w:pStyle w:val="Heading4"/>
        <w:keepNext/>
      </w:pPr>
      <w:r>
        <w:t>B1-AK-12. 1.6.2 lügat açıklamasını yeniden başlatarak 1.6.1’i tekrar ediyor</w:t>
      </w:r>
    </w:p>
    <w:p>
      <w:r>
        <w:rPr>
          <w:b/>
        </w:rPr>
        <w:t xml:space="preserve">Kategori: </w:t>
      </w:r>
      <w:r>
        <w:t>Alt başlık geçişi / Tekrar</w:t>
      </w:r>
    </w:p>
    <w:p>
      <w:r>
        <w:rPr>
          <w:b/>
        </w:rPr>
        <w:t xml:space="preserve">Önem: </w:t>
      </w:r>
      <w:r>
        <w:t>Orta</w:t>
      </w:r>
    </w:p>
    <w:p>
      <w:r>
        <w:rPr>
          <w:b/>
        </w:rPr>
        <w:t xml:space="preserve">Yer: </w:t>
      </w:r>
      <w:r>
        <w:t>1.6.1 → 1.6.2</w:t>
      </w:r>
    </w:p>
    <w:p>
      <w:r>
        <w:rPr>
          <w:b/>
        </w:rPr>
        <w:t>Kitaptaki ifade</w:t>
      </w:r>
    </w:p>
    <w:p>
      <w:pPr>
        <w:pStyle w:val="QuoteBlock"/>
      </w:pPr>
      <w:r>
        <w:t>Daha önce de ifade edildiği üzere “resm” kelimesi lügavî olarak “iz” “kalıntı” ve “belirginleşmiş” işaret kavramları etrafında şekillenmiştir. Bu anlam alanı, yazının mahiyetine dair güçlü bir anlatım sunar. Yazı, sözün geride bıraktığı kalıcı izdir. Ancak dilsel bir kökenden teknik bir terime geçiş, mecazi bir genişlemeden ziyade belirli bir ilmin ihtiyacının sonucudur. Nitekim Kur’an ilimlerinin teşekkülü sürecinde “resm” kavramı genel anlam alanından sıyrılarak özel bir yazım disiplinini ifade eden teknik bir terime dönüşmüştür.</w:t>
      </w:r>
    </w:p>
    <w:p>
      <w:r>
        <w:rPr>
          <w:b/>
        </w:rPr>
        <w:t xml:space="preserve">Sorun: </w:t>
      </w:r>
      <w:r>
        <w:t>Istılâhî çerçeveye geçilmesi gerekirken ilk paragraf yeniden “resm = iz/işaret/yazı” lügat çerçevesini anlatıyor. Alt başlıklar arasındaki işlev ayrımı zayıflıyor.</w:t>
      </w:r>
    </w:p>
    <w:p>
      <w:r>
        <w:rPr>
          <w:b/>
        </w:rPr>
        <w:t xml:space="preserve">En uygun editoryal işlem: </w:t>
      </w:r>
      <w:r>
        <w:t>1.6.2’yi doğrudan teknik kullanımdan başlat.</w:t>
      </w:r>
    </w:p>
    <w:p>
      <w:r>
        <w:rPr>
          <w:b/>
        </w:rPr>
        <w:t>Doğrudan kullanılabilecek biçim</w:t>
      </w:r>
    </w:p>
    <w:p>
      <w:pPr>
        <w:pStyle w:val="QuoteBlock"/>
      </w:pPr>
      <w:r>
        <w:t>Lügavî anlamın yazı ve temsil ekseninde belirginleşmesinden sonra, resm kavramı mushaf literatüründe Kur’an kelimelerinin yazılış özelliklerini ifade eden teknik bir kullanıma kavuşmuştur.</w:t>
      </w:r>
    </w:p>
    <w:p>
      <w:r>
        <w:rPr>
          <w:b/>
        </w:rPr>
        <w:t xml:space="preserve">Önceki kapsamlı raporla karşılaştırma: </w:t>
      </w:r>
      <w:r>
        <w:t>Yeni.</w:t>
      </w:r>
    </w:p>
    <w:p>
      <w:pPr>
        <w:pStyle w:val="Heading4"/>
        <w:keepNext/>
      </w:pPr>
      <w:r>
        <w:t>B1-AK-13. 1.6.2 “Sonuç olarak” paragrafıyla tanımı yeniden özetliyor</w:t>
      </w:r>
    </w:p>
    <w:p>
      <w:r>
        <w:rPr>
          <w:b/>
        </w:rPr>
        <w:t xml:space="preserve">Kategori: </w:t>
      </w:r>
      <w:r>
        <w:t>Gereksiz ara sonuç</w:t>
      </w:r>
    </w:p>
    <w:p>
      <w:r>
        <w:rPr>
          <w:b/>
        </w:rPr>
        <w:t xml:space="preserve">Önem: </w:t>
      </w:r>
      <w:r>
        <w:t>Düşük</w:t>
      </w:r>
    </w:p>
    <w:p>
      <w:r>
        <w:rPr>
          <w:b/>
        </w:rPr>
        <w:t xml:space="preserve">Yer: </w:t>
      </w:r>
      <w:r>
        <w:t>1.6.2 sonu, 133. paragraf</w:t>
      </w:r>
    </w:p>
    <w:p>
      <w:r>
        <w:rPr>
          <w:b/>
        </w:rPr>
        <w:t>Kitaptaki ifade</w:t>
      </w:r>
    </w:p>
    <w:p>
      <w:pPr>
        <w:pStyle w:val="QuoteBlock"/>
      </w:pPr>
      <w:r>
        <w:t>Sonuç olarak Cürcânî ve Kastallânî’nin tanımları, resmin ıstılâhî çerçevesini iki temel prensip üzerine oturtur ve bunları, temsil ve uygunluk olarak belirler. Bu iki prensip resm-i Osmânî’nin anlaşılmasında daha belirleyici olacaktır. Çünkü resm-i Osmânî de lafzın harf düzeniyle sabitlenmesini ve yazının lafzı koruyacak biçimde şekillenmesini ifade eder. Böylece yazı, sadece sözün kaydı değil, onun korunmuş ve düzenlenmiş hâli olarak ortaya çıkar.</w:t>
      </w:r>
    </w:p>
    <w:p>
      <w:r>
        <w:rPr>
          <w:b/>
        </w:rPr>
        <w:t xml:space="preserve">Sorun: </w:t>
      </w:r>
      <w:r>
        <w:t>Cürcânî ve Kastallânî’nin tanımları önceki paragraflarda zaten açıklanmıştır. 133 aynı iki ilkeyi yeniden söyleyip 1.7’ye geçmeden bir mini-sonuç oluşturuyor.</w:t>
      </w:r>
    </w:p>
    <w:p>
      <w:r>
        <w:rPr>
          <w:b/>
        </w:rPr>
        <w:t xml:space="preserve">En uygun editoryal işlem: </w:t>
      </w:r>
      <w:r>
        <w:t>Tek cümlelik kavramsal köprüye dönüştür.</w:t>
      </w:r>
    </w:p>
    <w:p>
      <w:r>
        <w:rPr>
          <w:b/>
        </w:rPr>
        <w:t>Doğrudan kullanılabilecek biçim</w:t>
      </w:r>
    </w:p>
    <w:p>
      <w:pPr>
        <w:pStyle w:val="QuoteBlock"/>
      </w:pPr>
      <w:r>
        <w:t>Cürcânî ve Kastallânî’nin tanımları, resmin ıstılâhî çerçevesinde temsil ve uygunluk ilkelerini öne çıkarmaktadır. Bu iki ilke, resm-i Osmânî’nin tanımı ve mahiyetini ele alan sonraki tartışma için kavramsal zemin sağlar.</w:t>
      </w:r>
    </w:p>
    <w:p>
      <w:r>
        <w:rPr>
          <w:b/>
        </w:rPr>
        <w:t xml:space="preserve">Önceki kapsamlı raporla karşılaştırma: </w:t>
      </w:r>
      <w:r>
        <w:t>Yeni.</w:t>
      </w:r>
    </w:p>
    <w:p>
      <w:pPr>
        <w:pStyle w:val="Heading4"/>
        <w:keepNext/>
      </w:pPr>
      <w:r>
        <w:t>B1-AK-14. 1.7’de üç ayrı ara sonuç aynı alt başlığı tekrar tekrar kapatıyor</w:t>
      </w:r>
    </w:p>
    <w:p>
      <w:r>
        <w:rPr>
          <w:b/>
        </w:rPr>
        <w:t xml:space="preserve">Kategori: </w:t>
      </w:r>
      <w:r>
        <w:t>Gereksiz ara sonuç / Formülaik anlatım</w:t>
      </w:r>
    </w:p>
    <w:p>
      <w:r>
        <w:rPr>
          <w:b/>
        </w:rPr>
        <w:t xml:space="preserve">Önem: </w:t>
      </w:r>
      <w:r>
        <w:t>Orta</w:t>
      </w:r>
    </w:p>
    <w:p>
      <w:r>
        <w:rPr>
          <w:b/>
        </w:rPr>
        <w:t xml:space="preserve">Yer: </w:t>
      </w:r>
      <w:r>
        <w:t>1.7; 140, 145 ve 151. paragraflar</w:t>
      </w:r>
    </w:p>
    <w:p>
      <w:r>
        <w:rPr>
          <w:b/>
        </w:rPr>
        <w:t>Kitaptaki ifade</w:t>
      </w:r>
    </w:p>
    <w:p>
      <w:pPr>
        <w:pStyle w:val="QuoteBlock"/>
      </w:pPr>
      <w:r>
        <w:t>Sonuç olarak es-Sicistânî, resm-i Osmânî’yi açık bir terim tanımıyla net bir biçimde ifade etmese de, Osman mushaflarının yazımını sahâbe nakline dayanan bağlayıcı bir metin geleneği olarak sunmuştur.</w:t>
      </w:r>
    </w:p>
    <w:p>
      <w:r>
        <w:rPr>
          <w:b/>
        </w:rPr>
        <w:t xml:space="preserve">Sorun: </w:t>
      </w:r>
      <w:r>
        <w:t>140 es-Sicistânî’yi, 145 erken/klasik yaklaşımı, 151 çağdaş araştırmacıları “Sonuç olarak” diye kapatıyor. Alt başlık üç küçük sonuç blokuna bölünüyor.</w:t>
      </w:r>
    </w:p>
    <w:p>
      <w:r>
        <w:rPr>
          <w:b/>
        </w:rPr>
        <w:t xml:space="preserve">En uygun editoryal işlem: </w:t>
      </w:r>
      <w:r>
        <w:t>140 ve 145’i geçiş cümlesine çevir; yalnız 151’de kısa bir genel sentez bırak.</w:t>
      </w:r>
    </w:p>
    <w:p>
      <w:r>
        <w:rPr>
          <w:b/>
        </w:rPr>
        <w:t>Doğrudan kullanılabilecek biçim</w:t>
      </w:r>
    </w:p>
    <w:p>
      <w:pPr>
        <w:pStyle w:val="QuoteBlock"/>
      </w:pPr>
      <w:r>
        <w:t>Es-Sicistânî’nin aktardığı mushaf rivâyetleri, açık bir terim tanımı vermese de Osman mushaflarının yazımını nakledilen bir metin geleneği içinde ele alır. Bu çizginin sonraki resm literatüründe nasıl kavramsallaştırıldığı aşağıdaki değerlendirmelerde daha belirgin hâle gelmektedir.</w:t>
      </w:r>
    </w:p>
    <w:p>
      <w:r>
        <w:rPr>
          <w:b/>
        </w:rPr>
        <w:t xml:space="preserve">Önceki kapsamlı raporla karşılaştırma: </w:t>
      </w:r>
      <w:r>
        <w:t>Yeni.</w:t>
      </w:r>
    </w:p>
    <w:p>
      <w:pPr>
        <w:pStyle w:val="Heading4"/>
        <w:keepNext/>
      </w:pPr>
      <w:r>
        <w:t>B1-AK-15. 1.8’de tartışma ilerledikten sonra temel soru yeniden kuruluyor</w:t>
      </w:r>
    </w:p>
    <w:p>
      <w:r>
        <w:rPr>
          <w:b/>
        </w:rPr>
        <w:t xml:space="preserve">Kategori: </w:t>
      </w:r>
      <w:r>
        <w:t>Yapısal / Geri dönüş</w:t>
      </w:r>
    </w:p>
    <w:p>
      <w:r>
        <w:rPr>
          <w:b/>
        </w:rPr>
        <w:t xml:space="preserve">Önem: </w:t>
      </w:r>
      <w:r>
        <w:t>Yüksek</w:t>
      </w:r>
    </w:p>
    <w:p>
      <w:r>
        <w:rPr>
          <w:b/>
        </w:rPr>
        <w:t xml:space="preserve">Yer: </w:t>
      </w:r>
      <w:r>
        <w:t>1.8, s.31–34; 153–171</w:t>
      </w:r>
    </w:p>
    <w:p>
      <w:r>
        <w:rPr>
          <w:b/>
        </w:rPr>
        <w:t>Kitaptaki ifade</w:t>
      </w:r>
    </w:p>
    <w:p>
      <w:pPr>
        <w:pStyle w:val="QuoteBlock"/>
      </w:pPr>
      <w:r>
        <w:t>Öte yandan bu, resm-i Osmânî tartışmasının klasik literatürdeki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w:t>
      </w:r>
    </w:p>
    <w:p>
      <w:r>
        <w:rPr>
          <w:b/>
        </w:rPr>
        <w:t xml:space="preserve">Sorun: </w:t>
      </w:r>
      <w:r>
        <w:t>153–157 iki yaklaşımı açıp Bâkıllânî’ye kadar ilerledikten sonra 158 yeniden “mesele iki soruda düğümlenir” diyerek tartışmayı başa sarıyor; 159–163 tevkîfî görüşün delillerini ikinci kez kuruyor.</w:t>
      </w:r>
    </w:p>
    <w:p>
      <w:r>
        <w:rPr>
          <w:b/>
        </w:rPr>
        <w:t xml:space="preserve">En uygun editoryal işlem: </w:t>
      </w:r>
      <w:r>
        <w:t>Soruları 153’e taşı; 154–156 tevkîfî deliller, 157 ve devamı karşı görüş/eleştiri, 171 tek sentez sırasını koru.</w:t>
      </w:r>
    </w:p>
    <w:p>
      <w:r>
        <w:rPr>
          <w:b/>
        </w:rPr>
        <w:t>Doğrudan kullanılabilecek biçim</w:t>
      </w:r>
    </w:p>
    <w:p>
      <w:pPr>
        <w:pStyle w:val="QuoteBlock"/>
      </w:pPr>
      <w:r>
        <w:t>Resm-i Osmânî’nin tevkîfîliği tartışması iki soruda yoğunlaşmaktadır: belirli yazım biçiminin Hz. Peygamber’den bağlayıcı bir talimatla sabit olup olmadığı ve sonraki mushaf yazımında bu biçime bağlılığın hangi gerekçelerle savunulduğu. Bu iki soru çerçevesinde önce tevkîfîlik lehindeki rivâyetler, ardından bunlara yöneltilen itirazlar ele alınabilir.</w:t>
      </w:r>
    </w:p>
    <w:p>
      <w:r>
        <w:rPr>
          <w:b/>
        </w:rPr>
        <w:t xml:space="preserve">Önceki kapsamlı raporla karşılaştırma: </w:t>
      </w:r>
      <w:r>
        <w:t>Kısmen yeni: önceki rapor bu bölümün bilimsel/kaynak sorunlarını ayrıntılı ele aldı; iç sıralamadaki geri dönüş ayrıca raporlanmamıştı.</w:t>
      </w:r>
    </w:p>
    <w:p>
      <w:pPr>
        <w:pStyle w:val="Heading4"/>
        <w:keepNext/>
      </w:pPr>
      <w:r>
        <w:t>B1-AK-16. 1.9 genel giriş bölümü ayrıntılar başlamadan kesin sonuç üretiyor</w:t>
      </w:r>
    </w:p>
    <w:p>
      <w:r>
        <w:rPr>
          <w:b/>
        </w:rPr>
        <w:t xml:space="preserve">Kategori: </w:t>
      </w:r>
      <w:r>
        <w:t>Gereksiz ara sonuç / Geçiş</w:t>
      </w:r>
    </w:p>
    <w:p>
      <w:r>
        <w:rPr>
          <w:b/>
        </w:rPr>
        <w:t xml:space="preserve">Önem: </w:t>
      </w:r>
      <w:r>
        <w:t>Orta</w:t>
      </w:r>
    </w:p>
    <w:p>
      <w:r>
        <w:rPr>
          <w:b/>
        </w:rPr>
        <w:t xml:space="preserve">Yer: </w:t>
      </w:r>
      <w:r>
        <w:t>1.9, 173–176</w:t>
      </w:r>
    </w:p>
    <w:p>
      <w:r>
        <w:rPr>
          <w:b/>
        </w:rPr>
        <w:t>Kitaptaki ifade</w:t>
      </w:r>
    </w:p>
    <w:p>
      <w:pPr>
        <w:pStyle w:val="QuoteBlock"/>
      </w:pPr>
      <w:r>
        <w:t>Sonuç olarak resm-i Osmânî’nin kıyasî yazımdan ayrılışı, düzensiz bir imlâ sapması değil, erken dönem İslâm toplumunun Kur’an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Kur’an metin tarihini sağlıklı yorumlayabilmenin temel şartlarından biri olarak görülmüştür.</w:t>
      </w:r>
    </w:p>
    <w:p>
      <w:r>
        <w:rPr>
          <w:b/>
        </w:rPr>
        <w:t xml:space="preserve">Sorun: </w:t>
      </w:r>
      <w:r>
        <w:t>1.9 henüz resm kurallarını tanıtmadan “erken İslâm toplumunun Kur’an metnini hem yazı hem kırâat düzeyinde koruma çabasının ürünüdür” şeklinde kapsamlı sonuç veriyor; 1.9.1’de ayrıntılar daha sonra geliyor.</w:t>
      </w:r>
    </w:p>
    <w:p>
      <w:r>
        <w:rPr>
          <w:b/>
        </w:rPr>
        <w:t xml:space="preserve">En uygun editoryal işlem: </w:t>
      </w:r>
      <w:r>
        <w:t>176’yı sonuç olmaktan çıkarıp kuralların incelemesine geçiş cümlesine dönüştür.</w:t>
      </w:r>
    </w:p>
    <w:p>
      <w:r>
        <w:rPr>
          <w:b/>
        </w:rPr>
        <w:t>Doğrudan kullanılabilecek biçim</w:t>
      </w:r>
    </w:p>
    <w:p>
      <w:pPr>
        <w:pStyle w:val="QuoteBlock"/>
      </w:pPr>
      <w:r>
        <w:t>Bu genel çerçevenin hangi yazım özellikleri üzerinden ortaya çıktığını görebilmek için resm kaynaklarında sıralanan imlâ kurallarını ayrı ayrı incelemek gerekir.</w:t>
      </w:r>
    </w:p>
    <w:p>
      <w:r>
        <w:rPr>
          <w:b/>
        </w:rPr>
        <w:t xml:space="preserve">Önceki kapsamlı raporla karşılaştırma: </w:t>
      </w:r>
      <w:r>
        <w:t>Yeni.</w:t>
      </w:r>
    </w:p>
    <w:p>
      <w:pPr>
        <w:pStyle w:val="Heading4"/>
        <w:keepNext/>
      </w:pPr>
      <w:r>
        <w:t>B1-AK-17. Hazf alt başlığında örnek dizisi “Sonuç olarak”la gereksiz ikinci kez özetleniyor</w:t>
      </w:r>
    </w:p>
    <w:p>
      <w:r>
        <w:rPr>
          <w:b/>
        </w:rPr>
        <w:t xml:space="preserve">Kategori: </w:t>
      </w:r>
      <w:r>
        <w:t>Gereksiz ara sonuç</w:t>
      </w:r>
    </w:p>
    <w:p>
      <w:r>
        <w:rPr>
          <w:b/>
        </w:rPr>
        <w:t xml:space="preserve">Önem: </w:t>
      </w:r>
      <w:r>
        <w:t>Düşük</w:t>
      </w:r>
    </w:p>
    <w:p>
      <w:r>
        <w:rPr>
          <w:b/>
        </w:rPr>
        <w:t xml:space="preserve">Yer: </w:t>
      </w:r>
      <w:r>
        <w:t>1.9.1, hazf, 185. paragraf</w:t>
      </w:r>
    </w:p>
    <w:p>
      <w:r>
        <w:rPr>
          <w:b/>
        </w:rPr>
        <w:t>Kitaptaki ifade</w:t>
      </w:r>
    </w:p>
    <w:p>
      <w:pPr>
        <w:pStyle w:val="QuoteBlock"/>
      </w:pPr>
      <w:r>
        <w:t>Med harflerinin hazfi: Özellikle “elif” olmak üzere med harflerinin yazılmaması çok yaygındır. Örnek olarak; mushaf yazımında السموت kelimesi elifsiz yazılırken normal okuyuşta السَّمَاوَات şeklinde okunmuştur. Zira bu tür örneklerin bütün resm kaynaklarında sıkça tekrar ettiği görülür. Sonuç olarak hazf, resm-i Osmânî’nin en yaygın, işlevsel ve kırâatlerle yakından ilişkili kuralıdır. Hazf, doğrudan kırâat amacı taşımasa da, özellikle bazı örneklerde Osmânî yazımın tek metinde çoklu okuyuşu koruma kabiliyeti açık biçimde görülür.</w:t>
      </w:r>
    </w:p>
    <w:p>
      <w:r>
        <w:rPr>
          <w:b/>
        </w:rPr>
        <w:t xml:space="preserve">Sorun: </w:t>
      </w:r>
      <w:r>
        <w:t>Hazfin türleri 182–185 arasında zaten sınıflandırılmıştır. Son iki cümle “en yaygın, işlevsel, kırâatlerle yakından ilişkili” diye yeniden genelleme yapıyor ve kanıt düzeyini de genişletiyor.</w:t>
      </w:r>
    </w:p>
    <w:p>
      <w:r>
        <w:rPr>
          <w:b/>
        </w:rPr>
        <w:t xml:space="preserve">En uygun editoryal işlem: </w:t>
      </w:r>
      <w:r>
        <w:t>Kısa, örnek-bağımlı bir kapanış bırak.</w:t>
      </w:r>
    </w:p>
    <w:p>
      <w:r>
        <w:rPr>
          <w:b/>
        </w:rPr>
        <w:t>Doğrudan kullanılabilecek biçim</w:t>
      </w:r>
    </w:p>
    <w:p>
      <w:pPr>
        <w:pStyle w:val="QuoteBlock"/>
      </w:pPr>
      <w:r>
        <w:t>Hazf, resm-i Osmânî’de yaygın görülen bir yazım özelliğidir; kırâatle ilişkisi ise örneğe göre değişmektedir. Bazı kullanımlar kırâat ihtimalleriyle ilişkilendirilebilirken bazıları erken yazım geleneği içinde açıklanmaktadır.</w:t>
      </w:r>
    </w:p>
    <w:p>
      <w:r>
        <w:rPr>
          <w:b/>
        </w:rPr>
        <w:t xml:space="preserve">Önceki kapsamlı raporla karşılaştırma: </w:t>
      </w:r>
      <w:r>
        <w:t>Yeni.</w:t>
      </w:r>
    </w:p>
    <w:p>
      <w:pPr>
        <w:pStyle w:val="Heading4"/>
        <w:keepNext/>
      </w:pPr>
      <w:r>
        <w:t>B1-AK-18. 1.9.2’nin sonundaki üç paragraf aynı sentezi farklı kelimelerle tekrarlıyor</w:t>
      </w:r>
    </w:p>
    <w:p>
      <w:r>
        <w:rPr>
          <w:b/>
        </w:rPr>
        <w:t xml:space="preserve">Kategori: </w:t>
      </w:r>
      <w:r>
        <w:t>Tekrar / Formülaik anlatım</w:t>
      </w:r>
    </w:p>
    <w:p>
      <w:r>
        <w:rPr>
          <w:b/>
        </w:rPr>
        <w:t xml:space="preserve">Önem: </w:t>
      </w:r>
      <w:r>
        <w:t>Yüksek</w:t>
      </w:r>
    </w:p>
    <w:p>
      <w:r>
        <w:rPr>
          <w:b/>
        </w:rPr>
        <w:t xml:space="preserve">Yer: </w:t>
      </w:r>
      <w:r>
        <w:t>1.9.2, 199–201</w:t>
      </w:r>
    </w:p>
    <w:p>
      <w:r>
        <w:rPr>
          <w:b/>
        </w:rPr>
        <w:t>Kitaptaki ifade</w:t>
      </w:r>
    </w:p>
    <w:p>
      <w:pPr>
        <w:pStyle w:val="QuoteBlock"/>
      </w:pPr>
      <w:r>
        <w:t>Resm-i Osmânî’nin yazım kuralları mushaf yazımının rastgele değil belirli bir gelenek çerçevesinde şekillendiğini göstermektedir. Genel olarak bir bütünlük içinde değerlendirildiğinde resm-i Osmânî yalnızca bir yazım biçimi değil, kırâat geleneği ile yazılı mushaf arasında denge kuran tarihî bir yazı sistemidir. Yukarıda zikredilen kuralların tamamı Kur’an metninin aktarım sıhhatini ve belli ölçüde okuyuş farklılıklarını muhafaza eden, birden fazla yönü olan bir yapı ortaya koymaktadır.</w:t>
      </w:r>
    </w:p>
    <w:p>
      <w:r>
        <w:rPr>
          <w:b/>
        </w:rPr>
        <w:t xml:space="preserve">Sorun: </w:t>
      </w:r>
      <w:r>
        <w:t>199 “denge kuran tarihî sistem”, 200 “önemli sonuçlar”, 201 “yalnız imlâ standardı değil kırâati muhafaza eden sistem” diyerek aynı hükmü üç kez kuruyor.</w:t>
      </w:r>
    </w:p>
    <w:p>
      <w:r>
        <w:rPr>
          <w:b/>
        </w:rPr>
        <w:t xml:space="preserve">En uygun editoryal işlem: </w:t>
      </w:r>
      <w:r>
        <w:t>199–201’i tek, ihtiyatlı sentez paragrafında birleştir.</w:t>
      </w:r>
    </w:p>
    <w:p>
      <w:r>
        <w:rPr>
          <w:b/>
        </w:rPr>
        <w:t>Doğrudan kullanılabilecek biçim</w:t>
      </w:r>
    </w:p>
    <w:p>
      <w:pPr>
        <w:pStyle w:val="QuoteBlock"/>
      </w:pPr>
      <w:r>
        <w:t>Bu örnekler, resm-i Osmânî’nin bazı yerlerde birden fazla sahih okuyuşla bağdaşabildiğini göstermektedir. Bununla birlikte bu imkânın bütün resm kurallarının aynı amaçla oluşturulduğu şeklinde genelleştirilmemesi; erken yazı özellikleri ile kırâat ihtimallerinin örnek bazında ayrılması gerekir.</w:t>
      </w:r>
    </w:p>
    <w:p>
      <w:r>
        <w:rPr>
          <w:b/>
        </w:rPr>
        <w:t xml:space="preserve">Önceki kapsamlı raporla karşılaştırma: </w:t>
      </w:r>
      <w:r>
        <w:t>Yeni; önceki rapor bu kısımda nedensellik sorunlarını ele aldı, üçlü kapanış örüntüsünü ayrıca göstermedi.</w:t>
      </w:r>
    </w:p>
    <w:p>
      <w:pPr>
        <w:pStyle w:val="Heading4"/>
        <w:keepNext/>
      </w:pPr>
      <w:r>
        <w:t>B1-AK-19. 1.10 kabul ölçülerini kronolojik ilerleme yerine döngüsel biçimde anlatıyor</w:t>
      </w:r>
    </w:p>
    <w:p>
      <w:r>
        <w:rPr>
          <w:b/>
        </w:rPr>
        <w:t xml:space="preserve">Kategori: </w:t>
      </w:r>
      <w:r>
        <w:t>Yapısal / Tekrar</w:t>
      </w:r>
    </w:p>
    <w:p>
      <w:r>
        <w:rPr>
          <w:b/>
        </w:rPr>
        <w:t xml:space="preserve">Önem: </w:t>
      </w:r>
      <w:r>
        <w:t>Yüksek</w:t>
      </w:r>
    </w:p>
    <w:p>
      <w:r>
        <w:rPr>
          <w:b/>
        </w:rPr>
        <w:t xml:space="preserve">Yer: </w:t>
      </w:r>
      <w:r>
        <w:t>1.10, s.40–44; 205–218</w:t>
      </w:r>
    </w:p>
    <w:p>
      <w:r>
        <w:rPr>
          <w:b/>
        </w:rPr>
        <w:t>Kitaptaki ifade</w:t>
      </w:r>
    </w:p>
    <w:p>
      <w:pPr>
        <w:pStyle w:val="QuoteBlock"/>
      </w:pPr>
      <w:r>
        <w:t>Âlimlerin eserlerinde erken dönem sahih kırâatleri belirleme unsuru, üç temel hassasiyetle öne çıkmıştır. Bunlar; (i) Rivâyetin güvenilir olması, (ii) Okuyuşun Arap diline uygun olması ve (iii) Resm-i Osmânî’ye açık aykırılık taşımamasıdır. Erken dönemde bu üç unsur henüz açık ve sistemli bir ölçü çerçevesi hâline getirilmemiştir, fakat pratikte bu şartlar kırâat değerlendirmesinin ana çerçevesini oluşturmuştur. Diğer bir ifadeyle erken dönem âlimleri kırâatleri değerlendirirken geniş yönlü bir denge gözetmişlerdir. Ebû Ubeyde Kâsım b. Sellâm (ö.…</w:t>
      </w:r>
    </w:p>
    <w:p>
      <w:r>
        <w:rPr>
          <w:b/>
        </w:rPr>
        <w:t xml:space="preserve">Sorun: </w:t>
      </w:r>
      <w:r>
        <w:t>205 üç ölçüyü tanıtır; 207 bunları ayrıntılandırır; 209–213 İbn Mücâhid’de aynı üçlü yapıyı yeniden kurar; 215 İbnü’l-Cezerî’yi tekrar üç ölçüyle anlatır; 216 bunu yeniden özetler; 217 sonraki kabulü bir kez daha aynı formülle açıklar; 218 sonuç paragrafıdır.</w:t>
      </w:r>
    </w:p>
    <w:p>
      <w:r>
        <w:rPr>
          <w:b/>
        </w:rPr>
        <w:t xml:space="preserve">En uygun editoryal işlem: </w:t>
      </w:r>
      <w:r>
        <w:t>Tek kronoloji kur: erken pratik → İbn Mücâhid → İbnü’l-Cezerî’nin sistemleştirmesi → sonraki kabul. 205/207, 215/216 ve 217/218 tekrarlarını birleştir.</w:t>
      </w:r>
    </w:p>
    <w:p>
      <w:r>
        <w:rPr>
          <w:b/>
        </w:rPr>
        <w:t>Doğrudan kullanılabilecek biçim</w:t>
      </w:r>
    </w:p>
    <w:p>
      <w:pPr>
        <w:pStyle w:val="QuoteBlock"/>
      </w:pPr>
      <w:r>
        <w:t>Erken dönemde rivâyetin güvenilirliği, Arap diline uygunluk ve mushaf hattına açık aykırılık taşımama ilkeleri uygulama içinde birlikte gözetilmiştir. İbn Mücâhid’in tasnifi bu sınırlandırma sürecinin önemli bir aşamasını oluşturmuş, İbnü’l-Cezerî ise daha önce farklı biçimlerde işletilen ölçüleri açık bir usul çerçevesinde sistemleştirmiştir. Sonraki kırâat literatürü de resm-i Osmânî’ye uygunluğu bu bütünün unsurlarından biri olarak sürdürmüştür.</w:t>
      </w:r>
    </w:p>
    <w:p>
      <w:r>
        <w:rPr>
          <w:b/>
        </w:rPr>
        <w:t xml:space="preserve">Önceki kapsamlı raporla karşılaştırma: </w:t>
      </w:r>
      <w:r>
        <w:t>Kısmen yeni: önceki rapor 1.10’daki kronoloji ve bilimsel sorunları ele aldı; tekrar döngüsü yeni olarak ayrıntılandırılmıştır.</w:t>
      </w:r>
    </w:p>
    <w:p>
      <w:pPr>
        <w:pStyle w:val="Heading2"/>
        <w:keepNext/>
      </w:pPr>
      <w:r>
        <w:t>6. İkinci Bölüm</w:t>
      </w:r>
    </w:p>
    <w:p>
      <w:pPr>
        <w:pStyle w:val="Heading4"/>
        <w:keepNext/>
      </w:pPr>
      <w:r>
        <w:t>B2-AK-01. 2.1’in sonu 2.2’nin konusunu önceden ayrıntılı biçimde tüketiyor</w:t>
      </w:r>
    </w:p>
    <w:p>
      <w:r>
        <w:rPr>
          <w:b/>
        </w:rPr>
        <w:t xml:space="preserve">Kategori: </w:t>
      </w:r>
      <w:r>
        <w:t>Alt başlık sınırı / Tekrar</w:t>
      </w:r>
    </w:p>
    <w:p>
      <w:r>
        <w:rPr>
          <w:b/>
        </w:rPr>
        <w:t xml:space="preserve">Önem: </w:t>
      </w:r>
      <w:r>
        <w:t>Yüksek</w:t>
      </w:r>
    </w:p>
    <w:p>
      <w:r>
        <w:rPr>
          <w:b/>
        </w:rPr>
        <w:t xml:space="preserve">Yer: </w:t>
      </w:r>
      <w:r>
        <w:t>2.1 → 2.2; 230–235</w:t>
      </w:r>
    </w:p>
    <w:p>
      <w:r>
        <w:rPr>
          <w:b/>
        </w:rPr>
        <w:t>Kitaptaki ifade</w:t>
      </w:r>
    </w:p>
    <w:p>
      <w:pPr>
        <w:pStyle w:val="QuoteBlock"/>
      </w:pPr>
      <w:r>
        <w:t>Önceki paragraf: “Kırâat ilminin en belirgin özelliği, onun rivâyet temelli olmasıdır. Yani kırâat, dilcilerin serbest yorum alanına girmez. Bir okuyuş Arap dili bakımından mümkün görünse bile, güvenilir bir rivâyete dayanmıyorsa kırâat sayılmaz. Bu yüzden klasik âlimler, kırâat ahzının kitaplardan çok ehil bir hocadan yüz yüze (telakki yoluyla)…”</w:t>
        <w:br/>
        <w:t>Sonraki paragraf: “Kırâat ilmini anlamanın en sağlam yollarından biri, onu sadece “farklı okuyuşlar” meselesi olarak değil, rivâyet, sened ve ilmî otorite üzerine kurulmuş bir aktarım düzeni olarak ele almaktır. Çünkü kırâatler, dilde mümkün olan bütün okuma şekillerinin toplamından ibaret değildir; güvenilir yollarla nakledilmiş, ilim…”</w:t>
      </w:r>
    </w:p>
    <w:p>
      <w:r>
        <w:rPr>
          <w:b/>
        </w:rPr>
        <w:t xml:space="preserve">Sorun: </w:t>
      </w:r>
      <w:r>
        <w:t>2.1’in 230. paragrafı rivâyet, telakki, sened ve kabul şartlarını ayrıntılı biçimde açıklıyor. 2.2 ve özellikle 2.2.1 aynı “dilde mümkün olmak yetmez, güvenilir nakil gerekir” fikriyle yeniden başlıyor.</w:t>
      </w:r>
    </w:p>
    <w:p>
      <w:r>
        <w:rPr>
          <w:b/>
        </w:rPr>
        <w:t xml:space="preserve">En uygun editoryal işlem: </w:t>
      </w:r>
      <w:r>
        <w:t>2.1’i tanım ve kısa tarihçeyle kapat; rivâyet/sened/kabul ölçülerini 2.2’ye bırak.</w:t>
      </w:r>
    </w:p>
    <w:p>
      <w:r>
        <w:rPr>
          <w:b/>
        </w:rPr>
        <w:t>Doğrudan kullanılabilecek biçim</w:t>
      </w:r>
    </w:p>
    <w:p>
      <w:pPr>
        <w:pStyle w:val="QuoteBlock"/>
      </w:pPr>
      <w:r>
        <w:t>Kırâatin ayırt edici yönü, okuyuş farklılıklarının nakledenlere nispet edilerek bilinmesidir. Bu rivâyet temelli yapının nasıl işlediği, sened ve ilmî otoriteyle ilişkisi sonraki başlıkta ele alınacaktır.</w:t>
      </w:r>
    </w:p>
    <w:p>
      <w:r>
        <w:rPr>
          <w:b/>
        </w:rPr>
        <w:t xml:space="preserve">Önceki kapsamlı raporla karşılaştırma: </w:t>
      </w:r>
      <w:r>
        <w:t>Yeni/kısmen yeni.</w:t>
      </w:r>
    </w:p>
    <w:p>
      <w:pPr>
        <w:pStyle w:val="Heading4"/>
        <w:keepNext/>
      </w:pPr>
      <w:r>
        <w:t>B2-AK-02. 2.1 “Netice itibarıyla” paragrafıyla başlığın tamamını yeniden özetliyor</w:t>
      </w:r>
    </w:p>
    <w:p>
      <w:r>
        <w:rPr>
          <w:b/>
        </w:rPr>
        <w:t xml:space="preserve">Kategori: </w:t>
      </w:r>
      <w:r>
        <w:t>Gereksiz ara sonuç</w:t>
      </w:r>
    </w:p>
    <w:p>
      <w:r>
        <w:rPr>
          <w:b/>
        </w:rPr>
        <w:t xml:space="preserve">Önem: </w:t>
      </w:r>
      <w:r>
        <w:t>Düşük</w:t>
      </w:r>
    </w:p>
    <w:p>
      <w:r>
        <w:rPr>
          <w:b/>
        </w:rPr>
        <w:t xml:space="preserve">Yer: </w:t>
      </w:r>
      <w:r>
        <w:t>2.1 son paragraf, 231</w:t>
      </w:r>
    </w:p>
    <w:p>
      <w:r>
        <w:rPr>
          <w:b/>
        </w:rPr>
        <w:t>Kitaptaki ifade</w:t>
      </w:r>
    </w:p>
    <w:p>
      <w:pPr>
        <w:pStyle w:val="QuoteBlock"/>
      </w:pPr>
      <w:r>
        <w:t>Netice itibarıyla kırâat kavramı Kur’an lafzının güvenilir yollarla nakledilmiş okuyuş biçimlerini ifade etmektedir. Bu kavramın tarihi, vahiy ve tebliğ sürecine, ortaya çıkışı ise, Kur’an’ın doğru okunmasını koruma, lehçe farklılıklarını dikkate alma ve İslâm coğrafyasında okuyuş birliğini güvence altına alma ihtiyacına dayanmaktadır. Zamanla bağımsız bir ilim hâline gelen kırâat, rivâyet temelli yapısı sayesinde Kur’an’ın sadece yazılı metnini değil, sözlü aktarım geleneğini de koruyan temel disiplinlerden biri olmuştur.</w:t>
      </w:r>
    </w:p>
    <w:p>
      <w:r>
        <w:rPr>
          <w:b/>
        </w:rPr>
        <w:t xml:space="preserve">Sorun: </w:t>
      </w:r>
      <w:r>
        <w:t>Paragraf tanım, tarih, ortaya çıkış nedenleri ve sözlü aktarımın korunması gibi önceki bütün unsurları yeniden sayıyor. Yeni bir analitik çıkarım eklemiyor.</w:t>
      </w:r>
    </w:p>
    <w:p>
      <w:r>
        <w:rPr>
          <w:b/>
        </w:rPr>
        <w:t xml:space="preserve">En uygun editoryal işlem: </w:t>
      </w:r>
      <w:r>
        <w:t>Paragrafı geçiş cümlesine indir.</w:t>
      </w:r>
    </w:p>
    <w:p>
      <w:r>
        <w:rPr>
          <w:b/>
        </w:rPr>
        <w:t>Doğrudan kullanılabilecek biçim</w:t>
      </w:r>
    </w:p>
    <w:p>
      <w:pPr>
        <w:pStyle w:val="QuoteBlock"/>
      </w:pPr>
      <w:r>
        <w:t>Bu tarihsel ve kavramsal çerçeve, kırâatin rivâyet, sened ve ilmî otorite üzerine kurulu aktarım düzenini ayrıca incelemeyi gerekli kılmaktadır.</w:t>
      </w:r>
    </w:p>
    <w:p>
      <w:r>
        <w:rPr>
          <w:b/>
        </w:rPr>
        <w:t xml:space="preserve">Önceki kapsamlı raporla karşılaştırma: </w:t>
      </w:r>
      <w:r>
        <w:t>Yeni.</w:t>
      </w:r>
    </w:p>
    <w:p>
      <w:pPr>
        <w:pStyle w:val="Heading4"/>
        <w:keepNext/>
      </w:pPr>
      <w:r>
        <w:t>B2-AK-03. Rivâyet, sened ve otorite alt başlıkları aynı negatif tanım kalıbıyla açılıyor</w:t>
      </w:r>
    </w:p>
    <w:p>
      <w:r>
        <w:rPr>
          <w:b/>
        </w:rPr>
        <w:t xml:space="preserve">Kategori: </w:t>
      </w:r>
      <w:r>
        <w:t>Formülaik anlatım / Alt başlık ayrımı</w:t>
      </w:r>
    </w:p>
    <w:p>
      <w:r>
        <w:rPr>
          <w:b/>
        </w:rPr>
        <w:t xml:space="preserve">Önem: </w:t>
      </w:r>
      <w:r>
        <w:t>Orta</w:t>
      </w:r>
    </w:p>
    <w:p>
      <w:r>
        <w:rPr>
          <w:b/>
        </w:rPr>
        <w:t xml:space="preserve">Yer: </w:t>
      </w:r>
      <w:r>
        <w:t>2.2.1, 2.2.2 ve 2.2.3 açılışları</w:t>
      </w:r>
    </w:p>
    <w:p>
      <w:r>
        <w:rPr>
          <w:b/>
        </w:rPr>
        <w:t>Kitaptaki ifade</w:t>
      </w:r>
    </w:p>
    <w:p>
      <w:pPr>
        <w:pStyle w:val="QuoteBlock"/>
      </w:pPr>
      <w:r>
        <w:t>Kırâat ilminde “rivâyet” meselesi işin bel kemiğini teşkil eder. Çünkü kırâat yalnızca Kur’an kelimelerinin farklı okunma biçimlerini sıralayan bir alan değildir; asıl olarak bu okuyuş biçimlerinin kimden alındığını, nasıl aktarıldığını ve hangi yollarla güven kazandığını konu edinir. Bu sebeple kırâat ilminde bir okuyuşun değeri, öncelikle onun dil bakımından mümkün görünmesine bağlı olmayıp sağlam bir nakil zinciriyle gelmesine bağlıdır. Başka bir deyişle kırâatlerde temel soru, “Bu kelime nasıl okunur?” değil, “Bu kelimenin okunuşu bize nasıl…</w:t>
      </w:r>
    </w:p>
    <w:p>
      <w:r>
        <w:rPr>
          <w:b/>
        </w:rPr>
        <w:t xml:space="preserve">Sorun: </w:t>
      </w:r>
      <w:r>
        <w:t>Üç başlık da “kırâat sadece farklı okuma değildir; asıl...” biçiminde başlayarak aynı savunmayı tekrar ediyor. Bu, kavramların işlevsel farklarını görünmez kılıyor.</w:t>
      </w:r>
    </w:p>
    <w:p>
      <w:r>
        <w:rPr>
          <w:b/>
        </w:rPr>
        <w:t xml:space="preserve">En uygun editoryal işlem: </w:t>
      </w:r>
      <w:r>
        <w:t>Her alt başlığı kendi işlevinden başlat: rivâyet = nakledilen okuyuş ve aktarım eylemi; sened = aktarım zinciri ve doğrulama; otorite = öğretim/kabul ağı.</w:t>
      </w:r>
    </w:p>
    <w:p>
      <w:r>
        <w:rPr>
          <w:b/>
        </w:rPr>
        <w:t>Doğrudan kullanılabilecek biçim</w:t>
      </w:r>
    </w:p>
    <w:p>
      <w:pPr>
        <w:pStyle w:val="QuoteBlock"/>
      </w:pPr>
      <w:r>
        <w:t>Kırâat ilminde rivâyet, belirli bir okuyuşun kimden alındığını ve hangi edâ biçimiyle aktarıldığını gösteren nakil düzeyidir. Sened ise bu naklin râviler arasındaki zincirini ve sürekliliğini görünür kılar. Otorite meselesi, bu zincirin ilim çevrelerinde nasıl kabul ve öğretim zemini kazandığıyla ilgilidir.</w:t>
      </w:r>
    </w:p>
    <w:p>
      <w:r>
        <w:rPr>
          <w:b/>
        </w:rPr>
        <w:t xml:space="preserve">Önceki kapsamlı raporla karşılaştırma: </w:t>
      </w:r>
      <w:r>
        <w:t>Yeni.</w:t>
      </w:r>
    </w:p>
    <w:p>
      <w:pPr>
        <w:pStyle w:val="Heading4"/>
        <w:keepNext/>
      </w:pPr>
      <w:r>
        <w:t>B2-AK-04. Rivâyet ve sened paragrafları işlev bakımından yer yer birbirinin kopyasına dönüşüyor</w:t>
      </w:r>
    </w:p>
    <w:p>
      <w:r>
        <w:rPr>
          <w:b/>
        </w:rPr>
        <w:t xml:space="preserve">Kategori: </w:t>
      </w:r>
      <w:r>
        <w:t>Kavramsal akış / Tekrar</w:t>
      </w:r>
    </w:p>
    <w:p>
      <w:r>
        <w:rPr>
          <w:b/>
        </w:rPr>
        <w:t xml:space="preserve">Önem: </w:t>
      </w:r>
      <w:r>
        <w:t>Orta</w:t>
      </w:r>
    </w:p>
    <w:p>
      <w:r>
        <w:rPr>
          <w:b/>
        </w:rPr>
        <w:t xml:space="preserve">Yer: </w:t>
      </w:r>
      <w:r>
        <w:t>2.2.1–2.2.2</w:t>
      </w:r>
    </w:p>
    <w:p>
      <w:r>
        <w:rPr>
          <w:b/>
        </w:rPr>
        <w:t>Kitaptaki ifade</w:t>
      </w:r>
    </w:p>
    <w:p>
      <w:pPr>
        <w:pStyle w:val="QuoteBlock"/>
      </w:pPr>
      <w:r>
        <w:t>Önceki paragraf: “Kırâat bağlamında rivâyet, bir okuyuş biçiminin hocadan talebeye, ondan başka bir talebeye geçerek süreklilik kazanması şeklinde de yorumlanmıştır. Burada nakledilen şey sadece kelimenin harfleri değil, aynı zamanda onun ses değeridir. Bu yüzden kırâat ilminde rivâyet, sadece metin aktarımı değil, aynı zamanda okuyuş biçimini…”</w:t>
        <w:br/>
        <w:t>Sonraki paragraf: “Kırâat ilmini ayakta tutan en temel unsurlardan biri seneddir. Çünkü kırâat sadece kelimelerin farklı okunma biçimlerini gösteren bir alan değildir, aynı zamanda bu okuyuşların kimden alındığını, hangi yolla aktarıldığını ve ne kadar güvenilir olduğunu araştıran bir ilimdir. Bu sebeple kırâatlerde sened meselesi, tali bir…”</w:t>
      </w:r>
    </w:p>
    <w:p>
      <w:r>
        <w:rPr>
          <w:b/>
        </w:rPr>
        <w:t xml:space="preserve">Sorun: </w:t>
      </w:r>
      <w:r>
        <w:t>Rivâyet başlığı aktarım zincirini, sened başlığı da okuyuşun hocadan talebeye geçmesini aynı ifadelerle açıklıyor. Kavram sınırı anlatım düzeyinde silikleşiyor.</w:t>
      </w:r>
    </w:p>
    <w:p>
      <w:r>
        <w:rPr>
          <w:b/>
        </w:rPr>
        <w:t xml:space="preserve">En uygun editoryal işlem: </w:t>
      </w:r>
      <w:r>
        <w:t>Rivâyette “neyin nasıl aktarıldığı”, senedde “bu aktarımın kimler üzerinden doğrulandığı” ayrımını koru.</w:t>
      </w:r>
    </w:p>
    <w:p>
      <w:r>
        <w:rPr>
          <w:b/>
        </w:rPr>
        <w:t>Doğrudan kullanılabilecek biçim</w:t>
      </w:r>
    </w:p>
    <w:p>
      <w:pPr>
        <w:pStyle w:val="QuoteBlock"/>
      </w:pPr>
      <w:r>
        <w:t>Rivâyet başlığında edâ özelliklerinin hocadan talebeye aktarılması üzerinde durulmalı; sened başlığında ise bu naklin kişi ve tabaka zinciri üzerinden takip edilmesi açıklanmalıdır. Böylece iki kavram aynı aktarım olgusunun farklı yönleri olarak birbirine karıştırılmadan gösterilebilir.</w:t>
      </w:r>
    </w:p>
    <w:p>
      <w:r>
        <w:rPr>
          <w:b/>
        </w:rPr>
        <w:t xml:space="preserve">Önceki kapsamlı raporla karşılaştırma: </w:t>
      </w:r>
      <w:r>
        <w:t>Yeni.</w:t>
      </w:r>
    </w:p>
    <w:p>
      <w:pPr>
        <w:pStyle w:val="Heading4"/>
        <w:keepNext/>
      </w:pPr>
      <w:r>
        <w:t>B2-AK-05. 2.3 yedi harf malzemesini Birinci Bölümden fazla ölçüde yeniden anlatıyor</w:t>
      </w:r>
    </w:p>
    <w:p>
      <w:r>
        <w:rPr>
          <w:b/>
        </w:rPr>
        <w:t xml:space="preserve">Kategori: </w:t>
      </w:r>
      <w:r>
        <w:t>Bölümler arası tekrar</w:t>
      </w:r>
    </w:p>
    <w:p>
      <w:r>
        <w:rPr>
          <w:b/>
        </w:rPr>
        <w:t xml:space="preserve">Önem: </w:t>
      </w:r>
      <w:r>
        <w:t>Orta</w:t>
      </w:r>
    </w:p>
    <w:p>
      <w:r>
        <w:rPr>
          <w:b/>
        </w:rPr>
        <w:t xml:space="preserve">Yer: </w:t>
      </w:r>
      <w:r>
        <w:t>2.3, özellikle ilk paragraflar</w:t>
      </w:r>
    </w:p>
    <w:p>
      <w:r>
        <w:rPr>
          <w:b/>
        </w:rPr>
        <w:t>Kitaptaki ifade</w:t>
      </w:r>
    </w:p>
    <w:p>
      <w:pPr>
        <w:pStyle w:val="QuoteBlock"/>
      </w:pPr>
      <w:r>
        <w:t>Önce “yedi harf” ifadesinin neyi anlattığını kısaca belirtmemiz gerekmektedir. Hadis kaynaklarında Kur’an’ın “yedi harf” üzere indirildiğini bildiren rivâyetler yer almaktadır. Bu rivâyetler, başta Buhârî ve Müslim olmak üzere temel hadis kitaplarında geçmektedir.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w:t>
      </w:r>
    </w:p>
    <w:p>
      <w:r>
        <w:rPr>
          <w:b/>
        </w:rPr>
        <w:t xml:space="preserve">Sorun: </w:t>
      </w:r>
      <w:r>
        <w:t>Yedi harfin tanımı ve Osmânî istinsahla ilişkisi 1.3–1.4 ve Girişte zaten uzun biçimde kurulmuştur. 2.3’te gerekli olan tarih anlatısını tekrarlamak değil, rivâyet mantığı açısından görüşlerin sonuçlarını ayırmaktır.</w:t>
      </w:r>
    </w:p>
    <w:p>
      <w:r>
        <w:rPr>
          <w:b/>
        </w:rPr>
        <w:t xml:space="preserve">En uygun editoryal işlem: </w:t>
      </w:r>
      <w:r>
        <w:t>Tarihsel arka planı iki-üç cümlelik hatırlatmaya indir; ağırlığı yedi harf–resm ilişkisi hakkındaki görüş ayrılıklarına ver.</w:t>
      </w:r>
    </w:p>
    <w:p>
      <w:r>
        <w:rPr>
          <w:b/>
        </w:rPr>
        <w:t>Doğrudan kullanılabilecek biçim</w:t>
      </w:r>
    </w:p>
    <w:p>
      <w:pPr>
        <w:pStyle w:val="QuoteBlock"/>
      </w:pPr>
      <w:r>
        <w:t>Birinci Bölümde tarihsel bağlamı verilen yedi harf meselesi, burada yalnız kırâatlerin rivâyet mantığı ile Osmânî mushafların ortak yazılı sınırı arasındaki ilişki bakımından ele alınacaktır. Kaynaklardaki farklı açıklamalar, bu ilişkinin tek bir formülle ifade edilmesini güçleştirmektedir.</w:t>
      </w:r>
    </w:p>
    <w:p>
      <w:r>
        <w:rPr>
          <w:b/>
        </w:rPr>
        <w:t xml:space="preserve">Önceki kapsamlı raporla karşılaştırma: </w:t>
      </w:r>
      <w:r>
        <w:t>Yeni.</w:t>
      </w:r>
    </w:p>
    <w:p>
      <w:pPr>
        <w:pStyle w:val="Heading4"/>
        <w:keepNext/>
      </w:pPr>
      <w:r>
        <w:t>B2-AK-06. 2.3’ün “Sonuç olarak” paragrafı uzun özet yerine 2.4’e köprü olmalı</w:t>
      </w:r>
    </w:p>
    <w:p>
      <w:r>
        <w:rPr>
          <w:b/>
        </w:rPr>
        <w:t xml:space="preserve">Kategori: </w:t>
      </w:r>
      <w:r>
        <w:t>Gereksiz özet / Geçiş</w:t>
      </w:r>
    </w:p>
    <w:p>
      <w:r>
        <w:rPr>
          <w:b/>
        </w:rPr>
        <w:t xml:space="preserve">Önem: </w:t>
      </w:r>
      <w:r>
        <w:t>Orta</w:t>
      </w:r>
    </w:p>
    <w:p>
      <w:r>
        <w:rPr>
          <w:b/>
        </w:rPr>
        <w:t xml:space="preserve">Yer: </w:t>
      </w:r>
      <w:r>
        <w:t>2.3 son paragraf, 260</w:t>
      </w:r>
    </w:p>
    <w:p>
      <w:r>
        <w:rPr>
          <w:b/>
        </w:rPr>
        <w:t>Kitaptaki ifade</w:t>
      </w:r>
    </w:p>
    <w:p>
      <w:pPr>
        <w:pStyle w:val="QuoteBlock"/>
      </w:pPr>
      <w:r>
        <w:t>Sonuç olarak Osmânî mushaf ile yedi harf meselesi, Kur’an tarihinin en hassas ve tartışmalı meselelerinden biri olarak değerlendirilmiştir. Kaynaklarda çıkan tabloya göre, Kur’an başlangıçta ümmete kolaylık sağlayan bir genişlik alanı içinde okunmuş, fakat Hz. Osman döneminde bu alan ihtilafa kapı açmayacak şekilde ortak mushaflar etrafında toplanmıştır. Osmânî Mushaf, yedi harfin bütün dağınık ihtimallerini değil, sahih rivâyetle gelen, mushaf yazısının kaldırabildiği ve ümmetin üzerinde birleşebileceği okuyuşları muhafaza etmiştir. Böylece hem metin…</w:t>
      </w:r>
    </w:p>
    <w:p>
      <w:r>
        <w:rPr>
          <w:b/>
        </w:rPr>
        <w:t xml:space="preserve">Sorun: </w:t>
      </w:r>
      <w:r>
        <w:t>Paragraf yedi harf tartışmasını bir kez daha özetliyor. Bir sonraki başlık ortak başvuru metni meselesine geçtiği için kapanışın asıl işlevi bu geçişi hazırlamak olmalıdır.</w:t>
      </w:r>
    </w:p>
    <w:p>
      <w:r>
        <w:rPr>
          <w:b/>
        </w:rPr>
        <w:t xml:space="preserve">En uygun editoryal işlem: </w:t>
      </w:r>
      <w:r>
        <w:t>Özeti kısalt ve 2.4’ün sorusuna bağla.</w:t>
      </w:r>
    </w:p>
    <w:p>
      <w:r>
        <w:rPr>
          <w:b/>
        </w:rPr>
        <w:t>Doğrudan kullanılabilecek biçim</w:t>
      </w:r>
    </w:p>
    <w:p>
      <w:pPr>
        <w:pStyle w:val="QuoteBlock"/>
      </w:pPr>
      <w:r>
        <w:t>Bu farklı görüşler, yedi harf ile Osmânî mushafların ilişkisini tek bir açıklamaya indirgememeyi gerektirir. İzleyen başlıkta, bu tarihsel tartışmadan hareketle Osmânî mushafların kırâat ve tefsirde ortak başvuru metni hâline gelmesinin sonuçları ele alınacaktır.</w:t>
      </w:r>
    </w:p>
    <w:p>
      <w:r>
        <w:rPr>
          <w:b/>
        </w:rPr>
        <w:t xml:space="preserve">Önceki kapsamlı raporla karşılaştırma: </w:t>
      </w:r>
      <w:r>
        <w:t>Yeni.</w:t>
      </w:r>
    </w:p>
    <w:p>
      <w:pPr>
        <w:pStyle w:val="Heading4"/>
        <w:keepNext/>
      </w:pPr>
      <w:r>
        <w:t>B2-AK-07. 2.4 art arda “etki/sonuç” cümleleriyle mekanikleşiyor</w:t>
      </w:r>
    </w:p>
    <w:p>
      <w:r>
        <w:rPr>
          <w:b/>
        </w:rPr>
        <w:t xml:space="preserve">Kategori: </w:t>
      </w:r>
      <w:r>
        <w:t>Formülaik anlatım / Nedensellik</w:t>
      </w:r>
    </w:p>
    <w:p>
      <w:r>
        <w:rPr>
          <w:b/>
        </w:rPr>
        <w:t xml:space="preserve">Önem: </w:t>
      </w:r>
      <w:r>
        <w:t>Orta</w:t>
      </w:r>
    </w:p>
    <w:p>
      <w:r>
        <w:rPr>
          <w:b/>
        </w:rPr>
        <w:t xml:space="preserve">Yer: </w:t>
      </w:r>
      <w:r>
        <w:t>2.4, 262–273</w:t>
      </w:r>
    </w:p>
    <w:p>
      <w:r>
        <w:rPr>
          <w:b/>
        </w:rPr>
        <w:t>Kitaptaki ifade</w:t>
      </w:r>
    </w:p>
    <w:p>
      <w:pPr>
        <w:pStyle w:val="QuoteBlock"/>
      </w:pPr>
      <w:r>
        <w:t>Sonuç olarak resmin standartlaşması tefsîr ilmini sadece teknik olarak etkilememiş, yorumun dayandığı zemini kökten etkilemiştir. Resm-i Osmânî yorumun önüne engel koymamış, yorumun hareket edeceği meşru alanı belirlemiştir. Sahih kırâatleri koruyarak anlam zenginliğine katkıda bulunmuş, mushafa aykırı okuyuşları metnin dışında bırakmıştır. Böylece tefsîr ilmi, hem ortak mushaf metnini esas alan hem de bu metnin taşıdığı sahih kırâat çeşitliliğinden yararlanan dengeli bir disiplin hâline gelmiştir.</w:t>
      </w:r>
    </w:p>
    <w:p>
      <w:r>
        <w:rPr>
          <w:b/>
        </w:rPr>
        <w:t xml:space="preserve">Sorun: </w:t>
      </w:r>
      <w:r>
        <w:t>Paragraflar sık sık “bu durum göstermektedir / böylece / dolayısıyla” ile resmin kırâat ve tefsiri şekillendirdiği sonucuna bağlanıyor. Bu tekrar, yazıya bağımsız fail rolü verme riskini de artırıyor.</w:t>
      </w:r>
    </w:p>
    <w:p>
      <w:r>
        <w:rPr>
          <w:b/>
        </w:rPr>
        <w:t xml:space="preserve">En uygun editoryal işlem: </w:t>
      </w:r>
      <w:r>
        <w:t>Her paragrafta bir sonuç cümlesi zorunluluğunu kaldır; olgu ve sonucu aynı cümlede ölçülü bağla. Son paragrafı 3. bölüme köprü yap.</w:t>
      </w:r>
    </w:p>
    <w:p>
      <w:r>
        <w:rPr>
          <w:b/>
        </w:rPr>
        <w:t>Doğrudan kullanılabilecek biçim</w:t>
      </w:r>
    </w:p>
    <w:p>
      <w:pPr>
        <w:pStyle w:val="QuoteBlock"/>
      </w:pPr>
      <w:r>
        <w:t>Osmânî mushafların ortak başvuru metni hâline gelmesi, kırâatlerin değerlendirilmesinde ve tefsirde kullanılan yazılı zemini belirginleştirmiştir. Üçüncü Bölümde bu ilişkinin resm, kırâat, lafız ve mana düzeyindeki somut görünümleri incelenecektir.</w:t>
      </w:r>
    </w:p>
    <w:p>
      <w:r>
        <w:rPr>
          <w:b/>
        </w:rPr>
        <w:t xml:space="preserve">Önceki kapsamlı raporla karşılaştırma: </w:t>
      </w:r>
      <w:r>
        <w:t>Kısmen vardı: önceki rapor 2.4’ün nedensellik dilini ele aldı; mekanik paragraf kapanışları ve bölüm köprüsü bu raporda ayrıntılandırıldı.</w:t>
      </w:r>
    </w:p>
    <w:p>
      <w:pPr>
        <w:pStyle w:val="Heading4"/>
        <w:keepNext/>
      </w:pPr>
      <w:r>
        <w:t>B2-AK-08. İkinci Bölümden Üçüncü Bölüme düşünsel köprü zayıf</w:t>
      </w:r>
    </w:p>
    <w:p>
      <w:r>
        <w:rPr>
          <w:b/>
        </w:rPr>
        <w:t xml:space="preserve">Kategori: </w:t>
      </w:r>
      <w:r>
        <w:t>Bölüm geçişi</w:t>
      </w:r>
    </w:p>
    <w:p>
      <w:r>
        <w:rPr>
          <w:b/>
        </w:rPr>
        <w:t xml:space="preserve">Önem: </w:t>
      </w:r>
      <w:r>
        <w:t>Yüksek</w:t>
      </w:r>
    </w:p>
    <w:p>
      <w:r>
        <w:rPr>
          <w:b/>
        </w:rPr>
        <w:t xml:space="preserve">Yer: </w:t>
      </w:r>
      <w:r>
        <w:t>2.4 sonu → 3.1 başlangıcı</w:t>
      </w:r>
    </w:p>
    <w:p>
      <w:r>
        <w:rPr>
          <w:b/>
        </w:rPr>
        <w:t>Kitaptaki ifade</w:t>
      </w:r>
    </w:p>
    <w:p>
      <w:pPr>
        <w:pStyle w:val="QuoteBlock"/>
      </w:pPr>
      <w:r>
        <w:t>Önceki paragraf: “Sonuç olarak resmin standartlaşması tefsîr ilmini sadece teknik olarak etkilememiş, yorumun dayandığı zemini kökten etkilemiştir. Resm-i Osmânî yorumun önüne engel koymamış, yorumun hareket edeceği meşru alanı belirlemiştir. Sahih kırâatleri koruyarak anlam zenginliğine katkıda bulunmuş, mushafa aykırı okuyuşları metnin dışında…”</w:t>
        <w:br/>
        <w:t>Sonraki paragraf: “Resm-i Osmânî’nin en dikkat çekici özelliklerinden biri, bazı kelimelerde birden fazla sahih kırâate yer verebilecek şekilde kurulmuş olmasıdır. Kırâat geleneğinde bu husus, resm-i Osmânî’nin sıradan bir yazım biçimi değil, kırâatlerin rivâyetini koruyan özel bir sistem olduğunu gösteren temel delillerden biri olduğunu daha…”</w:t>
      </w:r>
    </w:p>
    <w:p>
      <w:r>
        <w:rPr>
          <w:b/>
        </w:rPr>
        <w:t xml:space="preserve">Sorun: </w:t>
      </w:r>
      <w:r>
        <w:t>İkinci bölüm tefsir üzerindeki genel etkiyle kapanıyor; üçüncü bölüm doğrudan “çoklu kırâatleri yansıtma” özelliğine geçiyor. Okur neden teorik rivâyet tartışmasından resm–lafız–mana örneklerine geçtiğini kendisi kurmak zorunda kalıyor.</w:t>
      </w:r>
    </w:p>
    <w:p>
      <w:r>
        <w:rPr>
          <w:b/>
        </w:rPr>
        <w:t xml:space="preserve">En uygun editoryal işlem: </w:t>
      </w:r>
      <w:r>
        <w:t>273’ün sonunu 3. bölümün somut inceleme işlevine bağla.</w:t>
      </w:r>
    </w:p>
    <w:p>
      <w:r>
        <w:rPr>
          <w:b/>
        </w:rPr>
        <w:t>Doğrudan kullanılabilecek biçim</w:t>
      </w:r>
    </w:p>
    <w:p>
      <w:pPr>
        <w:pStyle w:val="QuoteBlock"/>
      </w:pPr>
      <w:r>
        <w:t>Bu genel çerçeve, resm-i Osmânî ile kırâatler arasındaki ilişkinin yalnız kabul ölçüleri düzeyinde kalmadığını göstermektedir. İlişkinin nasıl işlediğini görmek için resm, kırâat, lafız ve mana arasındaki somut örneklere geçmek gerekir.</w:t>
      </w:r>
    </w:p>
    <w:p>
      <w:r>
        <w:rPr>
          <w:b/>
        </w:rPr>
        <w:t xml:space="preserve">Önceki kapsamlı raporla karşılaştırma: </w:t>
      </w:r>
      <w:r>
        <w:t>Yeni.</w:t>
      </w:r>
    </w:p>
    <w:p>
      <w:pPr>
        <w:pStyle w:val="Heading2"/>
        <w:keepNext/>
      </w:pPr>
      <w:r>
        <w:t>7. Üçüncü Bölüm</w:t>
      </w:r>
    </w:p>
    <w:p>
      <w:pPr>
        <w:pStyle w:val="Heading4"/>
        <w:keepNext/>
      </w:pPr>
      <w:r>
        <w:t>B3-AK-01. 3.1 önceki bölümlere meta-gönderme yaparak başlıyor ve aynı giriş iki kez kuruluyor</w:t>
      </w:r>
    </w:p>
    <w:p>
      <w:r>
        <w:rPr>
          <w:b/>
        </w:rPr>
        <w:t xml:space="preserve">Kategori: </w:t>
      </w:r>
      <w:r>
        <w:t>Meta-anlatım / Tekrar</w:t>
      </w:r>
    </w:p>
    <w:p>
      <w:r>
        <w:rPr>
          <w:b/>
        </w:rPr>
        <w:t xml:space="preserve">Önem: </w:t>
      </w:r>
      <w:r>
        <w:t>Orta</w:t>
      </w:r>
    </w:p>
    <w:p>
      <w:r>
        <w:rPr>
          <w:b/>
        </w:rPr>
        <w:t xml:space="preserve">Yer: </w:t>
      </w:r>
      <w:r>
        <w:t>3.1, 281–282</w:t>
      </w:r>
    </w:p>
    <w:p>
      <w:r>
        <w:rPr>
          <w:b/>
        </w:rPr>
        <w:t>Kitaptaki ifade</w:t>
      </w:r>
    </w:p>
    <w:p>
      <w:pPr>
        <w:pStyle w:val="QuoteBlock"/>
      </w:pPr>
      <w:r>
        <w:t>Resm-i Osmânî’nin en dikkat çekici özelliklerinden biri, bazı kelimelerde birden fazla sahih kırâate yer verebilecek şekilde kurulmuş olmasıdır. Kırâat geleneğinde bu husus, resm-i Osmânî’nin sıradan bir yazım biçimi değil, kırâatlerin rivâyetini koruyan özel bir sistem olduğunu gösteren temel delillerden biri olduğunu daha önce de zikretmiştik. Nitekim İbnü’l-Cezerî’nin ifadelerinde sahih kırâatlerin ölçülerinden biri, okuyuşun Osmânî mushaflardan birinin resmine açık ya da ihtimalî olarak uymasıdır. Bu da yazının, okuyuşu bütünüyle belirlemese de onun…</w:t>
      </w:r>
    </w:p>
    <w:p>
      <w:r>
        <w:rPr>
          <w:b/>
        </w:rPr>
        <w:t xml:space="preserve">Sorun: </w:t>
      </w:r>
      <w:r>
        <w:t>“Daha önce de zikretmiştik” türü ifade yeni bölümün bağımsız girişini zayıflatıyor. 281 ve 282 aynı “en dikkat çekici özelliklerden biri” fikrini arka arkaya kuruyor.</w:t>
      </w:r>
    </w:p>
    <w:p>
      <w:r>
        <w:rPr>
          <w:b/>
        </w:rPr>
        <w:t xml:space="preserve">En uygun editoryal işlem: </w:t>
      </w:r>
      <w:r>
        <w:t>Meta-göndermeyi kaldır; iki paragrafı birleştir.</w:t>
      </w:r>
    </w:p>
    <w:p>
      <w:r>
        <w:rPr>
          <w:b/>
        </w:rPr>
        <w:t>Doğrudan kullanılabilecek biçim</w:t>
      </w:r>
    </w:p>
    <w:p>
      <w:pPr>
        <w:pStyle w:val="QuoteBlock"/>
      </w:pPr>
      <w:r>
        <w:t>Resm-i Osmânî’nin kırâatlerle ilişkisinin belirgin görünümlerinden biri, aynı yazı iskeletinin sahih rivâyetle sabit birden fazla okuyuşla bağdaşabilmesidir. Bu durum, yazının okuyuşu tek başına üretmesinden değil, rivâyetle bilinen okuyuşların ortak resm içinde karşılık bulabilmesinden kaynaklanır.</w:t>
      </w:r>
    </w:p>
    <w:p>
      <w:r>
        <w:rPr>
          <w:b/>
        </w:rPr>
        <w:t xml:space="preserve">Önceki kapsamlı raporla karşılaştırma: </w:t>
      </w:r>
      <w:r>
        <w:t>Yeni.</w:t>
      </w:r>
    </w:p>
    <w:p>
      <w:pPr>
        <w:pStyle w:val="Heading4"/>
        <w:keepNext/>
      </w:pPr>
      <w:r>
        <w:t>B3-AK-02. 3.2 üç paragrafta aynı “dil hafızası / yalnız yazı değil” sonucunu tekrar ediyor</w:t>
      </w:r>
    </w:p>
    <w:p>
      <w:r>
        <w:rPr>
          <w:b/>
        </w:rPr>
        <w:t xml:space="preserve">Kategori: </w:t>
      </w:r>
      <w:r>
        <w:t>Tekrar / Formülaik anlatım</w:t>
      </w:r>
    </w:p>
    <w:p>
      <w:r>
        <w:rPr>
          <w:b/>
        </w:rPr>
        <w:t xml:space="preserve">Önem: </w:t>
      </w:r>
      <w:r>
        <w:t>Orta</w:t>
      </w:r>
    </w:p>
    <w:p>
      <w:r>
        <w:rPr>
          <w:b/>
        </w:rPr>
        <w:t xml:space="preserve">Yer: </w:t>
      </w:r>
      <w:r>
        <w:t>3.2, 287–289</w:t>
      </w:r>
    </w:p>
    <w:p>
      <w:r>
        <w:rPr>
          <w:b/>
        </w:rPr>
        <w:t>Kitaptaki ifade</w:t>
      </w:r>
    </w:p>
    <w:p>
      <w:pPr>
        <w:pStyle w:val="QuoteBlock"/>
      </w:pPr>
      <w:r>
        <w:t>Resm-i kıyasî, dil âlimlerinin kurallı ve açıklayıcı yazım sistemidir. Resm-i Osmânî ise, rivâyet temelli kırâatlerle bağlantılı bir yazıdır. Bu yüzden onun amacı sadece kelimeyi en açık biçimde yazmak değil, aynı zamanda sahih kırâatler içindeki bazı lehçe işaretlerini koruyan bir mushaf yazımıdır. Klasik ve modern kaynaklarda da vurgulandığı gibi resm-i Osmânî’yi kıyasî imlâya dönüştürmek, yalnız yazıyı sadeleştirmekle kalmaz; aynı zamanda mushafın taşıdığı kırâat ve lehçe izlerini de zayıflatır. Vurgulanması gereken bir nokta var ki; resm-i…</w:t>
      </w:r>
    </w:p>
    <w:p>
      <w:r>
        <w:rPr>
          <w:b/>
        </w:rPr>
        <w:t xml:space="preserve">Sorun: </w:t>
      </w:r>
      <w:r>
        <w:t>Çerçeve, örnek ve sonuç ayrımı korunmakla birlikte her paragraf “resm yalnız yazı değildir, dil/lehçe hafızasını da taşır” sonucuna dönüyor.</w:t>
      </w:r>
    </w:p>
    <w:p>
      <w:r>
        <w:rPr>
          <w:b/>
        </w:rPr>
        <w:t xml:space="preserve">En uygun editoryal işlem: </w:t>
      </w:r>
      <w:r>
        <w:t>287 giriş, 288 örnek, 289 tek ihtiyatlı değerlendirme olacak şekilde kısalt.</w:t>
      </w:r>
    </w:p>
    <w:p>
      <w:r>
        <w:rPr>
          <w:b/>
        </w:rPr>
        <w:t>Doğrudan kullanılabilecek biçim</w:t>
      </w:r>
    </w:p>
    <w:p>
      <w:pPr>
        <w:pStyle w:val="QuoteBlock"/>
      </w:pPr>
      <w:r>
        <w:t>Bu örnekler, bazı resm özelliklerinin lehçe ve dil kullanımıyla birlikte yorumlandığını göstermektedir. Ancak yazım biçiminin hangi lehçe veya söyleyişe işaret ettiği, ilgili rivâyet ve dil verileriyle birlikte değerlendirilmelidir.</w:t>
      </w:r>
    </w:p>
    <w:p>
      <w:r>
        <w:rPr>
          <w:b/>
        </w:rPr>
        <w:t xml:space="preserve">Önceki kapsamlı raporla karşılaştırma: </w:t>
      </w:r>
      <w:r>
        <w:t>Yeni.</w:t>
      </w:r>
    </w:p>
    <w:p>
      <w:pPr>
        <w:pStyle w:val="Heading4"/>
        <w:keepNext/>
      </w:pPr>
      <w:r>
        <w:t>B3-AK-03. 3.3’ün son kısmı fonetik/hareke tartışmasından mana-hikmet alanına kayıyor</w:t>
      </w:r>
    </w:p>
    <w:p>
      <w:r>
        <w:rPr>
          <w:b/>
        </w:rPr>
        <w:t xml:space="preserve">Kategori: </w:t>
      </w:r>
      <w:r>
        <w:t>Alt başlık sınırı</w:t>
      </w:r>
    </w:p>
    <w:p>
      <w:r>
        <w:rPr>
          <w:b/>
        </w:rPr>
        <w:t xml:space="preserve">Önem: </w:t>
      </w:r>
      <w:r>
        <w:t>Yüksek</w:t>
      </w:r>
    </w:p>
    <w:p>
      <w:r>
        <w:rPr>
          <w:b/>
        </w:rPr>
        <w:t xml:space="preserve">Yer: </w:t>
      </w:r>
      <w:r>
        <w:t>3.3 sonu → 3.4</w:t>
      </w:r>
    </w:p>
    <w:p>
      <w:r>
        <w:rPr>
          <w:b/>
        </w:rPr>
        <w:t>Kitaptaki ifade</w:t>
      </w:r>
    </w:p>
    <w:p>
      <w:pPr>
        <w:pStyle w:val="QuoteBlock"/>
      </w:pPr>
      <w:r>
        <w:t>Resm-i Osmânî’ye yönelik yapılan açıklamalarda mushaf yazısındaki bazı ziyade harflerin basit bir imlâ farklılığı olarak görülmediği dikkat çekmektedir. Bilakis bu harfler, kelimenin ses yapısını, hareke değerini, kırâat yönünü ve bazı durumlarda mana vurgusunu koruyan işaretler olarak değerlendirilmiştir. Bu çerçevede özellikle “vav” ve “ya” ziyadeleri, kelimenin yalnızca yazı şekline değil, onun aslî ses yapısına ve anlam alanına da işaret eden unsurlar şeklinde yorumlanmıştır. Bu bağlamda Suyûtî, bazı kelimelerde “vav” bazı kelimelerde “ya”nın…</w:t>
      </w:r>
    </w:p>
    <w:p>
      <w:r>
        <w:rPr>
          <w:b/>
        </w:rPr>
        <w:t xml:space="preserve">Sorun: </w:t>
      </w:r>
      <w:r>
        <w:t>3.3 “harekenin aslına işaret” başlığı altında ilerlerken son paragrafta tefhîm/tehvîl ve anlam yönü öne çıkıyor. 3.4 zaten ziyâde/hazif ile ince mana ilişkisini açıyor.</w:t>
      </w:r>
    </w:p>
    <w:p>
      <w:r>
        <w:rPr>
          <w:b/>
        </w:rPr>
        <w:t xml:space="preserve">En uygun editoryal işlem: </w:t>
      </w:r>
      <w:r>
        <w:t>Mana ağırlıklı kısmı 3.4’e taşı; 3.3’ü yazı–ses/hareke ilişkisiyle kapat.</w:t>
      </w:r>
    </w:p>
    <w:p>
      <w:r>
        <w:rPr>
          <w:b/>
        </w:rPr>
        <w:t>Doğrudan kullanılabilecek biçim</w:t>
      </w:r>
    </w:p>
    <w:p>
      <w:pPr>
        <w:pStyle w:val="QuoteBlock"/>
      </w:pPr>
      <w:r>
        <w:t>Bu örneklerde resm ile hareke arasındaki ilişki, yazının seslendirmeyi bütünüyle göstermediği fakat bazı dilsel özelliklerle bağdaşabildiği ölçüde ele alınmalıdır. Mana ve hikmet yorumları ise sonraki başlığın ayrı değerlendirme alanıdır.</w:t>
      </w:r>
    </w:p>
    <w:p>
      <w:r>
        <w:rPr>
          <w:b/>
        </w:rPr>
        <w:t xml:space="preserve">Önceki kapsamlı raporla karşılaştırma: </w:t>
      </w:r>
      <w:r>
        <w:t>Yeni.</w:t>
      </w:r>
    </w:p>
    <w:p>
      <w:pPr>
        <w:pStyle w:val="Heading4"/>
        <w:keepNext/>
      </w:pPr>
      <w:r>
        <w:t>B3-AK-04. 3.4’te genel sonuç, örnek dizisi tamamlanmadan geliyor</w:t>
      </w:r>
    </w:p>
    <w:p>
      <w:r>
        <w:rPr>
          <w:b/>
        </w:rPr>
        <w:t xml:space="preserve">Kategori: </w:t>
      </w:r>
      <w:r>
        <w:t>Yapısal / Erken sentez</w:t>
      </w:r>
    </w:p>
    <w:p>
      <w:r>
        <w:rPr>
          <w:b/>
        </w:rPr>
        <w:t xml:space="preserve">Önem: </w:t>
      </w:r>
      <w:r>
        <w:t>Orta</w:t>
      </w:r>
    </w:p>
    <w:p>
      <w:r>
        <w:rPr>
          <w:b/>
        </w:rPr>
        <w:t xml:space="preserve">Yer: </w:t>
      </w:r>
      <w:r>
        <w:t>3.4, 299–305; özellikle 303</w:t>
      </w:r>
    </w:p>
    <w:p>
      <w:r>
        <w:rPr>
          <w:b/>
        </w:rPr>
        <w:t>Kitaptaki ifade</w:t>
      </w:r>
    </w:p>
    <w:p>
      <w:pPr>
        <w:pStyle w:val="QuoteBlock"/>
      </w:pPr>
      <w:r>
        <w:t>Resm-i Osmânî, sadece kelimelerin yazı biçimini sabitleyen bir sistemden müteşekkil değildir. Aksine âlimlerin önemli bir kısmına göre mushaf yazısı, bazı yerlerde lafzın olağan söyleyişini, bazı yerlerde harekenin aslını, bazı yerlerde fiilin gerçekleşme süratini, bazı yerlerde ise anlamın şiddet ve azamet derecesini hissettiren bir yazı düzenidir. Bu nedenle resm-i Osmânî’yi sadece tek imlâ farklılıkları üzerinden okumak yeterli değildir; onu aynı zamanda bir anlam işaretleme sistemi olarak değerlendirmek gerekmektedir.</w:t>
      </w:r>
    </w:p>
    <w:p>
      <w:r>
        <w:rPr>
          <w:b/>
        </w:rPr>
        <w:t xml:space="preserve">Sorun: </w:t>
      </w:r>
      <w:r>
        <w:t>303 genel bir “resm yalnız yazı değil anlam sistemi” sonucu verir; 304–305 yeni örnekler eklemeye devam eder. Böylece sonuç paragrafı delil dizisinin ortasında kalır.</w:t>
      </w:r>
    </w:p>
    <w:p>
      <w:r>
        <w:rPr>
          <w:b/>
        </w:rPr>
        <w:t xml:space="preserve">En uygun editoryal işlem: </w:t>
      </w:r>
      <w:r>
        <w:t>303’ü sona taşı veya kaldır; önce bütün örnekleri ver, sonra tek sınırlı sentez yap.</w:t>
      </w:r>
    </w:p>
    <w:p>
      <w:r>
        <w:rPr>
          <w:b/>
        </w:rPr>
        <w:t>Doğrudan kullanılabilecek biçim</w:t>
      </w:r>
    </w:p>
    <w:p>
      <w:pPr>
        <w:pStyle w:val="QuoteBlock"/>
      </w:pPr>
      <w:r>
        <w:t>Bu örnekler, bazı klasik müelliflerin hazif ve ziyâde biçimlerini mana ve hikmetle ilişkilendirdiğini göstermektedir. Bu yorumların yazımın tarihsel oluşumunu açıklayan zorunlu nedenler olarak değil, ilgili müelliflerin yorum düzeyi olarak sunulması gerekir.</w:t>
      </w:r>
    </w:p>
    <w:p>
      <w:r>
        <w:rPr>
          <w:b/>
        </w:rPr>
        <w:t xml:space="preserve">Önceki kapsamlı raporla karşılaştırma: </w:t>
      </w:r>
      <w:r>
        <w:t>Yeni; önceki rapor 3.4’ün kanıt düzeyi sorununu ele aldı, erken sentez konumunu ayrıca göstermedi.</w:t>
      </w:r>
    </w:p>
    <w:p>
      <w:pPr>
        <w:pStyle w:val="Heading4"/>
        <w:keepNext/>
      </w:pPr>
      <w:r>
        <w:t>B3-AK-05. 3.5 iki ardışık sonuç paragrafıyla kapanıyor</w:t>
      </w:r>
    </w:p>
    <w:p>
      <w:r>
        <w:rPr>
          <w:b/>
        </w:rPr>
        <w:t xml:space="preserve">Kategori: </w:t>
      </w:r>
      <w:r>
        <w:t>Gereksiz ara sonuç</w:t>
      </w:r>
    </w:p>
    <w:p>
      <w:r>
        <w:rPr>
          <w:b/>
        </w:rPr>
        <w:t xml:space="preserve">Önem: </w:t>
      </w:r>
      <w:r>
        <w:t>Orta</w:t>
      </w:r>
    </w:p>
    <w:p>
      <w:r>
        <w:rPr>
          <w:b/>
        </w:rPr>
        <w:t xml:space="preserve">Yer: </w:t>
      </w:r>
      <w:r>
        <w:t>3.5, 310–311</w:t>
      </w:r>
    </w:p>
    <w:p>
      <w:r>
        <w:rPr>
          <w:b/>
        </w:rPr>
        <w:t>Kitaptaki ifade</w:t>
      </w:r>
    </w:p>
    <w:p>
      <w:pPr>
        <w:pStyle w:val="QuoteBlock"/>
      </w:pPr>
      <w:r>
        <w:t>Sözü edilen örnekler resm-i mushaf’ın yalnızca imlâya ilişkin bir tercih olmadığını, aynı zamanda anlamı yönlendiren ve nahivsel ayrımları belirginleştiren bir işaretleme sistemi olduğunu göstermektedir. Kaynaklarda maktu ve mevsûl başlığı altında incelenen bu tür imlâ farklılıkları, bazı kelimelerin yazıda ayrı veya bitişik gösterilmesinin bir rastlantı olmadığını ortaya koymaktadır. Nitekim maktu, yazıda ayrılan fakat bağlam içinde özel bir anlam yönü taşıyan yapıları; mevsûl ise daha sıkı bir söz dizimsel ve anlamsal bağlılık içinde bulunan…</w:t>
      </w:r>
    </w:p>
    <w:p>
      <w:r>
        <w:rPr>
          <w:b/>
        </w:rPr>
        <w:t xml:space="preserve">Sorun: </w:t>
      </w:r>
      <w:r>
        <w:t>310 ve 311 yazım farkının nahiv/anlam farkıyla ilişkisini art arda sonuçlandırıyor. İkinci paragraf yeni bilgi yerine ilk sonucu daha soyut dille yeniden kuruyor.</w:t>
      </w:r>
    </w:p>
    <w:p>
      <w:r>
        <w:rPr>
          <w:b/>
        </w:rPr>
        <w:t xml:space="preserve">En uygun editoryal işlem: </w:t>
      </w:r>
      <w:r>
        <w:t>Tek sentez bırak; son cümleyi 3.6’ya geçişe dönüştür.</w:t>
      </w:r>
    </w:p>
    <w:p>
      <w:r>
        <w:rPr>
          <w:b/>
        </w:rPr>
        <w:t>Doğrudan kullanılabilecek biçim</w:t>
      </w:r>
    </w:p>
    <w:p>
      <w:pPr>
        <w:pStyle w:val="QuoteBlock"/>
      </w:pPr>
      <w:r>
        <w:t>Bu örneklerde yazım farklılığı, ilgili dilsel ve nahivsel yorumlarla birlikte anlam ayrımını açıklayan bir veri olarak kullanılmıştır. Resm-i mushafın bu tür yorumlarda ne ölçüde bağlayıcı kabul edildiği ise ayrı bir tartışmadır.</w:t>
      </w:r>
    </w:p>
    <w:p>
      <w:r>
        <w:rPr>
          <w:b/>
        </w:rPr>
        <w:t xml:space="preserve">Önceki kapsamlı raporla karşılaştırma: </w:t>
      </w:r>
      <w:r>
        <w:t>Yeni.</w:t>
      </w:r>
    </w:p>
    <w:p>
      <w:pPr>
        <w:pStyle w:val="Heading4"/>
        <w:keepNext/>
      </w:pPr>
      <w:r>
        <w:t>B3-AK-06. 3.6’nın açılış paragrafı üç ayrı tartışmayı tek paragrafta yığıyor</w:t>
      </w:r>
    </w:p>
    <w:p>
      <w:r>
        <w:rPr>
          <w:b/>
        </w:rPr>
        <w:t xml:space="preserve">Kategori: </w:t>
      </w:r>
      <w:r>
        <w:t>Paragraf içi akış</w:t>
      </w:r>
    </w:p>
    <w:p>
      <w:r>
        <w:rPr>
          <w:b/>
        </w:rPr>
        <w:t xml:space="preserve">Önem: </w:t>
      </w:r>
      <w:r>
        <w:t>Yüksek</w:t>
      </w:r>
    </w:p>
    <w:p>
      <w:r>
        <w:rPr>
          <w:b/>
        </w:rPr>
        <w:t xml:space="preserve">Yer: </w:t>
      </w:r>
      <w:r>
        <w:t>3.6, 313. paragraf</w:t>
      </w:r>
    </w:p>
    <w:p>
      <w:r>
        <w:rPr>
          <w:b/>
        </w:rPr>
        <w:t>Kitaptaki ifade</w:t>
      </w:r>
    </w:p>
    <w:p>
      <w:pPr>
        <w:pStyle w:val="QuoteBlock"/>
      </w:pPr>
      <w:r>
        <w:t>İslâm ilimleri içinde resm-i mushaf meselesi, sadece imlâ biçimine ilişkin teknik bir konudan ibaret olmayıp kırâatin sahihliği, metin otoritesi ve anlam yorumuyla doğrudan ilişkili bir alan olarak ele alınmıştır. Nitekim Ahmed b. Hanbel’in, “Osman mushaf hattına ister bir ‘vav’ ister bir ‘ya’ isterse başka bir unsur bakımından olsun aykırı davranmanın haram olduğunu” söylediği aktarılmıştır. Bu rivâyet mushaf resminin birçok âlim tarafından bağlayıcı kabul edildiğini ortaya koymaktadır. Bu sebeple bazı âlimler, resm-i mushaf’ı tevkîfî, yani beşerî…</w:t>
      </w:r>
    </w:p>
    <w:p>
      <w:r>
        <w:rPr>
          <w:b/>
        </w:rPr>
        <w:t xml:space="preserve">Sorun: </w:t>
      </w:r>
      <w:r>
        <w:t>Açılış aynı anda Ahmed b. Hanbel rivâyeti, tevkîfîlik, bağlayıcılık, hikmet, i‘câz ve yazım sırlarını ele alıyor. Başlığın “bağlayıcılık, hikmet, eleştirel yaklaşım” üçlüsü paragraf içinde ayrışmıyor.</w:t>
      </w:r>
    </w:p>
    <w:p>
      <w:r>
        <w:rPr>
          <w:b/>
        </w:rPr>
        <w:t xml:space="preserve">En uygun editoryal işlem: </w:t>
      </w:r>
      <w:r>
        <w:t>313’ü bağlayıcılık çerçevesiyle sınırlandır; hikmet yorumlarını sonraki paragrafa, eleştirel yaklaşımı ayrı bloğa bırak.</w:t>
      </w:r>
    </w:p>
    <w:p>
      <w:r>
        <w:rPr>
          <w:b/>
        </w:rPr>
        <w:t>Doğrudan kullanılabilecek biçim</w:t>
      </w:r>
    </w:p>
    <w:p>
      <w:pPr>
        <w:pStyle w:val="QuoteBlock"/>
      </w:pPr>
      <w:r>
        <w:t>Resm-i mushafın bağlayıcılığına ilişkin tartışma, mushaf yazımının ne ölçüde nakle dayalı bir norm olarak kabul edildiği sorusunda yoğunlaşmaktadır. Ahmed b. Hanbel ve benzeri isimlere nispet edilen rivâyetler, bazı âlimlerin Osmânî hatta bağlılığı güçlü biçimde savunduğunu göstermektedir. Bu normatif tutum, yazım farklılıklarına yüklenen hikmet yorumlarından ayrı değerlendirilmelidir.</w:t>
      </w:r>
    </w:p>
    <w:p>
      <w:r>
        <w:rPr>
          <w:b/>
        </w:rPr>
        <w:t xml:space="preserve">Önceki kapsamlı raporla karşılaştırma: </w:t>
      </w:r>
      <w:r>
        <w:t>Kısmen yeni.</w:t>
      </w:r>
    </w:p>
    <w:p>
      <w:pPr>
        <w:pStyle w:val="Heading4"/>
        <w:keepNext/>
      </w:pPr>
      <w:r>
        <w:t>B3-AK-07. 3.6 bağlayıcılık → hikmet → nahiv → İbn Haldûn → savunmacı cevap → i‘câz şeklinde zikzak çiziyor</w:t>
      </w:r>
    </w:p>
    <w:p>
      <w:r>
        <w:rPr>
          <w:b/>
        </w:rPr>
        <w:t xml:space="preserve">Kategori: </w:t>
      </w:r>
      <w:r>
        <w:t>Yapısal / İç sıralama</w:t>
      </w:r>
    </w:p>
    <w:p>
      <w:r>
        <w:rPr>
          <w:b/>
        </w:rPr>
        <w:t xml:space="preserve">Önem: </w:t>
      </w:r>
      <w:r>
        <w:t>Yüksek</w:t>
      </w:r>
    </w:p>
    <w:p>
      <w:r>
        <w:rPr>
          <w:b/>
        </w:rPr>
        <w:t xml:space="preserve">Yer: </w:t>
      </w:r>
      <w:r>
        <w:t>3.6, 313–321</w:t>
      </w:r>
    </w:p>
    <w:p>
      <w:r>
        <w:rPr>
          <w:b/>
        </w:rPr>
        <w:t>Kitaptaki ifade</w:t>
      </w:r>
    </w:p>
    <w:p>
      <w:pPr>
        <w:pStyle w:val="QuoteBlock"/>
      </w:pPr>
      <w:r>
        <w:t>Bu genel kabul karşısında mushaf yazımındaki kıyasa aykırı unsurları ilâhî sırlarla açıklama eğilimini reddeden ve resm-i mushaf’ı tarihsel yazım şartlarıyla açıklayan eleştirel yaklaşımın en meşhur temsilcilerinden biri İbn Haldûn’dur (ö. 808/1406). İbn Haldûn’a göre Arap yazısı İslâm’ın ilk dönemlerinde henüz tam sağlamlık, incelik ve ustalık derecesine ulaşmış değildir; hatta orta seviyeye bile gelmemiştir. Çünkü Araplar, bedevilik, çöl hayatı ve sanatlardan uzak oluş sebebiyle bu alanda gelişmemiştir. Bunun sonucu olarak mushaf yazımlarında da bu…</w:t>
      </w:r>
    </w:p>
    <w:p>
      <w:r>
        <w:rPr>
          <w:b/>
        </w:rPr>
        <w:t xml:space="preserve">Sorun: </w:t>
      </w:r>
      <w:r>
        <w:t>Başlığın üç boyutu var, fakat paragraflar bu boyutları bloklar hâlinde değil, birbirine dönerek işliyor. Okur hangi cümlenin tarihsel yazım açıklaması, hangisinin normatif savunma, hangisinin hikmet yorumu olduğunu ayırmakta zorlanıyor.</w:t>
      </w:r>
    </w:p>
    <w:p>
      <w:r>
        <w:rPr>
          <w:b/>
        </w:rPr>
        <w:t xml:space="preserve">En uygun editoryal işlem: </w:t>
      </w:r>
      <w:r>
        <w:t>İç sıralamayı üç blokta kur: (1) bağlayıcılık görüşleri, (2) hikmet/işaret yorumları, (3) tarihsel-filolojik ve eleştirel açıklamalar; sonunda karşılaştırmalı sentez.</w:t>
      </w:r>
    </w:p>
    <w:p>
      <w:r>
        <w:rPr>
          <w:b/>
        </w:rPr>
        <w:t>Doğrudan kullanılabilecek biçim</w:t>
      </w:r>
    </w:p>
    <w:p>
      <w:pPr>
        <w:pStyle w:val="QuoteBlock"/>
      </w:pPr>
      <w:r>
        <w:t>Bu başlıkta görüşler üç düzeyde ayrılmalıdır: resm-i Osmânî’ye normatif bağlılık savunusu; yazım farklılıklarını hikmet ve mana çerçevesinde yorumlayan açıklamalar; yazım özelliklerini tarihsel ve dilsel şartlarla açıklayan eleştirel yaklaşımlar. Bu ayrım, farklı kanıt düzeylerinin birbirine karışmasını önleyecektir.</w:t>
      </w:r>
    </w:p>
    <w:p>
      <w:r>
        <w:rPr>
          <w:b/>
        </w:rPr>
        <w:t xml:space="preserve">Önceki kapsamlı raporla karşılaştırma: </w:t>
      </w:r>
      <w:r>
        <w:t>Yeni; önceki rapor bilimsel düzeyleri ayırmayı önermişti, paragraf sırası burada somutlaştırıldı.</w:t>
      </w:r>
    </w:p>
    <w:p>
      <w:pPr>
        <w:pStyle w:val="Heading4"/>
        <w:keepNext/>
      </w:pPr>
      <w:r>
        <w:t>B3-AK-08. “Üç ana çizgi” cümlesi iki çizgi sayıyor</w:t>
      </w:r>
    </w:p>
    <w:p>
      <w:r>
        <w:rPr>
          <w:b/>
        </w:rPr>
        <w:t xml:space="preserve">Kategori: </w:t>
      </w:r>
      <w:r>
        <w:t>Mantıksal / Tashih</w:t>
      </w:r>
    </w:p>
    <w:p>
      <w:r>
        <w:rPr>
          <w:b/>
        </w:rPr>
        <w:t xml:space="preserve">Önem: </w:t>
      </w:r>
      <w:r>
        <w:t>Yüksek</w:t>
      </w:r>
    </w:p>
    <w:p>
      <w:r>
        <w:rPr>
          <w:b/>
        </w:rPr>
        <w:t xml:space="preserve">Yer: </w:t>
      </w:r>
      <w:r>
        <w:t>3.6 son paragraf, 321</w:t>
      </w:r>
    </w:p>
    <w:p>
      <w:r>
        <w:rPr>
          <w:b/>
        </w:rPr>
        <w:t>Kitaptaki ifade</w:t>
      </w:r>
    </w:p>
    <w:p>
      <w:pPr>
        <w:pStyle w:val="QuoteBlock"/>
      </w:pPr>
      <w:r>
        <w:t>Sonuç olarak resm-i mushaf etrafındaki tartışmalar üç ana çizgide toplanmaktadır: onu tevkîfî ve bağlayıcı gören yaklaşım; yazım farklılıklarında hikmet ve mana incelikleri arayan yaklaşım. Zerkeşî, Merrâkuşî ve ed-Debbâğ’ın işaret merkezli yorumları, Dânî’nin dilci açıklamaları, nahiv âlimlerinin mushaf hattını delil olarak almaları ve İbn Haldûn’un eleştirel itirazları birlikte değerlendirildiğinde, resm-i Osmânî’nin İslâm ilimleri içinde yalnız yazının tarihî gelişimiyle ilgili bir mesele olmadığı anlaşılmaktadır. Bununla birlikte, resm-i Osmânî’ye…</w:t>
      </w:r>
    </w:p>
    <w:p>
      <w:r>
        <w:rPr>
          <w:b/>
        </w:rPr>
        <w:t xml:space="preserve">Sorun: </w:t>
      </w:r>
      <w:r>
        <w:t>Cümle “üç ana çizgi” dediği hâlde noktalı virgülden önce yalnız iki yaklaşım sayıyor. Üçüncü yaklaşım devam eden örneklerin içine gömülüyor.</w:t>
      </w:r>
    </w:p>
    <w:p>
      <w:r>
        <w:rPr>
          <w:b/>
        </w:rPr>
        <w:t xml:space="preserve">En uygun editoryal işlem: </w:t>
      </w:r>
      <w:r>
        <w:t>Üç yaklaşımı açık ve paralel biçimde say.</w:t>
      </w:r>
    </w:p>
    <w:p>
      <w:r>
        <w:rPr>
          <w:b/>
        </w:rPr>
        <w:t>Doğrudan kullanılabilecek biçim</w:t>
      </w:r>
    </w:p>
    <w:p>
      <w:pPr>
        <w:pStyle w:val="QuoteBlock"/>
      </w:pPr>
      <w:r>
        <w:t>Bu görüşler üç ana çizgide toplanabilir: resm-i Osmânî’yi tevkîfî ve bağlayıcı gören yaklaşım; yazım farklılıklarını hikmet ve i‘câz çerçevesinde yorumlayan yaklaşım; yazımı erken Arap imlâsı ve tarihsel gelişim içinde açıklayan tarihsel-filolojik yaklaşım.</w:t>
      </w:r>
    </w:p>
    <w:p>
      <w:r>
        <w:rPr>
          <w:b/>
        </w:rPr>
        <w:t xml:space="preserve">Önceki kapsamlı raporla karşılaştırma: </w:t>
      </w:r>
      <w:r>
        <w:t>Önceki kapsamlı raporda vardı; burada akış denetiminde de doğrulandı.</w:t>
      </w:r>
    </w:p>
    <w:p>
      <w:pPr>
        <w:pStyle w:val="Heading4"/>
        <w:keepNext/>
      </w:pPr>
      <w:r>
        <w:t>B3-AK-09. 3.7’nin sonundaki “üç görüş” tartışması içerik bakımından 3.6’ya ait</w:t>
      </w:r>
    </w:p>
    <w:p>
      <w:r>
        <w:rPr>
          <w:b/>
        </w:rPr>
        <w:t xml:space="preserve">Kategori: </w:t>
      </w:r>
      <w:r>
        <w:t>Alt başlık sınırı / Taşıma</w:t>
      </w:r>
    </w:p>
    <w:p>
      <w:r>
        <w:rPr>
          <w:b/>
        </w:rPr>
        <w:t xml:space="preserve">Önem: </w:t>
      </w:r>
      <w:r>
        <w:t>Yüksek</w:t>
      </w:r>
    </w:p>
    <w:p>
      <w:r>
        <w:rPr>
          <w:b/>
        </w:rPr>
        <w:t xml:space="preserve">Yer: </w:t>
      </w:r>
      <w:r>
        <w:t>3.7, 327–330</w:t>
      </w:r>
    </w:p>
    <w:p>
      <w:r>
        <w:rPr>
          <w:b/>
        </w:rPr>
        <w:t>Kitaptaki ifade</w:t>
      </w:r>
    </w:p>
    <w:p>
      <w:pPr>
        <w:pStyle w:val="QuoteBlock"/>
      </w:pPr>
      <w:r>
        <w:t>Mushafın yazımında resm-i Osmânî’ye bağlı kalmanın gerekip gerekmediği meselesi ilk dönem ve çağdaş kaynaklarda üç temel görüş etrafında ele alınmıştır. Birinci görüş, mushafların yazımında resm-i Osmânî’ye bağlı kalmanın gerekli olduğunu savunmakta ve selef ile halef âlimlerinin çoğunluğu bu çizgide gösterilmektedir.</w:t>
      </w:r>
    </w:p>
    <w:p>
      <w:r>
        <w:rPr>
          <w:b/>
        </w:rPr>
        <w:t xml:space="preserve">Sorun: </w:t>
      </w:r>
      <w:r>
        <w:t>3.7 “hata ve tahriften koruyucu işlev” başlığında ilerlerken 327’den itibaren resme bağlılığın zorunlu olup olmadığı ve üç görüş ayrıntılı biçimde tartışılıyor. Bu, doğrudan 3.6’daki bağlayıcılık tartışmasının devamıdır.</w:t>
      </w:r>
    </w:p>
    <w:p>
      <w:r>
        <w:rPr>
          <w:b/>
        </w:rPr>
        <w:t xml:space="preserve">En uygun editoryal işlem: </w:t>
      </w:r>
      <w:r>
        <w:t>327–330’u 3.6’ya taşı; 3.7’yi metin güvenliği ve yazım sürekliliği gerekçesiyle sınırlı tut.</w:t>
      </w:r>
    </w:p>
    <w:p>
      <w:r>
        <w:rPr>
          <w:b/>
        </w:rPr>
        <w:t>Doğrudan kullanılabilecek biçim</w:t>
      </w:r>
    </w:p>
    <w:p>
      <w:pPr>
        <w:pStyle w:val="QuoteBlock"/>
      </w:pPr>
      <w:r>
        <w:t>Taşıma sonrası 3.7’nin geçişi şu biçimde kurulabilir: “Bağlayıcılığın derecesine ilişkin görüşler ayrı tutulduğunda, resm-i Osmânî’ye bağlılığın savunulmasında öne çıkan pratik gerekçelerden biri yazım birliğinin ve metin güvenliğinin korunmasıdır.”</w:t>
      </w:r>
    </w:p>
    <w:p>
      <w:r>
        <w:rPr>
          <w:b/>
        </w:rPr>
        <w:t xml:space="preserve">Önceki kapsamlı raporla karşılaştırma: </w:t>
      </w:r>
      <w:r>
        <w:t>Yeni ve önemli; önceki rapor 3.7–3.12’nin genel birleşme sorununu bulmuştu, 327–330’un 3.6’ya somut taşınması yeni.</w:t>
      </w:r>
    </w:p>
    <w:p>
      <w:pPr>
        <w:pStyle w:val="Heading4"/>
        <w:keepNext/>
      </w:pPr>
      <w:r>
        <w:t>B3-AK-10. 3.7’de aynı “değişken modern imlâ → risk → ittiba” argümanı birkaç paragrafta yeniden kuruluyor</w:t>
      </w:r>
    </w:p>
    <w:p>
      <w:r>
        <w:rPr>
          <w:b/>
        </w:rPr>
        <w:t xml:space="preserve">Kategori: </w:t>
      </w:r>
      <w:r>
        <w:t>Tekrar</w:t>
      </w:r>
    </w:p>
    <w:p>
      <w:r>
        <w:rPr>
          <w:b/>
        </w:rPr>
        <w:t xml:space="preserve">Önem: </w:t>
      </w:r>
      <w:r>
        <w:t>Orta</w:t>
      </w:r>
    </w:p>
    <w:p>
      <w:r>
        <w:rPr>
          <w:b/>
        </w:rPr>
        <w:t xml:space="preserve">Yer: </w:t>
      </w:r>
      <w:r>
        <w:t>3.7, 323–326</w:t>
      </w:r>
    </w:p>
    <w:p>
      <w:r>
        <w:rPr>
          <w:b/>
        </w:rPr>
        <w:t>Kitaptaki ifade</w:t>
      </w:r>
    </w:p>
    <w:p>
      <w:pPr>
        <w:pStyle w:val="QuoteBlock"/>
      </w:pPr>
      <w:r>
        <w:t>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Kur’an metninin teslim edilmesi, mushafın her yeni yazım anlayışına göre gözden geçirilmesi, düzeltilmesi ve yeniden biçimlendirilmesi sonucunu doğurabilir. Bu ise yalnız yazı birliğini zedelemekle kalmaz, aynı zamanda metnin zamanla…</w:t>
      </w:r>
    </w:p>
    <w:p>
      <w:r>
        <w:rPr>
          <w:b/>
        </w:rPr>
        <w:t xml:space="preserve">Sorun: </w:t>
      </w:r>
      <w:r>
        <w:t>323 metin güvenliği, 324 değişken imlâ riski, 325 sünnet/ittiba, 326 çağdaş kolaylaştırıcı yazım tartışması üzerinden aynı “asıl resm korunmalı” sonucuna dönüyor. Her paragrafta sonuç yeniden kuruluyor.</w:t>
      </w:r>
    </w:p>
    <w:p>
      <w:r>
        <w:rPr>
          <w:b/>
        </w:rPr>
        <w:t xml:space="preserve">En uygun editoryal işlem: </w:t>
      </w:r>
      <w:r>
        <w:t>Her paragrafa tek işlev ver; nihai sonucu yalnız bir kez söyle.</w:t>
      </w:r>
    </w:p>
    <w:p>
      <w:r>
        <w:rPr>
          <w:b/>
        </w:rPr>
        <w:t>Doğrudan kullanılabilecek biçim</w:t>
      </w:r>
    </w:p>
    <w:p>
      <w:pPr>
        <w:pStyle w:val="QuoteBlock"/>
      </w:pPr>
      <w:r>
        <w:t>Resm-i Osmânî’ye bağlılık lehindeki gerekçeler burada iki başlıkta toplanabilir: yazım birliğinin metin güvenliğini desteklemesi ve ilk mushaf geleneğine bağlılığın ittiba çerçevesinde değerlendirilmesi. Çağdaş imlâ kolaylıklarına ilişkin görüşler de bu iki gerekçenin sınırları içinde ele alınmalıdır.</w:t>
      </w:r>
    </w:p>
    <w:p>
      <w:r>
        <w:rPr>
          <w:b/>
        </w:rPr>
        <w:t xml:space="preserve">Önceki kapsamlı raporla karşılaştırma: </w:t>
      </w:r>
      <w:r>
        <w:t>Yeni.</w:t>
      </w:r>
    </w:p>
    <w:p>
      <w:pPr>
        <w:pStyle w:val="Heading4"/>
        <w:keepNext/>
      </w:pPr>
      <w:r>
        <w:t>B3-AK-11. 3.8–3.10 aynı normatif faydayı farklı başlıklarla yeniden kuruyor</w:t>
      </w:r>
    </w:p>
    <w:p>
      <w:r>
        <w:rPr>
          <w:b/>
        </w:rPr>
        <w:t xml:space="preserve">Kategori: </w:t>
      </w:r>
      <w:r>
        <w:t>Bölümler arası tekrar / Yapısal</w:t>
      </w:r>
    </w:p>
    <w:p>
      <w:r>
        <w:rPr>
          <w:b/>
        </w:rPr>
        <w:t xml:space="preserve">Önem: </w:t>
      </w:r>
      <w:r>
        <w:t>Yüksek</w:t>
      </w:r>
    </w:p>
    <w:p>
      <w:r>
        <w:rPr>
          <w:b/>
        </w:rPr>
        <w:t xml:space="preserve">Yer: </w:t>
      </w:r>
      <w:r>
        <w:t>3.8–3.10, s.74–80</w:t>
      </w:r>
    </w:p>
    <w:p>
      <w:r>
        <w:rPr>
          <w:b/>
        </w:rPr>
        <w:t>Kitaptaki ifade</w:t>
      </w:r>
    </w:p>
    <w:p>
      <w:pPr>
        <w:pStyle w:val="QuoteBlock"/>
      </w:pPr>
      <w:r>
        <w:t>Sonuç olarak denilebilir ki resm-i Osmânî’ye bağlılık, bazı âlimler ve müellifler nezdinde yalnızca ilk mushaf hattına sadakat anlamı taşımamakta, aynı zamanda ümmetin Kur’an’la kurduğu tarihî ilişkinin, nebevî mirasa duyduğu aidiyetin ve mushaf karşısındaki edep bilincinin sürdürülmesi anlamına gelmektedir. Bu sebeple resm-i Osmânî’yi burada teknik bir yazı sistemi olmanın ötesinde, nübüvvet çağını bugüne taşıyan tarihî, sembolik ve manevi bir emanet olarak değerlendirmek gerekir.</w:t>
      </w:r>
    </w:p>
    <w:p>
      <w:r>
        <w:rPr>
          <w:b/>
        </w:rPr>
        <w:t xml:space="preserve">Sorun: </w:t>
      </w:r>
      <w:r>
        <w:t>Nebevî rehberlik, selefin fazileti ve müşâfehe geleneği birbirinden farklı kavramlar olmakla birlikte mevcut anlatımda üçü de “resme bağlılık ilk nesille bağı ve doğru aktarımı korur” sonucuna bağlanıyor. Başlık farkları, içerikte yeterince belirginleşmiyor.</w:t>
      </w:r>
    </w:p>
    <w:p>
      <w:r>
        <w:rPr>
          <w:b/>
        </w:rPr>
        <w:t xml:space="preserve">En uygun editoryal işlem: </w:t>
      </w:r>
      <w:r>
        <w:t>Her başlığın tek sorusunu belirle veya 3.7–3.12’yi önceki raporda önerildiği gibi daha az sayıda üst başlıkta birleştir.</w:t>
      </w:r>
    </w:p>
    <w:p>
      <w:r>
        <w:rPr>
          <w:b/>
        </w:rPr>
        <w:t>Doğrudan kullanılabilecek biçim</w:t>
      </w:r>
    </w:p>
    <w:p>
      <w:pPr>
        <w:pStyle w:val="QuoteBlock"/>
      </w:pPr>
      <w:r>
        <w:t>3.8 yalnız nebevî/sünnet referanslarının nasıl kullanıldığını; 3.9 selef otoritesine ilişkin klasik değerlendirmeleri; 3.10 ise yazının telaffuzu bütünüyle göstermemesi nedeniyle müşâfehenin işlevini ele almalıdır. Aynı “resme bağlılık faydalıdır” sonucu üçünde de tekrarlanmamalıdır.</w:t>
      </w:r>
    </w:p>
    <w:p>
      <w:r>
        <w:rPr>
          <w:b/>
        </w:rPr>
        <w:t xml:space="preserve">Önceki kapsamlı raporla karşılaştırma: </w:t>
      </w:r>
      <w:r>
        <w:t>Kısmen vardı: önceki rapor 3.7–3.12’nin yapısal birleşmesini önermişti; üç başlığın işlevsel ayrımı bu raporda netleştirildi.</w:t>
      </w:r>
    </w:p>
    <w:p>
      <w:pPr>
        <w:pStyle w:val="Heading4"/>
        <w:keepNext/>
      </w:pPr>
      <w:r>
        <w:t>B3-AK-12. 3.10’da resme fail rolü veren ve aynı sonucu tekrarlayan kapanışlar yoğunlaşıyor</w:t>
      </w:r>
    </w:p>
    <w:p>
      <w:r>
        <w:rPr>
          <w:b/>
        </w:rPr>
        <w:t xml:space="preserve">Kategori: </w:t>
      </w:r>
      <w:r>
        <w:t>Formülaik anlatım / Kavramsal akış</w:t>
      </w:r>
    </w:p>
    <w:p>
      <w:r>
        <w:rPr>
          <w:b/>
        </w:rPr>
        <w:t xml:space="preserve">Önem: </w:t>
      </w:r>
      <w:r>
        <w:t>Yüksek</w:t>
      </w:r>
    </w:p>
    <w:p>
      <w:r>
        <w:rPr>
          <w:b/>
        </w:rPr>
        <w:t xml:space="preserve">Yer: </w:t>
      </w:r>
      <w:r>
        <w:t>3.10, s.77–80; 345–350</w:t>
      </w:r>
    </w:p>
    <w:p>
      <w:r>
        <w:rPr>
          <w:b/>
        </w:rPr>
        <w:t>Kitaptaki ifade</w:t>
      </w:r>
    </w:p>
    <w:p>
      <w:pPr>
        <w:pStyle w:val="QuoteBlock"/>
      </w:pPr>
      <w:r>
        <w:t>Meselenin bir başka boyutu, tecvid ve kırâat edâsının yazıdan bütünüyle çıkarılamayan özellikleri taşımasıdır. Revm, işmâm, teshîl, tahkik, tefhim, kalkale, idğam ve ihfâ gibi pek çok husus, yazılı işaretlerle kısmen gösterilebilse de, mahreç, sıfat ve edâ boyutlarıyla ancak işitme ve uygulamalı tekrar yoluyla tam olarak öğrenilebilir. Nitekim bazı sûrelerin başındaki hurûf-ı mukattaa, yazıda harf şekilleriyle bulunmakla birlikte, bunların nasıl telaffuz edileceği yazıdan doğrudan çıkarılamaz; doğru edâ ancak telakki ile kazanılır. Bu da göstermektedir…</w:t>
      </w:r>
    </w:p>
    <w:p>
      <w:r>
        <w:rPr>
          <w:b/>
        </w:rPr>
        <w:t xml:space="preserve">Sorun: </w:t>
      </w:r>
      <w:r>
        <w:t>Paragraflar “resm yöneltir / öğretir / müşâfeheyi canlı tutar” türü sonuçlara tekrar tekrar dönüyor. Aynı düşünce, yazının fonetik ayrıntıları göstermemesinden müşâfehenin gerekli oluşuna daha doğal ve öznesiz biçimde bağlanabilir.</w:t>
      </w:r>
    </w:p>
    <w:p>
      <w:r>
        <w:rPr>
          <w:b/>
        </w:rPr>
        <w:t xml:space="preserve">En uygun editoryal işlem: </w:t>
      </w:r>
      <w:r>
        <w:t>Resmi özneleştiren sonuçları çıkar; yazının sınırlı fonetik gösterimi ile sözlü öğretim ihtiyacı arasındaki ilişkiyi bir kez kur.</w:t>
      </w:r>
    </w:p>
    <w:p>
      <w:r>
        <w:rPr>
          <w:b/>
        </w:rPr>
        <w:t>Doğrudan kullanılabilecek biçim</w:t>
      </w:r>
    </w:p>
    <w:p>
      <w:pPr>
        <w:pStyle w:val="QuoteBlock"/>
      </w:pPr>
      <w:r>
        <w:t>Mushaf yazısı telaffuz ve edânın bütün ayrıntılarını tek başına göstermediğinden, kırâatin ehil hocadan telakki ve müşâfehe yoluyla öğrenilmesi önemini korumuştur. Resm ile sözlü öğretim arasındaki ilişki, yazının okuyuşu üretmesi şeklinde değil, yazılı kaydın rivâyetle tamamlanması şeklinde anlaşılmalıdır.</w:t>
      </w:r>
    </w:p>
    <w:p>
      <w:r>
        <w:rPr>
          <w:b/>
        </w:rPr>
        <w:t xml:space="preserve">Önceki kapsamlı raporla karşılaştırma: </w:t>
      </w:r>
      <w:r>
        <w:t>Kısmen yeni; önceki raporda resmin özneleştirilmesi genel sorun olarak vardı, 3.10’daki tekrar zinciri burada ayrıca gösterildi.</w:t>
      </w:r>
    </w:p>
    <w:p>
      <w:pPr>
        <w:pStyle w:val="Heading4"/>
        <w:keepNext/>
      </w:pPr>
      <w:r>
        <w:t>B3-AK-13. 3.11 başlık kapsamı ile paragraf ağırlığı arasında dengesizlik var; son iki paragraf çift sonuç oluşturuyor</w:t>
      </w:r>
    </w:p>
    <w:p>
      <w:r>
        <w:rPr>
          <w:b/>
        </w:rPr>
        <w:t xml:space="preserve">Kategori: </w:t>
      </w:r>
      <w:r>
        <w:t>Yapısal / Gereksiz özet</w:t>
      </w:r>
    </w:p>
    <w:p>
      <w:r>
        <w:rPr>
          <w:b/>
        </w:rPr>
        <w:t xml:space="preserve">Önem: </w:t>
      </w:r>
      <w:r>
        <w:t>Orta</w:t>
      </w:r>
    </w:p>
    <w:p>
      <w:r>
        <w:rPr>
          <w:b/>
        </w:rPr>
        <w:t xml:space="preserve">Yer: </w:t>
      </w:r>
      <w:r>
        <w:t>3.11, s.80–83; 351–368</w:t>
      </w:r>
    </w:p>
    <w:p>
      <w:r>
        <w:rPr>
          <w:b/>
        </w:rPr>
        <w:t>Kitaptaki ifade</w:t>
      </w:r>
    </w:p>
    <w:p>
      <w:pPr>
        <w:pStyle w:val="QuoteBlock"/>
      </w:pPr>
      <w:r>
        <w:t>Bütün bu tespitler birlikte değerlendirildiğinde, mushafın aslî resminin korunması meselesinin ilk dönem literatüründe çok boyutlu bir muhafaza anlayışına dayandığı görülmektedir. Bu anlayış çerçevesinde resm-i Osmânî’ye bağlılık, bir taraftan Kur’an metnini tahrif tehlikesine karşı korumakta, diğer taraftan resm ilmi etrafında teşekkül etmiş geleneksel ilmî mirası yaşatmaktadır. Ayrıca Kur’an’da saklı bulunan dil ve lehçe özelliklerini muhafaza etmekte ve nihayet sahih kırâat geleneğinin sürekliliğini temin etmektedir. Dolayısıyla burada söz konusu…</w:t>
      </w:r>
    </w:p>
    <w:p>
      <w:r>
        <w:rPr>
          <w:b/>
        </w:rPr>
        <w:t xml:space="preserve">Sorun: </w:t>
      </w:r>
      <w:r>
        <w:t>“Aslî yazım geleneğinin korunması” başlığı altında uzun bir tahrif/bozulma anlatısı yer alıyor; resm geleneğinin korunma gerekçelerine daha sonra dönülüyor. 367 geniş sentez, 368 ise ikinci kısa sentezdir.</w:t>
      </w:r>
    </w:p>
    <w:p>
      <w:r>
        <w:rPr>
          <w:b/>
        </w:rPr>
        <w:t xml:space="preserve">En uygun editoryal işlem: </w:t>
      </w:r>
      <w:r>
        <w:t>Tarihsel örnekleri kısalt; koruma gerekçelerini merkeze al; 367–368’i tek sonuçta birleştir.</w:t>
      </w:r>
    </w:p>
    <w:p>
      <w:r>
        <w:rPr>
          <w:b/>
        </w:rPr>
        <w:t>Doğrudan kullanılabilecek biçim</w:t>
      </w:r>
    </w:p>
    <w:p>
      <w:pPr>
        <w:pStyle w:val="QuoteBlock"/>
      </w:pPr>
      <w:r>
        <w:t>Bu örnekler, resm-i Osmânî’ye bağlılığın yalnız belirli bir yazı biçimini sürdürme meselesi olarak değil, mushaf yazımında süreklilik ve denetim gerekçeleriyle savunulduğunu göstermektedir. Bununla birlikte tarihsel olaylar, yazım geleneğine ilişkin genel hükmün tek başına kanıtı hâline getirilmemelidir.</w:t>
      </w:r>
    </w:p>
    <w:p>
      <w:r>
        <w:rPr>
          <w:b/>
        </w:rPr>
        <w:t xml:space="preserve">Önceki kapsamlı raporla karşılaştırma: </w:t>
      </w:r>
      <w:r>
        <w:t>Yeni/kısmen yeni.</w:t>
      </w:r>
    </w:p>
    <w:p>
      <w:pPr>
        <w:pStyle w:val="Heading4"/>
        <w:keepNext/>
      </w:pPr>
      <w:r>
        <w:t>B3-AK-14. 3.12’nin son üç paragrafı ardışık sentezler hâline geliyor</w:t>
      </w:r>
    </w:p>
    <w:p>
      <w:r>
        <w:rPr>
          <w:b/>
        </w:rPr>
        <w:t xml:space="preserve">Kategori: </w:t>
      </w:r>
      <w:r>
        <w:t>Gereksiz ara sonuç / Tekrar</w:t>
      </w:r>
    </w:p>
    <w:p>
      <w:r>
        <w:rPr>
          <w:b/>
        </w:rPr>
        <w:t xml:space="preserve">Önem: </w:t>
      </w:r>
      <w:r>
        <w:t>Yüksek</w:t>
      </w:r>
    </w:p>
    <w:p>
      <w:r>
        <w:rPr>
          <w:b/>
        </w:rPr>
        <w:t xml:space="preserve">Yer: </w:t>
      </w:r>
      <w:r>
        <w:t>3.12, s.83–86; 375–377</w:t>
      </w:r>
    </w:p>
    <w:p>
      <w:r>
        <w:rPr>
          <w:b/>
        </w:rPr>
        <w:t>Kitaptaki ifade</w:t>
      </w:r>
    </w:p>
    <w:p>
      <w:pPr>
        <w:pStyle w:val="QuoteBlock"/>
      </w:pPr>
      <w:r>
        <w:t>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değil,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w:t>
      </w:r>
    </w:p>
    <w:p>
      <w:r>
        <w:rPr>
          <w:b/>
        </w:rPr>
        <w:t xml:space="preserve">Sorun: </w:t>
      </w:r>
      <w:r>
        <w:t>375 “yazı birliği–metin güvenliği”, 376 “ortak hafıza”, 377 “Bizce...” ile üçüncü kez aynı ümmet birliği sonucunu kuruyor. Bölümün kapanışı uzadıkça Dördüncü Bölüme geçiş gecikiyor.</w:t>
      </w:r>
    </w:p>
    <w:p>
      <w:r>
        <w:rPr>
          <w:b/>
        </w:rPr>
        <w:t xml:space="preserve">En uygun editoryal işlem: </w:t>
      </w:r>
      <w:r>
        <w:t>Üç paragrafı tek sentez ve tek bölüm köprüsünde birleştir.</w:t>
      </w:r>
    </w:p>
    <w:p>
      <w:r>
        <w:rPr>
          <w:b/>
        </w:rPr>
        <w:t>Doğrudan kullanılabilecek biçim</w:t>
      </w:r>
    </w:p>
    <w:p>
      <w:pPr>
        <w:pStyle w:val="QuoteBlock"/>
      </w:pPr>
      <w:r>
        <w:t>Resm-i Osmânî’ye bağlılık, bazı müelliflerce ortak mushaf hafızasının ve yazım sürekliliğinin unsurlarından biri olarak değerlendirilmiştir. Bu normatif ve toplumsal gerekçelerden sonra, kitabın ana sorusu açısından belirleyici olan husus resm verilerinin kırâat vecihlerinin rivâyet ve değerlendirilmesinde nasıl kullanıldığıdır.</w:t>
      </w:r>
    </w:p>
    <w:p>
      <w:r>
        <w:rPr>
          <w:b/>
        </w:rPr>
        <w:t xml:space="preserve">Önceki kapsamlı raporla karşılaştırma: </w:t>
      </w:r>
      <w:r>
        <w:t>Yeni.</w:t>
      </w:r>
    </w:p>
    <w:p>
      <w:pPr>
        <w:pStyle w:val="Heading4"/>
        <w:keepNext/>
      </w:pPr>
      <w:r>
        <w:t>B3-AK-15. Üçüncü Bölümden Dördüncü Bölüme ana probleme dönüş açıkça kurulmamış</w:t>
      </w:r>
    </w:p>
    <w:p>
      <w:r>
        <w:rPr>
          <w:b/>
        </w:rPr>
        <w:t xml:space="preserve">Kategori: </w:t>
      </w:r>
      <w:r>
        <w:t>Bölüm geçişi</w:t>
      </w:r>
    </w:p>
    <w:p>
      <w:r>
        <w:rPr>
          <w:b/>
        </w:rPr>
        <w:t xml:space="preserve">Önem: </w:t>
      </w:r>
      <w:r>
        <w:t>Yüksek</w:t>
      </w:r>
    </w:p>
    <w:p>
      <w:r>
        <w:rPr>
          <w:b/>
        </w:rPr>
        <w:t xml:space="preserve">Yer: </w:t>
      </w:r>
      <w:r>
        <w:t>3.12 sonu → 4.1</w:t>
      </w:r>
    </w:p>
    <w:p>
      <w:r>
        <w:rPr>
          <w:b/>
        </w:rPr>
        <w:t>Kitaptaki ifade</w:t>
      </w:r>
    </w:p>
    <w:p>
      <w:pPr>
        <w:pStyle w:val="QuoteBlock"/>
      </w:pPr>
      <w:r>
        <w:t>Önceki paragraf: “Resm-i Osmânî’ye bağlılık, bu bakış açısına göre, yalnızca mushafın ilkyazım biçimini koruma iradesiyle açıklanamaz. Bunun yanında, ümmetin Kur’an etrafında oluşan ortak hattını, müşterek hafızasını ve birlik düşüncesini belirgin kılan bir unsur olarak da anlam kazanmaktadır. Bu sebeple mushaf yazımında, farklılaşma veya ikili…”</w:t>
        <w:br/>
        <w:t>Sonraki paragraf: “Kırâat vecihlerinin naklinde aslî dayanak, yazılı metinden önce telakki ve müşâfehedir. Zira kırâat, sonraki neslin önceki nesilden aldığı ve uygulayarak sürdürdüğü ittiba edilen bir sünnet olarak anlaşılmıştır. Bu bağlamda Zeyd b. Sâbit’ten ve başkalarından nakledildiğine göre “Kırâat sünnettir.” sözü ile Ebû Amr b.…”</w:t>
      </w:r>
    </w:p>
    <w:p>
      <w:r>
        <w:rPr>
          <w:b/>
        </w:rPr>
        <w:t xml:space="preserve">Sorun: </w:t>
      </w:r>
      <w:r>
        <w:t>Üçüncü bölüm birlik ve ortak hafıza gibi geniş normatif temalarla biter; dördüncü bölüm birden “kırâat vecihlerinin naklinde aslî dayanak telakki ve müşâfehedir” diye teknik merkeze döner. Geçiş doğru ama görünür değildir.</w:t>
      </w:r>
    </w:p>
    <w:p>
      <w:r>
        <w:rPr>
          <w:b/>
        </w:rPr>
        <w:t xml:space="preserve">En uygun editoryal işlem: </w:t>
      </w:r>
      <w:r>
        <w:t>3.12’nin son cümlesini Dördüncü Bölümün uygulama sorusuna bağla.</w:t>
      </w:r>
    </w:p>
    <w:p>
      <w:r>
        <w:rPr>
          <w:b/>
        </w:rPr>
        <w:t>Doğrudan kullanılabilecek biçim</w:t>
      </w:r>
    </w:p>
    <w:p>
      <w:pPr>
        <w:pStyle w:val="QuoteBlock"/>
      </w:pPr>
      <w:r>
        <w:t>Bu değerlendirmeler resm-i Osmânî’ye bağlılığın farklı gerekçelerini göstermektedir. Bunun kırâat ilmi bakımından somut değeri ise, resm verilerinin rivâyetle sabit okuyuşların tespiti, sınırlandırılması ve değerlendirilmesinde nasıl kullanıldığının incelenmesiyle belirginleşir.</w:t>
      </w:r>
    </w:p>
    <w:p>
      <w:r>
        <w:rPr>
          <w:b/>
        </w:rPr>
        <w:t xml:space="preserve">Önceki kapsamlı raporla karşılaştırma: </w:t>
      </w:r>
      <w:r>
        <w:t>Yeni.</w:t>
      </w:r>
    </w:p>
    <w:p>
      <w:pPr>
        <w:pStyle w:val="Heading2"/>
        <w:keepNext/>
      </w:pPr>
      <w:r>
        <w:t>8. Dördüncü Bölüm</w:t>
      </w:r>
    </w:p>
    <w:p>
      <w:pPr>
        <w:pStyle w:val="Heading4"/>
        <w:keepNext/>
      </w:pPr>
      <w:r>
        <w:t>B4-AK-01. 4.1 aynı ana tezi art arda birkaç paragrafta yeniden kuruyor</w:t>
      </w:r>
    </w:p>
    <w:p>
      <w:r>
        <w:rPr>
          <w:b/>
        </w:rPr>
        <w:t xml:space="preserve">Kategori: </w:t>
      </w:r>
      <w:r>
        <w:t>Tekrar / Formülaik anlatım</w:t>
      </w:r>
    </w:p>
    <w:p>
      <w:r>
        <w:rPr>
          <w:b/>
        </w:rPr>
        <w:t xml:space="preserve">Önem: </w:t>
      </w:r>
      <w:r>
        <w:t>Yüksek</w:t>
      </w:r>
    </w:p>
    <w:p>
      <w:r>
        <w:rPr>
          <w:b/>
        </w:rPr>
        <w:t xml:space="preserve">Yer: </w:t>
      </w:r>
      <w:r>
        <w:t>4.1, 384–393</w:t>
      </w:r>
    </w:p>
    <w:p>
      <w:r>
        <w:rPr>
          <w:b/>
        </w:rPr>
        <w:t>Kitaptaki ifade</w:t>
      </w:r>
    </w:p>
    <w:p>
      <w:pPr>
        <w:pStyle w:val="QuoteBlock"/>
      </w:pPr>
      <w:r>
        <w:t>Kırâat vecihlerinin naklinde aslî dayanak, yazılı metinden önce telakki ve müşâfehedir. Zira kırâat, sonraki neslin önceki nesilden aldığı ve uygulayarak sürdürdüğü ittiba edilen bir sünnet olarak anlaşılmıştır. Bu bağlamda Zeyd b. Sâbit’ten ve başkalarından nakledildiğine göre “Kırâat sünnettir.” sözü ile Ebû Amr b. el-A’lâ’nın (ö. 154/771) kırâat hususundaki yöntemini anlatırken, “Allah’a yemin ederim ki, okuduğum hiçbir harfi, sahih bir rivâyete dayanmaksızın okumadım.” ifadesi, bu anlayışı açıkça ortaya koymaktadır. Nitekim Kastallânî’ye göre de…</w:t>
      </w:r>
    </w:p>
    <w:p>
      <w:r>
        <w:rPr>
          <w:b/>
        </w:rPr>
        <w:t xml:space="preserve">Sorun: </w:t>
      </w:r>
      <w:r>
        <w:t>384 sözlü aktarımın aslî olduğunu, 385 resmin sınırlandırıcı rolünü, 387 benzer ölçü ilişkisini, 391 ve 393 yeniden “resm kaynak değil ölçüdür” fikrini kuruyor. Ana tez gerekli, fakat her örneğin sonunda yeniden söylenmesi bölümün uygulama gücünü azaltıyor.</w:t>
      </w:r>
    </w:p>
    <w:p>
      <w:r>
        <w:rPr>
          <w:b/>
        </w:rPr>
        <w:t xml:space="preserve">En uygun editoryal işlem: </w:t>
      </w:r>
      <w:r>
        <w:t>384’te ana ilkeyi bir kez açık kur; sonraki paragrafları somut işlevlere ayır: yazılı eşik, bölgesel mushaf–mukrî ilişkisi, sınırlandırma, sentez.</w:t>
      </w:r>
    </w:p>
    <w:p>
      <w:r>
        <w:rPr>
          <w:b/>
        </w:rPr>
        <w:t>Doğrudan kullanılabilecek biçim</w:t>
      </w:r>
    </w:p>
    <w:p>
      <w:pPr>
        <w:pStyle w:val="QuoteBlock"/>
      </w:pPr>
      <w:r>
        <w:t>Kırâat vecihlerinin naklinde aslî dayanak telakki, müşâfehe, edâ ve isnaddır. Resm-i Osmânî bu rivâyet düzeninin yerine geçmez; rivâyetle gelen okuyuşların ortak mushaf yazısıyla bağdaşma sınırını belirleyen ölçülerden biri olarak işlev görür. İzleyen örnekler bu işlevin tespit ve tahdit düzeyindeki kullanımını göstermektedir.</w:t>
      </w:r>
    </w:p>
    <w:p>
      <w:r>
        <w:rPr>
          <w:b/>
        </w:rPr>
        <w:t xml:space="preserve">Önceki kapsamlı raporla karşılaştırma: </w:t>
      </w:r>
      <w:r>
        <w:t>Kısmen yeni: önceki rapor 4.1’de resmin özneleştirilmesini bulmuştu; ana tez tekrarının yoğunluğu burada ayrıca değerlendirildi.</w:t>
      </w:r>
    </w:p>
    <w:p>
      <w:pPr>
        <w:pStyle w:val="Heading4"/>
        <w:keepNext/>
      </w:pPr>
      <w:r>
        <w:t>B4-AK-02. 4.1’den 4.2’ye sahâbe mushaflarına geçiş hazırlanabilir</w:t>
      </w:r>
    </w:p>
    <w:p>
      <w:r>
        <w:rPr>
          <w:b/>
        </w:rPr>
        <w:t xml:space="preserve">Kategori: </w:t>
      </w:r>
      <w:r>
        <w:t>Alt başlık geçişi</w:t>
      </w:r>
    </w:p>
    <w:p>
      <w:r>
        <w:rPr>
          <w:b/>
        </w:rPr>
        <w:t xml:space="preserve">Önem: </w:t>
      </w:r>
      <w:r>
        <w:t>Orta</w:t>
      </w:r>
    </w:p>
    <w:p>
      <w:r>
        <w:rPr>
          <w:b/>
        </w:rPr>
        <w:t xml:space="preserve">Yer: </w:t>
      </w:r>
      <w:r>
        <w:t>4.1 sonu → 4.2</w:t>
      </w:r>
    </w:p>
    <w:p>
      <w:r>
        <w:rPr>
          <w:b/>
        </w:rPr>
        <w:t>Kitaptaki ifade</w:t>
      </w:r>
    </w:p>
    <w:p>
      <w:pPr>
        <w:pStyle w:val="QuoteBlock"/>
      </w:pPr>
      <w:r>
        <w:t>Bütün bunlar birlikte düşünüldüğünde Osmânî resmin kırâat vecihlerinin rivâyet ve naklinde üç yönlü bir rol üstlendiği söylenebilir. İlk olarak, sahih rivâyetleri müşâfehe ve isnad yoluyla korunan bir alan içinde yazılı olarak sabitlemektedir. İkinci olarak, son arza ve tevâtür esasına göre mensuh, âhâd veya Kur’anlığı kesinleşmemiş unsurları dışarıda bırakmaktadır. Üçüncü olarak da İslâm beldelerinde kırâat rivâyetinin seyrini mushaf ve mukrî birlikteliği üzerinden zapt altına almaktadır. Bu çerçevede, resm-i Osmânî'nin kırâat tarihi, rivâyet disiplini…</w:t>
      </w:r>
    </w:p>
    <w:p>
      <w:r>
        <w:rPr>
          <w:b/>
        </w:rPr>
        <w:t xml:space="preserve">Sorun: </w:t>
      </w:r>
      <w:r>
        <w:t>4.1 genel resm sınırını sonuçlandırıyor; 4.2 sahâbe mushaflarına doğrudan geçiyor. Sahâbe mushaflarının niçin bir sonraki test alanı olduğu açıkça söylenirse bölüm mimarisi güçlenir.</w:t>
      </w:r>
    </w:p>
    <w:p>
      <w:r>
        <w:rPr>
          <w:b/>
        </w:rPr>
        <w:t xml:space="preserve">En uygun editoryal işlem: </w:t>
      </w:r>
      <w:r>
        <w:t>4.1’in son cümlesini sahâbe mushaflarının tarihsel tanıklığı ile ortak normatif otorite ayrımına bağla.</w:t>
      </w:r>
    </w:p>
    <w:p>
      <w:r>
        <w:rPr>
          <w:b/>
        </w:rPr>
        <w:t>Doğrudan kullanılabilecek biçim</w:t>
      </w:r>
    </w:p>
    <w:p>
      <w:pPr>
        <w:pStyle w:val="QuoteBlock"/>
      </w:pPr>
      <w:r>
        <w:t>Resmin sınırlandırıcı işlevi, Osmânî mushaflarla bağdaşmayan veya farklı yazılı tanıklıklarda aktarılan okuyuşlar söz konusu olduğunda daha açık biçimde görülür. Bu nedenle bir sonraki başlıkta sahâbe mushaflarının tarihsel değeri ile Osmânî mushafların ortak otoritesi arasındaki ilişki ele alınacaktır.</w:t>
      </w:r>
    </w:p>
    <w:p>
      <w:r>
        <w:rPr>
          <w:b/>
        </w:rPr>
        <w:t xml:space="preserve">Önceki kapsamlı raporla karşılaştırma: </w:t>
      </w:r>
      <w:r>
        <w:t>Yeni.</w:t>
      </w:r>
    </w:p>
    <w:p>
      <w:pPr>
        <w:pStyle w:val="Heading4"/>
        <w:keepNext/>
      </w:pPr>
      <w:r>
        <w:t>B4-AK-03. 4.2’de “tarihsel tanıklık var, normatif otorite yok” ayrımı birkaç kez yeniden kuruluyor</w:t>
      </w:r>
    </w:p>
    <w:p>
      <w:r>
        <w:rPr>
          <w:b/>
        </w:rPr>
        <w:t xml:space="preserve">Kategori: </w:t>
      </w:r>
      <w:r>
        <w:t>Tekrar</w:t>
      </w:r>
    </w:p>
    <w:p>
      <w:r>
        <w:rPr>
          <w:b/>
        </w:rPr>
        <w:t xml:space="preserve">Önem: </w:t>
      </w:r>
      <w:r>
        <w:t>Orta</w:t>
      </w:r>
    </w:p>
    <w:p>
      <w:r>
        <w:rPr>
          <w:b/>
        </w:rPr>
        <w:t xml:space="preserve">Yer: </w:t>
      </w:r>
      <w:r>
        <w:t>4.2, 395–401</w:t>
      </w:r>
    </w:p>
    <w:p>
      <w:r>
        <w:rPr>
          <w:b/>
        </w:rPr>
        <w:t>Kitaptaki ifade</w:t>
      </w:r>
    </w:p>
    <w:p>
      <w:pPr>
        <w:pStyle w:val="QuoteBlock"/>
      </w:pPr>
      <w:r>
        <w:t>Buradan hareketle denilebilir ki resm-i Osmânî’nin sahâbe mushaflarındaki kırâat rivâyetleri karşısındaki tutumu iki yönlüdür. Bu tutum, bir taraftan bu mushaflarda yer alan rivâyet birikiminin tarihî gerçekliğini teslim etmekte, onları Kur’an’ın nüzûl ve telakki sürecinin önemli tanıkları arasında görmektedir. Diğer taraftan bu rivâyetlerin tamamını bağlayıcı mushaf metninin parçası saymayarak, son arza ve icmâ ölçüsüne göre müşterek mushaf alanını sınırlandırmaktadır. Bu yönüyle Osmânî resm, sahâbe mushaflarından gelen okuyuş çeşitliliğini nihai…</w:t>
      </w:r>
    </w:p>
    <w:p>
      <w:r>
        <w:rPr>
          <w:b/>
        </w:rPr>
        <w:t xml:space="preserve">Sorun: </w:t>
      </w:r>
      <w:r>
        <w:t>Başlığın temel ayrımı doğru olsa da 395, 397, 399, 400 ve 401 aynı iki yönlü sonucu farklı örnekler ardından yeniden söylüyor. Örneklerin analitik katkısı kapanış cümlelerinin tekrarı içinde kayboluyor.</w:t>
      </w:r>
    </w:p>
    <w:p>
      <w:r>
        <w:rPr>
          <w:b/>
        </w:rPr>
        <w:t xml:space="preserve">En uygun editoryal işlem: </w:t>
      </w:r>
      <w:r>
        <w:t>Temel ayrımı girişte bir kez kur; her örnekte yalnız örneğin bu ayrımın hangi yönünü gösterdiğini belirt.</w:t>
      </w:r>
    </w:p>
    <w:p>
      <w:r>
        <w:rPr>
          <w:b/>
        </w:rPr>
        <w:t>Doğrudan kullanılabilecek biçim</w:t>
      </w:r>
    </w:p>
    <w:p>
      <w:pPr>
        <w:pStyle w:val="QuoteBlock"/>
      </w:pPr>
      <w:r>
        <w:t>Sahâbe mushafları erken aktarım ortamına ilişkin tarihsel veriler sunar; ancak bu tanıklık onların genel tilâvet ve mushaf yazımı bakımından Osmânî mushaflarla aynı normatif konumda olduğu anlamına gelmez. Aşağıdaki örnekler bu iki düzeyin kaynaklarda nasıl ayrıldığını göstermektedir.</w:t>
      </w:r>
    </w:p>
    <w:p>
      <w:r>
        <w:rPr>
          <w:b/>
        </w:rPr>
        <w:t xml:space="preserve">Önceki kapsamlı raporla karşılaştırma: </w:t>
      </w:r>
      <w:r>
        <w:t>Yeni.</w:t>
      </w:r>
    </w:p>
    <w:p>
      <w:pPr>
        <w:pStyle w:val="Heading4"/>
        <w:keepNext/>
      </w:pPr>
      <w:r>
        <w:t>B4-AK-04. 4.2’de 401 ve 406 iki ayrı genel sonuç oluşturuyor</w:t>
      </w:r>
    </w:p>
    <w:p>
      <w:r>
        <w:rPr>
          <w:b/>
        </w:rPr>
        <w:t xml:space="preserve">Kategori: </w:t>
      </w:r>
      <w:r>
        <w:t>Gereksiz ara sonuç / Aşırı sonuç</w:t>
      </w:r>
    </w:p>
    <w:p>
      <w:r>
        <w:rPr>
          <w:b/>
        </w:rPr>
        <w:t xml:space="preserve">Önem: </w:t>
      </w:r>
      <w:r>
        <w:t>Yüksek</w:t>
      </w:r>
    </w:p>
    <w:p>
      <w:r>
        <w:rPr>
          <w:b/>
        </w:rPr>
        <w:t xml:space="preserve">Yer: </w:t>
      </w:r>
      <w:r>
        <w:t>4.2; 401 ve 406</w:t>
      </w:r>
    </w:p>
    <w:p>
      <w:r>
        <w:rPr>
          <w:b/>
        </w:rPr>
        <w:t>Kitaptaki ifade</w:t>
      </w:r>
    </w:p>
    <w:p>
      <w:pPr>
        <w:pStyle w:val="QuoteBlock"/>
      </w:pPr>
      <w:r>
        <w:t>Sonuç olarak bu veriler birlikte değerlendirildiğinde, sahâbe mushaflarının yakılması meselesinin, Kur’an tarihindeki en önemli birleştirici adımlardan biri olduğu görülmektedir. Burada amaç, farklı şahsi nüshaları ortadan kaldırmak suretiyle metni daraltmak amacı taşımaktan çok, ümmeti tek bir mushaf hattında, tek bir ortak metin otoritesi etrafında toplamak ve okuyuş alanını bu müşterek zemine göre yeniden düzenlemektir. Bu sebeple resm-i Osmânî, ümmetin müşterek mushaf bilincini tesis eden, ihtilafı azaltan ve metinsel otoriteyi sahâbe icmâı ile…</w:t>
      </w:r>
    </w:p>
    <w:p>
      <w:r>
        <w:rPr>
          <w:b/>
        </w:rPr>
        <w:t xml:space="preserve">Sorun: </w:t>
      </w:r>
      <w:r>
        <w:t>401 “iki yönlü tutum” diye genel sonuç verir; ardından yakma/dolaşımdan çıkarma anlatısı gelir ve 406 “Kur’an tarihindeki en önemli birleştirici adımlardan biri” diye ikinci, daha güçlü sonuç kurar. İkinci formül hem tekrarlı hem kanıt düzeyinden daha retorik.</w:t>
      </w:r>
    </w:p>
    <w:p>
      <w:r>
        <w:rPr>
          <w:b/>
        </w:rPr>
        <w:t xml:space="preserve">En uygun editoryal işlem: </w:t>
      </w:r>
      <w:r>
        <w:t>401’i ara geçişe dönüştür; 406’yı tarihsel tanıklık/normatif otorite ayrımını sonuçlandıran ölçülü cümleyle değiştir.</w:t>
      </w:r>
    </w:p>
    <w:p>
      <w:r>
        <w:rPr>
          <w:b/>
        </w:rPr>
        <w:t>Doğrudan kullanılabilecek biçim</w:t>
      </w:r>
    </w:p>
    <w:p>
      <w:pPr>
        <w:pStyle w:val="QuoteBlock"/>
      </w:pPr>
      <w:r>
        <w:t>Sahâbe mushaflarının dolaşımdan çıkarılmasına ilişkin rivâyetler, Osmânî mushafların ortak başvuru metni hâline gelme sürecinin bir parçası olarak ele alınmalıdır. Bu süreç, sahâbe mushaflarının tarihsel tanıklık değeri ile genel mushaf otoritesinin birbirinden ayrılmasını açıklamaktadır.</w:t>
      </w:r>
    </w:p>
    <w:p>
      <w:r>
        <w:rPr>
          <w:b/>
        </w:rPr>
        <w:t xml:space="preserve">Önceki kapsamlı raporla karşılaştırma: </w:t>
      </w:r>
      <w:r>
        <w:t>Yeni/kısmen yeni.</w:t>
      </w:r>
    </w:p>
    <w:p>
      <w:pPr>
        <w:pStyle w:val="Heading4"/>
        <w:keepNext/>
      </w:pPr>
      <w:r>
        <w:t>B4-AK-05. 4.3 aynı bağlayıcılık sonucunu her örnekten sonra yeniden kuruyor</w:t>
      </w:r>
    </w:p>
    <w:p>
      <w:r>
        <w:rPr>
          <w:b/>
        </w:rPr>
        <w:t xml:space="preserve">Kategori: </w:t>
      </w:r>
      <w:r>
        <w:t>Tekrar / Gereksiz özet</w:t>
      </w:r>
    </w:p>
    <w:p>
      <w:r>
        <w:rPr>
          <w:b/>
        </w:rPr>
        <w:t xml:space="preserve">Önem: </w:t>
      </w:r>
      <w:r>
        <w:t>Orta</w:t>
      </w:r>
    </w:p>
    <w:p>
      <w:r>
        <w:rPr>
          <w:b/>
        </w:rPr>
        <w:t xml:space="preserve">Yer: </w:t>
      </w:r>
      <w:r>
        <w:t>4.3, 408–415</w:t>
      </w:r>
    </w:p>
    <w:p>
      <w:r>
        <w:rPr>
          <w:b/>
        </w:rPr>
        <w:t>Kitaptaki ifade</w:t>
      </w:r>
    </w:p>
    <w:p>
      <w:pPr>
        <w:pStyle w:val="QuoteBlock"/>
      </w:pPr>
      <w:r>
        <w:t>Bütün bu veriler ışığında, resm-i Osmânî’ye aykırı kırâat vecihlerinin mensuh ve şâz sayılması meselesinin, mushaf hattının kırâat ilmindeki merkezî konumunu gösterdiği anlaşılmaktadır. Burada üç temel sonuç dikkat çekmektedir.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w:t>
      </w:r>
    </w:p>
    <w:p>
      <w:r>
        <w:rPr>
          <w:b/>
        </w:rPr>
        <w:t xml:space="preserve">Sorun: </w:t>
      </w:r>
      <w:r>
        <w:t>Başlıkta resme aykırı okuyuşlar, şâzlık ve kabul sınırı açıklanırken her paragraf sonunda “resmin merkezî/belirleyici konumu” yeniden vurgulanıyor. 415 ayrıca üç sonuç sayarak bütün bölümü tekrar özetliyor.</w:t>
      </w:r>
    </w:p>
    <w:p>
      <w:r>
        <w:rPr>
          <w:b/>
        </w:rPr>
        <w:t xml:space="preserve">En uygun editoryal işlem: </w:t>
      </w:r>
      <w:r>
        <w:t>Örnekleri koru; son cümle tekrarlarını azalt; 415’i kısa ve ihtiyatlı senteze dönüştür.</w:t>
      </w:r>
    </w:p>
    <w:p>
      <w:r>
        <w:rPr>
          <w:b/>
        </w:rPr>
        <w:t>Doğrudan kullanılabilecek biçim</w:t>
      </w:r>
    </w:p>
    <w:p>
      <w:pPr>
        <w:pStyle w:val="QuoteBlock"/>
      </w:pPr>
      <w:r>
        <w:t>Bu örnekler, resm-i Osmânî’ye uygunluğun kabul değerlendirmesinde diğer ölçülerle birlikte kullanılan sınırlandırıcı bir unsur olduğunu göstermektedir. Resme aykırılık ile isnad, yaygınlık ve tilâvet kabulü aynı kategoriye indirgenmemelidir.</w:t>
      </w:r>
    </w:p>
    <w:p>
      <w:r>
        <w:rPr>
          <w:b/>
        </w:rPr>
        <w:t xml:space="preserve">Önceki kapsamlı raporla karşılaştırma: </w:t>
      </w:r>
      <w:r>
        <w:t>Yeni.</w:t>
      </w:r>
    </w:p>
    <w:p>
      <w:pPr>
        <w:pStyle w:val="Heading4"/>
        <w:keepNext/>
      </w:pPr>
      <w:r>
        <w:t>B4-AK-06. 4.3’ten 4.4’e “kabul”den “tercih/tevcîh/vakıf”a geçiş daha açık kurulmalı</w:t>
      </w:r>
    </w:p>
    <w:p>
      <w:r>
        <w:rPr>
          <w:b/>
        </w:rPr>
        <w:t xml:space="preserve">Kategori: </w:t>
      </w:r>
      <w:r>
        <w:t>Alt başlık geçişi</w:t>
      </w:r>
    </w:p>
    <w:p>
      <w:r>
        <w:rPr>
          <w:b/>
        </w:rPr>
        <w:t xml:space="preserve">Önem: </w:t>
      </w:r>
      <w:r>
        <w:t>Orta</w:t>
      </w:r>
    </w:p>
    <w:p>
      <w:r>
        <w:rPr>
          <w:b/>
        </w:rPr>
        <w:t xml:space="preserve">Yer: </w:t>
      </w:r>
      <w:r>
        <w:t>4.3 sonu → 4.4</w:t>
      </w:r>
    </w:p>
    <w:p>
      <w:r>
        <w:rPr>
          <w:b/>
        </w:rPr>
        <w:t>Kitaptaki ifade</w:t>
      </w:r>
    </w:p>
    <w:p>
      <w:pPr>
        <w:pStyle w:val="QuoteBlock"/>
      </w:pPr>
      <w:r>
        <w:t>Önceki paragraf: “Bütün bu veriler ışığında, resm-i Osmânî’ye aykırı kırâat vecihlerinin mensuh ve şâz sayılması meselesinin, mushaf hattının kırâat ilmindeki merkezî konumunu gösterdiği anlaşılmaktadır. Burada üç temel sonuç dikkat çekmektedir. Birincisi, mushaf hattına aykırı kalan vecihlerin bir kısmı, geçmişte ruhsat kapsamında bulunmuş olsa…”</w:t>
        <w:br/>
        <w:t>Sonraki paragraf: “Osmânî mushafların resmi, kırâat ilminde zamanla yalnız metni muhafaza eden bir yazı zemini olarak kalmamış; kırâatlerin tercih edilmesi, yönlendirilmesi ve vakıf uygulamalarının belirlenmesi bakımından da başvurulan temel ölçülerden biri hâline gelmiştir. Nitekim kırâat rivâyetlerinin sahih, makbul ve bağlayıcı sayılması…”</w:t>
      </w:r>
    </w:p>
    <w:p>
      <w:r>
        <w:rPr>
          <w:b/>
        </w:rPr>
        <w:t xml:space="preserve">Sorun: </w:t>
      </w:r>
      <w:r>
        <w:t>417 “yalnız ... kalmamış” formülüyle yeni alanları açıyor, fakat kabul/tahdit ile kabul içindeki tercih ve yorum işlemlerinin farklı düzeyler olduğu açıkça ayrılmıyor.</w:t>
      </w:r>
    </w:p>
    <w:p>
      <w:r>
        <w:rPr>
          <w:b/>
        </w:rPr>
        <w:t xml:space="preserve">En uygun editoryal işlem: </w:t>
      </w:r>
      <w:r>
        <w:t>4.4’ü “kabul eşiğini geçen rivâyetler içinde resm verisinin kullanımı” şeklinde başlat.</w:t>
      </w:r>
    </w:p>
    <w:p>
      <w:r>
        <w:rPr>
          <w:b/>
        </w:rPr>
        <w:t>Doğrudan kullanılabilecek biçim</w:t>
      </w:r>
    </w:p>
    <w:p>
      <w:pPr>
        <w:pStyle w:val="QuoteBlock"/>
      </w:pPr>
      <w:r>
        <w:t>Resme uygunluğun kabul sınırındaki rolü ile sahih kabul edilen okuyuşlar arasındaki tercih ve tevcîh işlemleri aynı düzey değildir. Bu başlıkta resm verilerinin, kabul eşiğinden bağımsızlaştırılmadan, tercih, tevcîh ve bazı vakıf uygulamalarında nasıl kullanıldığı incelenecektir.</w:t>
      </w:r>
    </w:p>
    <w:p>
      <w:r>
        <w:rPr>
          <w:b/>
        </w:rPr>
        <w:t xml:space="preserve">Önceki kapsamlı raporla karşılaştırma: </w:t>
      </w:r>
      <w:r>
        <w:t>Yeni.</w:t>
      </w:r>
    </w:p>
    <w:p>
      <w:pPr>
        <w:pStyle w:val="Heading4"/>
        <w:keepNext/>
      </w:pPr>
      <w:r>
        <w:t>B4-AK-07. 4.4 tercih, tevcîh ve vakıf arasında iç geçiş işaretleri yetersiz</w:t>
      </w:r>
    </w:p>
    <w:p>
      <w:r>
        <w:rPr>
          <w:b/>
        </w:rPr>
        <w:t xml:space="preserve">Kategori: </w:t>
      </w:r>
      <w:r>
        <w:t>Paragraf gruplama / İç yapı</w:t>
      </w:r>
    </w:p>
    <w:p>
      <w:r>
        <w:rPr>
          <w:b/>
        </w:rPr>
        <w:t xml:space="preserve">Önem: </w:t>
      </w:r>
      <w:r>
        <w:t>Orta</w:t>
      </w:r>
    </w:p>
    <w:p>
      <w:r>
        <w:rPr>
          <w:b/>
        </w:rPr>
        <w:t xml:space="preserve">Yer: </w:t>
      </w:r>
      <w:r>
        <w:t>4.4, 417–429</w:t>
      </w:r>
    </w:p>
    <w:p>
      <w:r>
        <w:rPr>
          <w:b/>
        </w:rPr>
        <w:t>Kitaptaki ifade</w:t>
      </w:r>
    </w:p>
    <w:p>
      <w:pPr>
        <w:pStyle w:val="QuoteBlock"/>
      </w:pPr>
      <w:r>
        <w:t>Osmânî mushafların resmi, kırâat ilminde zamanla yalnız metni muhafaza eden bir yazı zemini olarak kalmamış; kırâatlerin tercih edilmesi, yönlendirilmesi ve vakıf uygulamalarının belirlenmesi bakımından da başvurulan temel ölçülerden biri hâline gelmiştir. Nitekim kırâat rivâyetlerinin sahih, makbul ve bağlayıcı sayılması hususunda mushaf hattına muvafakat nasıl kurucu bir şart olarak görülmüşse, meşhur kırâat imamlarının belli vecihleri tercih etmelerinde, bu tercihleri gerekçelendirmelerinde ve okuyuşun icra tarzını tayin etmelerinde de aynı resmin…</w:t>
      </w:r>
    </w:p>
    <w:p>
      <w:r>
        <w:rPr>
          <w:b/>
        </w:rPr>
        <w:t xml:space="preserve">Sorun: </w:t>
      </w:r>
      <w:r>
        <w:t>Üç farklı işlem aynı alt başlıkta art arda örneklerle veriliyor. Özellikle vakıf kısmına geçildiğinde okuyucu yeni kavramsal düzeye geçtiğini ancak içerikten anlayabiliyor.</w:t>
      </w:r>
    </w:p>
    <w:p>
      <w:r>
        <w:rPr>
          <w:b/>
        </w:rPr>
        <w:t xml:space="preserve">En uygun editoryal işlem: </w:t>
      </w:r>
      <w:r>
        <w:t>Yeni numaralı alt başlık şart değil; üç kısa işaret cümlesiyle iç blokları belirginleştir.</w:t>
      </w:r>
    </w:p>
    <w:p>
      <w:r>
        <w:rPr>
          <w:b/>
        </w:rPr>
        <w:t>Doğrudan kullanılabilecek biçim</w:t>
      </w:r>
    </w:p>
    <w:p>
      <w:pPr>
        <w:pStyle w:val="QuoteBlock"/>
      </w:pPr>
      <w:r>
        <w:t>“Önce tercih bakımından...”; “Resm verisinin ikinci kullanım alanı tevcîhtir...”; “Vakıf uygulamalarında ise mesele farklıdır; burada anlam esaslı vakıf ile resm üzerine vakıf birbirinden ayrılmalıdır.” biçimindeki kısa açılışlar bölümün iç mantığını görünür kılacaktır.</w:t>
      </w:r>
    </w:p>
    <w:p>
      <w:r>
        <w:rPr>
          <w:b/>
        </w:rPr>
        <w:t xml:space="preserve">Önceki kapsamlı raporla karşılaştırma: </w:t>
      </w:r>
      <w:r>
        <w:t>Yeni.</w:t>
      </w:r>
    </w:p>
    <w:p>
      <w:pPr>
        <w:pStyle w:val="Heading4"/>
        <w:keepNext/>
      </w:pPr>
      <w:r>
        <w:t>B4-AK-08. 4.5’te genel hüküm, üçlü tasniften önce sonuç cümlesi gibi kuruluyor</w:t>
      </w:r>
    </w:p>
    <w:p>
      <w:r>
        <w:rPr>
          <w:b/>
        </w:rPr>
        <w:t xml:space="preserve">Kategori: </w:t>
      </w:r>
      <w:r>
        <w:t>Erken sentez / Yapısal</w:t>
      </w:r>
    </w:p>
    <w:p>
      <w:r>
        <w:rPr>
          <w:b/>
        </w:rPr>
        <w:t xml:space="preserve">Önem: </w:t>
      </w:r>
      <w:r>
        <w:t>Yüksek</w:t>
      </w:r>
    </w:p>
    <w:p>
      <w:r>
        <w:rPr>
          <w:b/>
        </w:rPr>
        <w:t xml:space="preserve">Yer: </w:t>
      </w:r>
      <w:r>
        <w:t>4.5, 434 → 435–437</w:t>
      </w:r>
    </w:p>
    <w:p>
      <w:r>
        <w:rPr>
          <w:b/>
        </w:rPr>
        <w:t>Kitaptaki ifade</w:t>
      </w:r>
    </w:p>
    <w:p>
      <w:pPr>
        <w:pStyle w:val="QuoteBlock"/>
      </w:pPr>
      <w:r>
        <w:t>Bu çerçevede denilebilir ki Osmânî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maddi zemin üzerinde okunup aktarıldığını göstermektedir. Bu sebeple resm rivâyetleri, kırâat ilminin kenarında duran yardımcı bir alan sayılmamalı; kırâat…</w:t>
      </w:r>
    </w:p>
    <w:p>
      <w:r>
        <w:rPr>
          <w:b/>
        </w:rPr>
        <w:t xml:space="preserve">Sorun: </w:t>
      </w:r>
      <w:r>
        <w:t>434 “Bu çerçevede denilebilir ki...” diyerek resm rivâyetlerini kurucu işlevle sonuçlandırıyor; hemen ardından 435–437 üç tür ilişkiyi açıklıyor. Sonuç, delil ve tasniften önce geliyor.</w:t>
      </w:r>
    </w:p>
    <w:p>
      <w:r>
        <w:rPr>
          <w:b/>
        </w:rPr>
        <w:t xml:space="preserve">En uygun editoryal işlem: </w:t>
      </w:r>
      <w:r>
        <w:t>434’ü sonuç değil tasnif girişine dönüştür.</w:t>
      </w:r>
    </w:p>
    <w:p>
      <w:r>
        <w:rPr>
          <w:b/>
        </w:rPr>
        <w:t>Doğrudan kullanılabilecek biçim</w:t>
      </w:r>
    </w:p>
    <w:p>
      <w:pPr>
        <w:pStyle w:val="QuoteBlock"/>
      </w:pPr>
      <w:r>
        <w:t>Osmânî mushafların hecâsına dair rivâyetlerin kırâat ihtilaflarıyla ilişkisi üç farklı durumda incelenebilir: yazım farkının kırâat farkı doğurmadığı örnekler; farklı mushaflarda farklı kırâat vecihlerinin yazıyla karşılandığı örnekler; aynı yazımın birden fazla okuyuşla ihtimal yoluyla bağdaştığı örnekler.</w:t>
      </w:r>
    </w:p>
    <w:p>
      <w:r>
        <w:rPr>
          <w:b/>
        </w:rPr>
        <w:t xml:space="preserve">Önceki kapsamlı raporla karşılaştırma: </w:t>
      </w:r>
      <w:r>
        <w:t>Yeni.</w:t>
      </w:r>
    </w:p>
    <w:p>
      <w:pPr>
        <w:pStyle w:val="Heading4"/>
        <w:keepNext/>
      </w:pPr>
      <w:r>
        <w:t>B4-AK-09. 4.5 üç örnek türünü verdikten sonra aynı “bilinçli ve işlevsel yapı” sonucuyla fazla geniş kapanıyor</w:t>
      </w:r>
    </w:p>
    <w:p>
      <w:r>
        <w:rPr>
          <w:b/>
        </w:rPr>
        <w:t xml:space="preserve">Kategori: </w:t>
      </w:r>
      <w:r>
        <w:t>Gereksiz özet / Kesinlik</w:t>
      </w:r>
    </w:p>
    <w:p>
      <w:r>
        <w:rPr>
          <w:b/>
        </w:rPr>
        <w:t xml:space="preserve">Önem: </w:t>
      </w:r>
      <w:r>
        <w:t>Orta</w:t>
      </w:r>
    </w:p>
    <w:p>
      <w:r>
        <w:rPr>
          <w:b/>
        </w:rPr>
        <w:t xml:space="preserve">Yer: </w:t>
      </w:r>
      <w:r>
        <w:t>4.5 son paragraf, 438</w:t>
      </w:r>
    </w:p>
    <w:p>
      <w:r>
        <w:rPr>
          <w:b/>
        </w:rPr>
        <w:t>Kitaptaki ifade</w:t>
      </w:r>
    </w:p>
    <w:p>
      <w:pPr>
        <w:pStyle w:val="QuoteBlock"/>
      </w:pPr>
      <w:r>
        <w:t>Bütün bu tasnifler bir arada değerlendirildiğinde, Osmânî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 diğer tarafta farklı kırâat vecihlerini korumak üzere mushaflar arasında dağıtılmış özel yazımlar ve aynı yazı biçimi içinde birden fazla kırâati ihtimal yoluyla taşıyan müşterek yazımlar bulunmaktadır. Bu çerçevede resm-i…</w:t>
      </w:r>
    </w:p>
    <w:p>
      <w:r>
        <w:rPr>
          <w:b/>
        </w:rPr>
        <w:t xml:space="preserve">Sorun: </w:t>
      </w:r>
      <w:r>
        <w:t>Üçlü tasnif zaten bölümün yapısını sağlamaktadır. Son paragraf “son derece bilinçli ve işlevsel” gibi niyet/amaç çağrışımı güçlü bir genellemeyle yeniden özetliyor.</w:t>
      </w:r>
    </w:p>
    <w:p>
      <w:r>
        <w:rPr>
          <w:b/>
        </w:rPr>
        <w:t xml:space="preserve">En uygun editoryal işlem: </w:t>
      </w:r>
      <w:r>
        <w:t>Kapanışı amaç atfetmeden üç tür ilişkinin ortak sınırını gösteren kısa cümleye indir.</w:t>
      </w:r>
    </w:p>
    <w:p>
      <w:r>
        <w:rPr>
          <w:b/>
        </w:rPr>
        <w:t>Doğrudan kullanılabilecek biçim</w:t>
      </w:r>
    </w:p>
    <w:p>
      <w:pPr>
        <w:pStyle w:val="QuoteBlock"/>
      </w:pPr>
      <w:r>
        <w:t>Bu tasnif, mushaflar arasındaki yazım farklılıkları ile kırâat rivâyetleri arasında tek tip bir ilişki bulunmadığını göstermektedir. Bazı örnekler yalnız yazım farklılığı, bazıları ayrı okuyuşların yazılı karşılığı, bazıları ise aynı resmin birden fazla rivâyetle bağdaşması çerçevesinde değerlendirilmelidir.</w:t>
      </w:r>
    </w:p>
    <w:p>
      <w:r>
        <w:rPr>
          <w:b/>
        </w:rPr>
        <w:t xml:space="preserve">Önceki kapsamlı raporla karşılaştırma: </w:t>
      </w:r>
      <w:r>
        <w:t>Yeni/kısmen yeni.</w:t>
      </w:r>
    </w:p>
    <w:p>
      <w:pPr>
        <w:pStyle w:val="Heading4"/>
        <w:keepNext/>
      </w:pPr>
      <w:r>
        <w:t>B4-AK-10. 4.5’ten 4.6’ya erken resm rivâyetlerinden modern neşre zaman sıçraması var</w:t>
      </w:r>
    </w:p>
    <w:p>
      <w:r>
        <w:rPr>
          <w:b/>
        </w:rPr>
        <w:t xml:space="preserve">Kategori: </w:t>
      </w:r>
      <w:r>
        <w:t>Bölüm içi geçiş</w:t>
      </w:r>
    </w:p>
    <w:p>
      <w:r>
        <w:rPr>
          <w:b/>
        </w:rPr>
        <w:t xml:space="preserve">Önem: </w:t>
      </w:r>
      <w:r>
        <w:t>Yüksek</w:t>
      </w:r>
    </w:p>
    <w:p>
      <w:r>
        <w:rPr>
          <w:b/>
        </w:rPr>
        <w:t xml:space="preserve">Yer: </w:t>
      </w:r>
      <w:r>
        <w:t>4.5 sonu → 4.6</w:t>
      </w:r>
    </w:p>
    <w:p>
      <w:r>
        <w:rPr>
          <w:b/>
        </w:rPr>
        <w:t>Kitaptaki ifade</w:t>
      </w:r>
    </w:p>
    <w:p>
      <w:pPr>
        <w:pStyle w:val="QuoteBlock"/>
      </w:pPr>
      <w:r>
        <w:t>Önceki paragraf: “Bütün bu tasnifler bir arada değerlendirildiğinde, Osmânî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br/>
        <w:t>Sonraki paragraf: “Osmânî resme ve onun üzerine bina edilen kaide ile ölçülere bakıldığında, burada asıl maksadın kırâat ile kitâbeti birlikte zapt altına almak olduğu açıkça anlaşılmaktadır. Nitekim Hz. Osman’ın kendi resmine aykırı mushafları yakma ve silme yoluyla ortadan kaldırması, yalnız mevcut farklılığı gidermeye yönelik bir tedbir olarak…”</w:t>
      </w:r>
    </w:p>
    <w:p>
      <w:r>
        <w:rPr>
          <w:b/>
        </w:rPr>
        <w:t xml:space="preserve">Sorun: </w:t>
      </w:r>
      <w:r>
        <w:t>4.5 şehir mushafları ve resm rivâyetleriyle biter; 4.6 birden “asıl maksat” üzerinden modern mushaf neşrine geçer. Klasik resm birikiminin istinsah ve neşir geleneğine nasıl taşındığını açıklayan bağ eksik.</w:t>
      </w:r>
    </w:p>
    <w:p>
      <w:r>
        <w:rPr>
          <w:b/>
        </w:rPr>
        <w:t xml:space="preserve">En uygun editoryal işlem: </w:t>
      </w:r>
      <w:r>
        <w:t>4.6’nın açılışını tarihsel süreklilik üzerinden kur; “asıl maksat” gibi niyet dilini çıkart.</w:t>
      </w:r>
    </w:p>
    <w:p>
      <w:r>
        <w:rPr>
          <w:b/>
        </w:rPr>
        <w:t>Doğrudan kullanılabilecek biçim</w:t>
      </w:r>
    </w:p>
    <w:p>
      <w:pPr>
        <w:pStyle w:val="QuoteBlock"/>
      </w:pPr>
      <w:r>
        <w:t>Şehir mushaflarına ve yazım özelliklerine dair resm rivâyetlerinin sonraki dönemdeki önemli işlevlerinden biri, mushaf istinsahında başvurulan yazım geleneğini beslemesidir. Bu birikim, modern basılı mushafların hazırlanmasında da klasik resm kaynaklarına başvurulmasının tarihsel zeminini oluşturmuştur.</w:t>
      </w:r>
    </w:p>
    <w:p>
      <w:r>
        <w:rPr>
          <w:b/>
        </w:rPr>
        <w:t xml:space="preserve">Önceki kapsamlı raporla karşılaştırma: </w:t>
      </w:r>
      <w:r>
        <w:t>Yeni.</w:t>
      </w:r>
    </w:p>
    <w:p>
      <w:pPr>
        <w:pStyle w:val="Heading4"/>
        <w:keepNext/>
      </w:pPr>
      <w:r>
        <w:t>B4-AK-11. 4.6’da modern neşrin klasik resme dayanması dört kez sonuçlandırılıyor</w:t>
      </w:r>
    </w:p>
    <w:p>
      <w:r>
        <w:rPr>
          <w:b/>
        </w:rPr>
        <w:t xml:space="preserve">Kategori: </w:t>
      </w:r>
      <w:r>
        <w:t>Tekrar / Gereksiz ara sonuç</w:t>
      </w:r>
    </w:p>
    <w:p>
      <w:r>
        <w:rPr>
          <w:b/>
        </w:rPr>
        <w:t xml:space="preserve">Önem: </w:t>
      </w:r>
      <w:r>
        <w:t>Yüksek</w:t>
      </w:r>
    </w:p>
    <w:p>
      <w:r>
        <w:rPr>
          <w:b/>
        </w:rPr>
        <w:t xml:space="preserve">Yer: </w:t>
      </w:r>
      <w:r>
        <w:t>4.6, 445–455; özellikle 445, 446, 454, 455</w:t>
      </w:r>
    </w:p>
    <w:p>
      <w:r>
        <w:rPr>
          <w:b/>
        </w:rPr>
        <w:t>Kitaptaki ifade</w:t>
      </w:r>
    </w:p>
    <w:p>
      <w:pPr>
        <w:pStyle w:val="QuoteBlock"/>
      </w:pPr>
      <w:r>
        <w:t>Bütün bu veriler birlikte değerlendirildiğinde, çağdaş matbu mushaflarda resm-i Osmânî’nin korunmasının gelişigüzel bir tercih olmadığı açıkça anlaşılmaktadır. Burada belirleyici olan husus, resm kaynaklarının güvenilirliği ve mushaf yazımında ölçü kabul edilmeleridir. Nitekim Dânî ile Ebû Dâvud Süleymân b. Necâḥ’ın eserleri, yalnız geçmiş mushafların yazım özelliklerini nakleden tarihî kayıtlar olarak kalmamış, aynı zamanda modern mushaf neşrinin fiilî temelini teşkil etmiştir. Bu sebeple günümüzde basılan mushaflarda görülen Osmânî yazım biçimi,…</w:t>
      </w:r>
    </w:p>
    <w:p>
      <w:r>
        <w:rPr>
          <w:b/>
        </w:rPr>
        <w:t xml:space="preserve">Sorun: </w:t>
      </w:r>
      <w:r>
        <w:t>445 çağdaş basımın neden resme dayandığını, 446 teorik arka planı, 454 bütün verilerin sonucunu, 455 üç amacı tekrar anlatıyor. 449–453’teki Dânî/Ebû Dâvud ve modern mushaf örneklerinin etrafında dört ayrı sentez oluşuyor.</w:t>
      </w:r>
    </w:p>
    <w:p>
      <w:r>
        <w:rPr>
          <w:b/>
        </w:rPr>
        <w:t xml:space="preserve">En uygun editoryal işlem: </w:t>
      </w:r>
      <w:r>
        <w:t>445–446’yı tek geçişe indir; 454–455’i tek final sentezde birleştir.</w:t>
      </w:r>
    </w:p>
    <w:p>
      <w:r>
        <w:rPr>
          <w:b/>
        </w:rPr>
        <w:t>Doğrudan kullanılabilecek biçim</w:t>
      </w:r>
    </w:p>
    <w:p>
      <w:pPr>
        <w:pStyle w:val="QuoteBlock"/>
      </w:pPr>
      <w:r>
        <w:t>Klasik resm kaynaklarının modern neşirde kullanılmasının somut karşılığı, Dânî ve Ebû Dâvud gibi müelliflerin derlediği yazım rivâyetlerinin mushaf hazırlama süreçlerinde başvuru zemini oluşturmasıdır. Modern örnekler, bu tarihsel birikimin farklı neşirlerde nasıl uygulandığını göstermektedir.</w:t>
      </w:r>
    </w:p>
    <w:p>
      <w:r>
        <w:rPr>
          <w:b/>
        </w:rPr>
        <w:t xml:space="preserve">Önceki kapsamlı raporla karşılaştırma: </w:t>
      </w:r>
      <w:r>
        <w:t>Yeni.</w:t>
      </w:r>
    </w:p>
    <w:p>
      <w:pPr>
        <w:pStyle w:val="Heading4"/>
        <w:keepNext/>
      </w:pPr>
      <w:r>
        <w:t>B4-AK-12. Dânî ve Ebû Dâvud’un modern neşirdeki yeri tekrar tekrar açıklanıyor</w:t>
      </w:r>
    </w:p>
    <w:p>
      <w:r>
        <w:rPr>
          <w:b/>
        </w:rPr>
        <w:t xml:space="preserve">Kategori: </w:t>
      </w:r>
      <w:r>
        <w:t>Tekrar</w:t>
      </w:r>
    </w:p>
    <w:p>
      <w:r>
        <w:rPr>
          <w:b/>
        </w:rPr>
        <w:t xml:space="preserve">Önem: </w:t>
      </w:r>
      <w:r>
        <w:t>Orta</w:t>
      </w:r>
    </w:p>
    <w:p>
      <w:r>
        <w:rPr>
          <w:b/>
        </w:rPr>
        <w:t xml:space="preserve">Yer: </w:t>
      </w:r>
      <w:r>
        <w:t>4.6, 449–454</w:t>
      </w:r>
    </w:p>
    <w:p>
      <w:r>
        <w:rPr>
          <w:b/>
        </w:rPr>
        <w:t>Kitaptaki ifade</w:t>
      </w:r>
    </w:p>
    <w:p>
      <w:pPr>
        <w:pStyle w:val="QuoteBlock"/>
      </w:pPr>
      <w:r>
        <w:t>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açıkça ifade etmektedir. Bu sebeple onun el-Muḳniʿ adlı eseri, kendi alanında temel başvuru kaynaklarından biri hâline gelmiş, Sehâvî de mushaf hecâsı üzerine kaleme alınmış eserler arasında onu en kapsamlı, en güzel ve en güçlü…</w:t>
      </w:r>
    </w:p>
    <w:p>
      <w:r>
        <w:rPr>
          <w:b/>
        </w:rPr>
        <w:t xml:space="preserve">Sorun: </w:t>
      </w:r>
      <w:r>
        <w:t>449 temel iki eseri tanıtır; 450 Dânî’nin neden önemli olduğunu, 451–452 Ebû Dâvud’u, 453 modern uygulamayı verir; 454 aynı iki kaynağın “fiilî temel” olduğunu yeniden söyler. Bilgi yararlı fakat sonuç tekrarı fazladır.</w:t>
      </w:r>
    </w:p>
    <w:p>
      <w:r>
        <w:rPr>
          <w:b/>
        </w:rPr>
        <w:t xml:space="preserve">En uygun editoryal işlem: </w:t>
      </w:r>
      <w:r>
        <w:t>449’da iki eseri tanıt; 450–452 yöntem farklarını koru; 453 uygulama; 454’te yalnız tek cümlelik sonuç bırak.</w:t>
      </w:r>
    </w:p>
    <w:p>
      <w:r>
        <w:rPr>
          <w:b/>
        </w:rPr>
        <w:t>Doğrudan kullanılabilecek biçim</w:t>
      </w:r>
    </w:p>
    <w:p>
      <w:pPr>
        <w:pStyle w:val="QuoteBlock"/>
      </w:pPr>
      <w:r>
        <w:t>Bu kaynakların modern neşirdeki önemi, yalnız adlarının sık kullanılmasından değil, resm rivâyetlerini sistemli biçimde derlemeleri ve sonraki mushaf hazırlama çalışmalarına başvuru malzemesi sağlamalarından kaynaklanmaktadır.</w:t>
      </w:r>
    </w:p>
    <w:p>
      <w:r>
        <w:rPr>
          <w:b/>
        </w:rPr>
        <w:t xml:space="preserve">Önceki kapsamlı raporla karşılaştırma: </w:t>
      </w:r>
      <w:r>
        <w:t>Yeni.</w:t>
      </w:r>
    </w:p>
    <w:p>
      <w:pPr>
        <w:pStyle w:val="Heading4"/>
        <w:keepNext/>
      </w:pPr>
      <w:r>
        <w:t>B4-AK-13. 4.7 gerçek konusuna iki paragraf gecikmeyle başlıyor</w:t>
      </w:r>
    </w:p>
    <w:p>
      <w:r>
        <w:rPr>
          <w:b/>
        </w:rPr>
        <w:t xml:space="preserve">Kategori: </w:t>
      </w:r>
      <w:r>
        <w:t>Başlık kapsamı / Kronolojik geri dönüş</w:t>
      </w:r>
    </w:p>
    <w:p>
      <w:r>
        <w:rPr>
          <w:b/>
        </w:rPr>
        <w:t xml:space="preserve">Önem: </w:t>
      </w:r>
      <w:r>
        <w:t>Yüksek</w:t>
      </w:r>
    </w:p>
    <w:p>
      <w:r>
        <w:rPr>
          <w:b/>
        </w:rPr>
        <w:t xml:space="preserve">Yer: </w:t>
      </w:r>
      <w:r>
        <w:t>4.7 başlangıcı; 457–459</w:t>
      </w:r>
    </w:p>
    <w:p>
      <w:r>
        <w:rPr>
          <w:b/>
        </w:rPr>
        <w:t>Kitaptaki ifade</w:t>
      </w:r>
    </w:p>
    <w:p>
      <w:pPr>
        <w:pStyle w:val="QuoteBlock"/>
      </w:pPr>
      <w:r>
        <w:t>Bununla birlikte Osmânî mushaflarının ilk şeklinde nokta ve hareke bulunmamaktadır. Bunun temel sebebi, mushaf resminin farklı kırâat vecihlerini ihtimal dâhilinde taşıyabilecek bir esnekliğe sahip olmasıdır. Ancak zamanla hareke ve diğer zapt işaretleri kullanılmaya başlanınca, müstensihler mushaflarını, Kur’an’ı hangi kırâat imamı veya râvisi üzerinden almışlarsa o rivâyete göre zapt etmeye başlamışlardır. Böylece mushaflar, tek bir rivâyet esas alınarak harekelenen metinler hâline gelmiştir. Çünkü bir mushaf içinde birden fazla kırâati aynı anda açık…</w:t>
      </w:r>
    </w:p>
    <w:p>
      <w:r>
        <w:rPr>
          <w:b/>
        </w:rPr>
        <w:t xml:space="preserve">Sorun: </w:t>
      </w:r>
      <w:r>
        <w:t>Başlık “kırâat rivâyetlerine göre düzenlenen basılı mushaflar”dır. Ancak ilk iki paragraf genel hat/kaligrafi gelişimine dönüyor. Kırâat-rivâyet-zapt ilişkisini doğrudan açan paragraf 459’dur.</w:t>
      </w:r>
    </w:p>
    <w:p>
      <w:r>
        <w:rPr>
          <w:b/>
        </w:rPr>
        <w:t xml:space="preserve">En uygun editoryal işlem: </w:t>
      </w:r>
      <w:r>
        <w:t>4.7’yi 459 ile başlat; 457–458’i 4.6’ya kısaltarak taşı veya konuya katkısı sınırlıysa çıkar.</w:t>
      </w:r>
    </w:p>
    <w:p>
      <w:r>
        <w:rPr>
          <w:b/>
        </w:rPr>
        <w:t>Doğrudan kullanılabilecek biçim</w:t>
      </w:r>
    </w:p>
    <w:p>
      <w:pPr>
        <w:pStyle w:val="QuoteBlock"/>
      </w:pPr>
      <w:r>
        <w:t>Osmânî mushafların ilk yazımında zapt işaretlerinin bugünkü biçimde bulunmaması, sonraki dönemlerde okuyuş özelliklerinin ayrı işaretlerle gösterilmesini gerekli kılmıştır. Zamanla mushaflar belirli kırâat imamı veya râvisinden alınan okuyuşa göre zapt edilmiş; bu durum belirli rivâyetlere göre hazırlanmış mushafların ortaya çıkmasına zemin hazırlamıştır.</w:t>
      </w:r>
    </w:p>
    <w:p>
      <w:r>
        <w:rPr>
          <w:b/>
        </w:rPr>
        <w:t xml:space="preserve">Önceki kapsamlı raporla karşılaştırma: </w:t>
      </w:r>
      <w:r>
        <w:t>Kısmen yeni: önceki rapor 4.6–4.7’de nedensellik ve kronoloji sorunları bulmuştu; başlığın iki paragraf gecikmeyle başlaması bu raporun yeni akış bulgusudur.</w:t>
      </w:r>
    </w:p>
    <w:p>
      <w:pPr>
        <w:pStyle w:val="Heading4"/>
        <w:keepNext/>
      </w:pPr>
      <w:r>
        <w:t>B4-AK-14. 4.7’de genel ilke, erken tercih, matbaa tarihi ve Türkiye örneği arasında mikro-yapı görünmüyor</w:t>
      </w:r>
    </w:p>
    <w:p>
      <w:r>
        <w:rPr>
          <w:b/>
        </w:rPr>
        <w:t xml:space="preserve">Kategori: </w:t>
      </w:r>
      <w:r>
        <w:t>Yapısal / İç geçiş</w:t>
      </w:r>
    </w:p>
    <w:p>
      <w:r>
        <w:rPr>
          <w:b/>
        </w:rPr>
        <w:t xml:space="preserve">Önem: </w:t>
      </w:r>
      <w:r>
        <w:t>Orta</w:t>
      </w:r>
    </w:p>
    <w:p>
      <w:r>
        <w:rPr>
          <w:b/>
        </w:rPr>
        <w:t xml:space="preserve">Yer: </w:t>
      </w:r>
      <w:r>
        <w:t>4.7, 459–475</w:t>
      </w:r>
    </w:p>
    <w:p>
      <w:r>
        <w:rPr>
          <w:b/>
        </w:rPr>
        <w:t>Kitaptaki ifade</w:t>
      </w:r>
    </w:p>
    <w:p>
      <w:pPr>
        <w:pStyle w:val="QuoteBlock"/>
      </w:pPr>
      <w:r>
        <w:t>Kur’an-ı Kerim’in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baskılarda ciddi hata ve…</w:t>
      </w:r>
    </w:p>
    <w:p>
      <w:r>
        <w:rPr>
          <w:b/>
        </w:rPr>
        <w:t xml:space="preserve">Sorun: </w:t>
      </w:r>
      <w:r>
        <w:t>Bölüm 459–462’de zapt ve bölgesel rivâyet dağılımını, 463–471’de genel matbaa tarihini, 472–475’te Türkiye örneğini ele alıyor. Bu üç blok başlıkta görünmediğinden tarihsel anlatı birbirine eklenmiş uzun bir zincir gibi okunuyor.</w:t>
      </w:r>
    </w:p>
    <w:p>
      <w:r>
        <w:rPr>
          <w:b/>
        </w:rPr>
        <w:t xml:space="preserve">En uygun editoryal işlem: </w:t>
      </w:r>
      <w:r>
        <w:t>Numaralı alt başlık açmak zorunlu değil; üç blok arasında kısa geçiş cümleleri kullan.</w:t>
      </w:r>
    </w:p>
    <w:p>
      <w:r>
        <w:rPr>
          <w:b/>
        </w:rPr>
        <w:t>Doğrudan kullanılabilecek biçim</w:t>
      </w:r>
    </w:p>
    <w:p>
      <w:pPr>
        <w:pStyle w:val="QuoteBlock"/>
      </w:pPr>
      <w:r>
        <w:t>459–462’den sonra: “Belirli rivâyetlere göre zapt edilen mushafların yaygınlaşması, matbaa teknolojisinin devreye girmesiyle yeni bir boyut kazanmıştır.” 471’den sonra: “Bu genel matbu süreç, Türkiye’de denetimli mushaf neşri ve imlâ tercihleri bakımından farklı bir kurumsal seyir izlemiştir.”</w:t>
      </w:r>
    </w:p>
    <w:p>
      <w:r>
        <w:rPr>
          <w:b/>
        </w:rPr>
        <w:t xml:space="preserve">Önceki kapsamlı raporla karşılaştırma: </w:t>
      </w:r>
      <w:r>
        <w:t>Yeni.</w:t>
      </w:r>
    </w:p>
    <w:p>
      <w:pPr>
        <w:pStyle w:val="Heading4"/>
        <w:keepNext/>
      </w:pPr>
      <w:r>
        <w:t>B4-AK-15. 471. paragraf genel sonuç verip Türkiye alt bloğundan önce bölümü erken kapatıyor</w:t>
      </w:r>
    </w:p>
    <w:p>
      <w:r>
        <w:rPr>
          <w:b/>
        </w:rPr>
        <w:t xml:space="preserve">Kategori: </w:t>
      </w:r>
      <w:r>
        <w:t>Gereksiz ara sonuç / Geçiş</w:t>
      </w:r>
    </w:p>
    <w:p>
      <w:r>
        <w:rPr>
          <w:b/>
        </w:rPr>
        <w:t xml:space="preserve">Önem: </w:t>
      </w:r>
      <w:r>
        <w:t>Yüksek</w:t>
      </w:r>
    </w:p>
    <w:p>
      <w:r>
        <w:rPr>
          <w:b/>
        </w:rPr>
        <w:t xml:space="preserve">Yer: </w:t>
      </w:r>
      <w:r>
        <w:t>4.7, 471 → 472</w:t>
      </w:r>
    </w:p>
    <w:p>
      <w:r>
        <w:rPr>
          <w:b/>
        </w:rPr>
        <w:t>Kitaptaki ifade</w:t>
      </w:r>
    </w:p>
    <w:p>
      <w:pPr>
        <w:pStyle w:val="QuoteBlock"/>
      </w:pPr>
      <w:r>
        <w:t>Önceki paragraf: “Bütün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w:t>
        <w:br/>
        <w:t>Sonraki paragraf: “Türkiye’de mushaf basımı, önce yazma mushaf geleneği, ardından geç Osmanlı’da denetimli matbu mushaf dönemi, son olarak da Diyanet İşleri Başkanlığı eliyle kurumsallaşmış inceleme ve onay dönemi şeklinde ilerlemiştir. Osmanlı’da matbaa 1727’de kurulmuş olsa da dinî eserler ilk izin kapsamı dışında bırakılmış, İslâmî kitapların…”</w:t>
      </w:r>
    </w:p>
    <w:p>
      <w:r>
        <w:rPr>
          <w:b/>
        </w:rPr>
        <w:t xml:space="preserve">Sorun: </w:t>
      </w:r>
      <w:r>
        <w:t>471 “Bütün bu veriler...” diyerek matbu mushafların kırâatlerin yaygınlaşmasındaki rolünü genel sonuç olarak kuruyor. Ancak bölüm 472–475’te Türkiye örneğiyle devam ediyor ve 475’te yeniden özetleniyor.</w:t>
      </w:r>
    </w:p>
    <w:p>
      <w:r>
        <w:rPr>
          <w:b/>
        </w:rPr>
        <w:t xml:space="preserve">En uygun editoryal işlem: </w:t>
      </w:r>
      <w:r>
        <w:t>471’i sonuçtan Türkiye’ye geçiş paragrafına dönüştür; nihai sentezi 475 sonuna bırak.</w:t>
      </w:r>
    </w:p>
    <w:p>
      <w:r>
        <w:rPr>
          <w:b/>
        </w:rPr>
        <w:t>Doğrudan kullanılabilecek biçim</w:t>
      </w:r>
    </w:p>
    <w:p>
      <w:pPr>
        <w:pStyle w:val="QuoteBlock"/>
      </w:pPr>
      <w:r>
        <w:t>Matbu mushafların belirli rivâyetlerin görünürlüğü ve yaygınlaşmasıyla ilişkisi, farklı bölgelerin neşir ve denetim geleneklerinde farklı biçimler kazanmıştır. Türkiye örneği, bu ilişkinin kurumsal denetim ve imlâ tercihleriyle birlikte nasıl şekillendiğini göstermesi bakımından ayrıca ele alınabilir.</w:t>
      </w:r>
    </w:p>
    <w:p>
      <w:r>
        <w:rPr>
          <w:b/>
        </w:rPr>
        <w:t xml:space="preserve">Önceki kapsamlı raporla karşılaştırma: </w:t>
      </w:r>
      <w:r>
        <w:t>Yeni.</w:t>
      </w:r>
    </w:p>
    <w:p>
      <w:pPr>
        <w:pStyle w:val="Heading4"/>
        <w:keepNext/>
      </w:pPr>
      <w:r>
        <w:t>B4-AK-16. 475 hem Türkiye örneğini hem bütün 4.7’yi aynı paragrafta ikinci kez sonuçlandırıyor</w:t>
      </w:r>
    </w:p>
    <w:p>
      <w:r>
        <w:rPr>
          <w:b/>
        </w:rPr>
        <w:t xml:space="preserve">Kategori: </w:t>
      </w:r>
      <w:r>
        <w:t>Paragraf içi akış / Gereksiz özet</w:t>
      </w:r>
    </w:p>
    <w:p>
      <w:r>
        <w:rPr>
          <w:b/>
        </w:rPr>
        <w:t xml:space="preserve">Önem: </w:t>
      </w:r>
      <w:r>
        <w:t>Orta</w:t>
      </w:r>
    </w:p>
    <w:p>
      <w:r>
        <w:rPr>
          <w:b/>
        </w:rPr>
        <w:t xml:space="preserve">Yer: </w:t>
      </w:r>
      <w:r>
        <w:t>4.7 son paragraf, 475</w:t>
      </w:r>
    </w:p>
    <w:p>
      <w:r>
        <w:rPr>
          <w:b/>
        </w:rPr>
        <w:t>Kitaptaki ifade</w:t>
      </w:r>
    </w:p>
    <w:p>
      <w:pPr>
        <w:pStyle w:val="QuoteBlock"/>
      </w:pPr>
      <w: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incelemekte; uygun bulduklarını onaylamakta, uygun olmayanların basımına izin vermemektedir. Bu durum, Türkiye’de mushaf basımının sadece teknik bir matbaa işi olmadığını, aynı zamanda ilmî ve dinî denetim gerektiren özel bir alan olarak görüldüğünü göstermektedir. Dikkat çeken bir başka nokta…</w:t>
      </w:r>
    </w:p>
    <w:p>
      <w:r>
        <w:rPr>
          <w:b/>
        </w:rPr>
        <w:t xml:space="preserve">Sorun: </w:t>
      </w:r>
      <w:r>
        <w:t>Paragraf önce güncel denetim, sonra imlâ özellikleri, ardından “Özetle” ile Türkiye tarihinin üç niteliğini aynı blokta topluyor. Son cümleler hem Türkiye alt bloğunun hem bütün bölümün sonucu gibi çalışıyor.</w:t>
      </w:r>
    </w:p>
    <w:p>
      <w:r>
        <w:rPr>
          <w:b/>
        </w:rPr>
        <w:t xml:space="preserve">En uygun editoryal işlem: </w:t>
      </w:r>
      <w:r>
        <w:t>Paragrafı güncel denetim + imlâ tercihi olarak iki düşünceye ayır; tek kısa kapanış bırak.</w:t>
      </w:r>
    </w:p>
    <w:p>
      <w:r>
        <w:rPr>
          <w:b/>
        </w:rPr>
        <w:t>Doğrudan kullanılabilecek biçim</w:t>
      </w:r>
    </w:p>
    <w:p>
      <w:pPr>
        <w:pStyle w:val="QuoteBlock"/>
      </w:pPr>
      <w:r>
        <w:t>Türkiye’de mushaf neşrinin güncel kurumsal yapısı, basımın yalnız teknik bir faaliyet olarak görülmediğini ve resm, imlâ, hat ve kırâat bakımından denetlendiğini göstermektedir. Bu örnek, basılı mushafların belirli yazım ve okuyuş tercihlerinin dolaşımındaki rolünün kurumsal boyutunu görünür kılmaktadır.</w:t>
      </w:r>
    </w:p>
    <w:p>
      <w:r>
        <w:rPr>
          <w:b/>
        </w:rPr>
        <w:t xml:space="preserve">Önceki kapsamlı raporla karşılaştırma: </w:t>
      </w:r>
      <w:r>
        <w:t>Yeni.</w:t>
      </w:r>
    </w:p>
    <w:p>
      <w:pPr>
        <w:pStyle w:val="Heading2"/>
        <w:keepNext/>
      </w:pPr>
      <w:r>
        <w:t>9. Sonuç</w:t>
      </w:r>
    </w:p>
    <w:p>
      <w:pPr>
        <w:pStyle w:val="Heading4"/>
        <w:keepNext/>
      </w:pPr>
      <w:r>
        <w:t>SON-AK-01. Sonuç bölümünün genel sırası korunmalı; gövdeye göre en dengeli bölümlerden biri</w:t>
      </w:r>
    </w:p>
    <w:p>
      <w:r>
        <w:rPr>
          <w:b/>
        </w:rPr>
        <w:t xml:space="preserve">Kategori: </w:t>
      </w:r>
      <w:r>
        <w:t>Yapısal doğrulama</w:t>
      </w:r>
    </w:p>
    <w:p>
      <w:r>
        <w:rPr>
          <w:b/>
        </w:rPr>
        <w:t xml:space="preserve">Önem: </w:t>
      </w:r>
      <w:r>
        <w:t>Düşük</w:t>
      </w:r>
    </w:p>
    <w:p>
      <w:r>
        <w:rPr>
          <w:b/>
        </w:rPr>
        <w:t xml:space="preserve">Yer: </w:t>
      </w:r>
      <w:r>
        <w:t>Sonuç, s.114–116</w:t>
      </w:r>
    </w:p>
    <w:p>
      <w:r>
        <w:rPr>
          <w:b/>
        </w:rPr>
        <w:t>Kitaptaki ifade</w:t>
      </w:r>
    </w:p>
    <w:p>
      <w:pPr>
        <w:pStyle w:val="QuoteBlock"/>
      </w:pPr>
      <w:r>
        <w:t>Bu araştırmanın ortaya koyduğu temel sonuç, resm-i mushaf ile kırâat rivâyeti arasındaki ilişkinin yazı ile söz karşıtlığı üzerinden açıklanamayacağıdır. Kırâatlerin aslî aktarım zemini telakki, müşâfehe, edâ, isnad ve rivâyettir. Mushaf yazısı, hocadan öğrenilen okuyuşun yerine geçmez ve harf iskeletinden hareketle bağımsız kırâat üretmez. Buna karşılık sözlü olarak nakledilen okuyuşlar da ortak mushaf metninden bütünüyle bağımsız değildir. Kur’an’ın tarihsel sürekliliği, lafzın sözlü icrası ile bu lafzın ortak yazılı kaydının birlikte işlemesi…</w:t>
      </w:r>
    </w:p>
    <w:p>
      <w:r>
        <w:rPr>
          <w:b/>
        </w:rPr>
        <w:t xml:space="preserve">Sorun: </w:t>
      </w:r>
      <w:r>
        <w:t>Sonuç, ana tez → tarihsel zemin → kabul ölçüleri → uygulama alanları → öğretim → şehir mushafları → sahâbe mushafları → tevkîfîlik → hikmet → modern neşir → katkı sırasıyla ilerlemektedir. Burada kapsamlı bir yeniden yapılandırma gerekmiyor.</w:t>
      </w:r>
    </w:p>
    <w:p>
      <w:r>
        <w:rPr>
          <w:b/>
        </w:rPr>
        <w:t xml:space="preserve">En uygun editoryal işlem: </w:t>
      </w:r>
      <w:r>
        <w:t>Yalnız örtüşen paragrafları kısalt; mevcut ana sıra korunmalı.</w:t>
      </w:r>
    </w:p>
    <w:p>
      <w:r>
        <w:rPr>
          <w:b/>
        </w:rPr>
        <w:t>Doğrudan kullanılabilecek biçim</w:t>
      </w:r>
    </w:p>
    <w:p>
      <w:pPr>
        <w:pStyle w:val="QuoteBlock"/>
      </w:pPr>
      <w:r>
        <w:t>Mevcut bölüm sırası korunmalıdır. Özellikle 478–488 arasındaki tematik ilerleme kitabın ana gövdesini dengeli biçimde sonuçlandırmaktadır.</w:t>
      </w:r>
    </w:p>
    <w:p>
      <w:r>
        <w:rPr>
          <w:b/>
        </w:rPr>
        <w:t xml:space="preserve">Önceki kapsamlı raporla karşılaştırma: </w:t>
      </w:r>
      <w:r>
        <w:t>Yeni doğrulama; önceki rapor Sonucun ana tezle uyumunu olumlu değerlendirmişti.</w:t>
      </w:r>
    </w:p>
    <w:p>
      <w:pPr>
        <w:pStyle w:val="Heading4"/>
        <w:keepNext/>
      </w:pPr>
      <w:r>
        <w:t>SON-AK-02. 480–482 kabul ölçüsü ve resmin işlevi bakımından kısmen üst üste biniyor</w:t>
      </w:r>
    </w:p>
    <w:p>
      <w:r>
        <w:rPr>
          <w:b/>
        </w:rPr>
        <w:t xml:space="preserve">Kategori: </w:t>
      </w:r>
      <w:r>
        <w:t>Tekrar</w:t>
      </w:r>
    </w:p>
    <w:p>
      <w:r>
        <w:rPr>
          <w:b/>
        </w:rPr>
        <w:t xml:space="preserve">Önem: </w:t>
      </w:r>
      <w:r>
        <w:t>Düşük</w:t>
      </w:r>
    </w:p>
    <w:p>
      <w:r>
        <w:rPr>
          <w:b/>
        </w:rPr>
        <w:t xml:space="preserve">Yer: </w:t>
      </w:r>
      <w:r>
        <w:t>Sonuç, 480–482</w:t>
      </w:r>
    </w:p>
    <w:p>
      <w:r>
        <w:rPr>
          <w:b/>
        </w:rPr>
        <w:t>Kitaptaki ifade</w:t>
      </w:r>
    </w:p>
    <w:p>
      <w:pPr>
        <w:pStyle w:val="QuoteBlock"/>
      </w:pPr>
      <w: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w:t>
      </w:r>
    </w:p>
    <w:p>
      <w:r>
        <w:rPr>
          <w:b/>
        </w:rPr>
        <w:t xml:space="preserve">Sorun: </w:t>
      </w:r>
      <w:r>
        <w:t>480 gerçek/ihtimalî uygunluk ve rivâyet önceliğini, 481 üç kabul ölçüsünü, 482 ise tespit–tahdit–tercih–tevcîh–vakıf alanlarını veriyor. İşlevler farklı olmakla birlikte “resm tek başına yeterli değildir” cümlesi üçünde de yeniden kuruluyor.</w:t>
      </w:r>
    </w:p>
    <w:p>
      <w:r>
        <w:rPr>
          <w:b/>
        </w:rPr>
        <w:t xml:space="preserve">En uygun editoryal işlem: </w:t>
      </w:r>
      <w:r>
        <w:t>Ana uyarıyı 480’de bir kez tut; 481’i üç ölçüye, 482’yi uygulama alanlarına odakla.</w:t>
      </w:r>
    </w:p>
    <w:p>
      <w:r>
        <w:rPr>
          <w:b/>
        </w:rPr>
        <w:t>Doğrudan kullanılabilecek biçim</w:t>
      </w:r>
    </w:p>
    <w:p>
      <w:pPr>
        <w:pStyle w:val="QuoteBlock"/>
      </w:pPr>
      <w:r>
        <w:t>480’in sonunda ana ilke bir kez belirtildikten sonra 481 doğrudan kabul ölçülerinin birlikte işletilmesine, 482 ise resm verilerinin kabul dışındaki kullanım alanlarına geçmelidir.</w:t>
      </w:r>
    </w:p>
    <w:p>
      <w:r>
        <w:rPr>
          <w:b/>
        </w:rPr>
        <w:t xml:space="preserve">Önceki kapsamlı raporla karşılaştırma: </w:t>
      </w:r>
      <w:r>
        <w:t>Yeni.</w:t>
      </w:r>
    </w:p>
    <w:p>
      <w:pPr>
        <w:pStyle w:val="Heading4"/>
        <w:keepNext/>
      </w:pPr>
      <w:r>
        <w:t>SON-AK-03. 489. paragraf sonuç ile ileri araştırma önerisini aynı paragrafta birleştiriyor</w:t>
      </w:r>
    </w:p>
    <w:p>
      <w:r>
        <w:rPr>
          <w:b/>
        </w:rPr>
        <w:t xml:space="preserve">Kategori: </w:t>
      </w:r>
      <w:r>
        <w:t>Paragraf işlevi</w:t>
      </w:r>
    </w:p>
    <w:p>
      <w:r>
        <w:rPr>
          <w:b/>
        </w:rPr>
        <w:t xml:space="preserve">Önem: </w:t>
      </w:r>
      <w:r>
        <w:t>Düşük</w:t>
      </w:r>
    </w:p>
    <w:p>
      <w:r>
        <w:rPr>
          <w:b/>
        </w:rPr>
        <w:t xml:space="preserve">Yer: </w:t>
      </w:r>
      <w:r>
        <w:t>Sonuç, sondan bir önceki paragraf</w:t>
      </w:r>
    </w:p>
    <w:p>
      <w:r>
        <w:rPr>
          <w:b/>
        </w:rPr>
        <w:t>Kitaptaki ifade</w:t>
      </w:r>
    </w:p>
    <w:p>
      <w:pPr>
        <w:pStyle w:val="QuoteBlock"/>
      </w:pPr>
      <w: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w:t>
      </w:r>
    </w:p>
    <w:p>
      <w:r>
        <w:rPr>
          <w:b/>
        </w:rPr>
        <w:t xml:space="preserve">Sorun: </w:t>
      </w:r>
      <w:r>
        <w:t>Paragraf önce kitabın ilmî katkısını sonuçlandırıyor, son cümlede yeni araştırma alanlarını sıralıyor. Kitapta ayrı “ileri araştırmalar” işlevi istenmiyorsa kapanış ritmini zayıflatabilir.</w:t>
      </w:r>
    </w:p>
    <w:p>
      <w:r>
        <w:rPr>
          <w:b/>
        </w:rPr>
        <w:t xml:space="preserve">En uygun editoryal işlem: </w:t>
      </w:r>
      <w:r>
        <w:t>Katkı cümlesini koru; son cümleyi çıkar veya tek kısa gelecek çalışma cümlesine indir.</w:t>
      </w:r>
    </w:p>
    <w:p>
      <w:r>
        <w:rPr>
          <w:b/>
        </w:rPr>
        <w:t>Doğrudan kullanılabilecek biçim</w:t>
      </w:r>
    </w:p>
    <w:p>
      <w:pPr>
        <w:pStyle w:val="QuoteBlock"/>
      </w:pPr>
      <w:r>
        <w:t>Kitabın ilmî katkısı, resm ve kırâat alanlarına yeni bir kaynak veya sahihlik ölçüsü eklemekten ziyade, tarihsel oluşumdan çağdaş mushaf neşrine kadar uzanan farklı meseleleri aynı ilişki içinde değerlendirmesidir.</w:t>
      </w:r>
    </w:p>
    <w:p>
      <w:r>
        <w:rPr>
          <w:b/>
        </w:rPr>
        <w:t xml:space="preserve">Önceki kapsamlı raporla karşılaştırma: </w:t>
      </w:r>
      <w:r>
        <w:t>Yeni.</w:t>
      </w:r>
    </w:p>
    <w:p>
      <w:pPr>
        <w:pStyle w:val="Heading4"/>
        <w:keepNext/>
      </w:pPr>
      <w:r>
        <w:t>SON-AK-04. Son paragraftaki “Sonuç olarak” burada işlevsel; sırf kalıp olduğu için değiştirilmemeli</w:t>
      </w:r>
    </w:p>
    <w:p>
      <w:r>
        <w:rPr>
          <w:b/>
        </w:rPr>
        <w:t xml:space="preserve">Kategori: </w:t>
      </w:r>
      <w:r>
        <w:t>Yanlış pozitif kontrolü</w:t>
      </w:r>
    </w:p>
    <w:p>
      <w:r>
        <w:rPr>
          <w:b/>
        </w:rPr>
        <w:t xml:space="preserve">Önem: </w:t>
      </w:r>
      <w:r>
        <w:t>Düşük</w:t>
      </w:r>
    </w:p>
    <w:p>
      <w:r>
        <w:rPr>
          <w:b/>
        </w:rPr>
        <w:t xml:space="preserve">Yer: </w:t>
      </w:r>
      <w:r>
        <w:t>Sonuç, son paragraf</w:t>
      </w:r>
    </w:p>
    <w:p>
      <w:r>
        <w:rPr>
          <w:b/>
        </w:rPr>
        <w:t>Kitaptaki ifade</w:t>
      </w:r>
    </w:p>
    <w:p>
      <w:pPr>
        <w:pStyle w:val="QuoteBlock"/>
      </w:pPr>
      <w:r>
        <w:t>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Kur’an’ın…</w:t>
      </w:r>
    </w:p>
    <w:p>
      <w:r>
        <w:rPr>
          <w:b/>
        </w:rPr>
        <w:t xml:space="preserve">Sorun: </w:t>
      </w:r>
      <w:r>
        <w:t>Bu kullanım gerçekten bölümün ve kitabın nihai sentezini kuruyor. Kullanıcının “Sonuç bölümü dışında” ölçütüyle de uyumludur.</w:t>
      </w:r>
    </w:p>
    <w:p>
      <w:r>
        <w:rPr>
          <w:b/>
        </w:rPr>
        <w:t xml:space="preserve">En uygun editoryal işlem: </w:t>
      </w:r>
      <w:r>
        <w:t>Aynen bırakılabilir; yalnız bilimsel ana rapordaki içerik düzeltmeleri uygulanırsa buna göre güncellenmeli.</w:t>
      </w:r>
    </w:p>
    <w:p>
      <w:r>
        <w:rPr>
          <w:b/>
        </w:rPr>
        <w:t>Doğrudan kullanılabilecek biçim</w:t>
      </w:r>
    </w:p>
    <w:p>
      <w:pPr>
        <w:pStyle w:val="QuoteBlock"/>
      </w:pPr>
      <w:r>
        <w:t>Sonuç olarak resm-i Osmânî, kırâati doğuran bağımsız kaynak değil, rivâyet yoluyla nakledilen kırâatlerin ortak yazılı sınırıdır.</w:t>
      </w:r>
    </w:p>
    <w:p>
      <w:r>
        <w:rPr>
          <w:b/>
        </w:rPr>
        <w:t xml:space="preserve">Önceki kapsamlı raporla karşılaştırma: </w:t>
      </w:r>
      <w:r>
        <w:t>Yeni doğrulama.</w:t>
      </w:r>
    </w:p>
    <w:p>
      <w:pPr>
        <w:pStyle w:val="Heading2"/>
        <w:keepNext/>
      </w:pPr>
      <w:r>
        <w:t>10. Eksik veya Zayıf Geçişlerin Tam Listesi</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r>
              <w:rPr>
                <w:rFonts w:ascii="Times New Roman" w:hAnsi="Times New Roman" w:eastAsia="Times New Roman"/>
                <w:b/>
                <w:color w:val="FFFFFF"/>
                <w:sz w:val="17"/>
              </w:rPr>
              <w:t>No</w:t>
            </w:r>
          </w:p>
        </w:tc>
        <w:tc>
          <w:tcPr>
            <w:tcW w:type="dxa" w:w="1568"/>
            <w:shd w:fill="1F4E79"/>
          </w:tcPr>
          <w:p>
            <w:r>
              <w:rPr>
                <w:rFonts w:ascii="Times New Roman" w:hAnsi="Times New Roman" w:eastAsia="Times New Roman"/>
                <w:b/>
                <w:color w:val="FFFFFF"/>
                <w:sz w:val="17"/>
              </w:rPr>
              <w:t>Yer</w:t>
            </w:r>
          </w:p>
        </w:tc>
        <w:tc>
          <w:tcPr>
            <w:tcW w:type="dxa" w:w="1568"/>
            <w:shd w:fill="1F4E79"/>
          </w:tcPr>
          <w:p>
            <w:r>
              <w:rPr>
                <w:rFonts w:ascii="Times New Roman" w:hAnsi="Times New Roman" w:eastAsia="Times New Roman"/>
                <w:b/>
                <w:color w:val="FFFFFF"/>
                <w:sz w:val="17"/>
              </w:rPr>
              <w:t>Düzey</w:t>
            </w:r>
          </w:p>
        </w:tc>
        <w:tc>
          <w:tcPr>
            <w:tcW w:type="dxa" w:w="1568"/>
            <w:shd w:fill="1F4E79"/>
          </w:tcPr>
          <w:p>
            <w:r>
              <w:rPr>
                <w:rFonts w:ascii="Times New Roman" w:hAnsi="Times New Roman" w:eastAsia="Times New Roman"/>
                <w:b/>
                <w:color w:val="FFFFFF"/>
                <w:sz w:val="17"/>
              </w:rPr>
              <w:t>Sorun</w:t>
            </w:r>
          </w:p>
        </w:tc>
        <w:tc>
          <w:tcPr>
            <w:tcW w:type="dxa" w:w="1568"/>
            <w:shd w:fill="1F4E79"/>
          </w:tcPr>
          <w:p>
            <w:r>
              <w:rPr>
                <w:rFonts w:ascii="Times New Roman" w:hAnsi="Times New Roman" w:eastAsia="Times New Roman"/>
                <w:b/>
                <w:color w:val="FFFFFF"/>
                <w:sz w:val="17"/>
              </w:rPr>
              <w:t>İşlem</w:t>
            </w:r>
          </w:p>
        </w:tc>
        <w:tc>
          <w:tcPr>
            <w:tcW w:type="dxa" w:w="1568"/>
            <w:shd w:fill="1F4E79"/>
          </w:tcPr>
          <w:p>
            <w:r>
              <w:rPr>
                <w:rFonts w:ascii="Times New Roman" w:hAnsi="Times New Roman" w:eastAsia="Times New Roman"/>
                <w:b/>
                <w:color w:val="FFFFFF"/>
                <w:sz w:val="17"/>
              </w:rPr>
              <w:t>Önerilen geçiş</w:t>
            </w:r>
          </w:p>
        </w:tc>
      </w:tr>
      <w:tr>
        <w:tc>
          <w:tcPr>
            <w:tcW w:type="dxa" w:w="1568"/>
            <w:tcMar>
              <w:top w:w="80" w:type="dxa"/>
              <w:start w:w="100" w:type="dxa"/>
              <w:bottom w:w="80" w:type="dxa"/>
              <w:end w:w="100" w:type="dxa"/>
            </w:tcMar>
            <w:vAlign w:val="top"/>
          </w:tcPr>
          <w:p>
            <w:r>
              <w:rPr>
                <w:rFonts w:ascii="Times New Roman" w:hAnsi="Times New Roman" w:eastAsia="Times New Roman"/>
                <w:sz w:val="17"/>
              </w:rPr>
              <w:t>1</w:t>
            </w:r>
          </w:p>
        </w:tc>
        <w:tc>
          <w:tcPr>
            <w:tcW w:type="dxa" w:w="1568"/>
            <w:tcMar>
              <w:top w:w="80" w:type="dxa"/>
              <w:start w:w="100" w:type="dxa"/>
              <w:bottom w:w="80" w:type="dxa"/>
              <w:end w:w="100" w:type="dxa"/>
            </w:tcMar>
            <w:vAlign w:val="top"/>
          </w:tcPr>
          <w:p>
            <w:r>
              <w:rPr>
                <w:rFonts w:ascii="Times New Roman" w:hAnsi="Times New Roman" w:eastAsia="Times New Roman"/>
                <w:sz w:val="17"/>
              </w:rPr>
              <w:t>Giriş içi</w:t>
            </w:r>
          </w:p>
        </w:tc>
        <w:tc>
          <w:tcPr>
            <w:tcW w:type="dxa" w:w="1568"/>
            <w:tcMar>
              <w:top w:w="80" w:type="dxa"/>
              <w:start w:w="100" w:type="dxa"/>
              <w:bottom w:w="80" w:type="dxa"/>
              <w:end w:w="100" w:type="dxa"/>
            </w:tcMar>
            <w:vAlign w:val="top"/>
          </w:tcPr>
          <w:p>
            <w:r>
              <w:rPr>
                <w:rFonts w:ascii="Times New Roman" w:hAnsi="Times New Roman" w:eastAsia="Times New Roman"/>
                <w:sz w:val="17"/>
              </w:rPr>
              <w:t>Paragraf sırası</w:t>
            </w:r>
          </w:p>
        </w:tc>
        <w:tc>
          <w:tcPr>
            <w:tcW w:type="dxa" w:w="1568"/>
            <w:tcMar>
              <w:top w:w="80" w:type="dxa"/>
              <w:start w:w="100" w:type="dxa"/>
              <w:bottom w:w="80" w:type="dxa"/>
              <w:end w:w="100" w:type="dxa"/>
            </w:tcMar>
            <w:vAlign w:val="top"/>
          </w:tcPr>
          <w:p>
            <w:r>
              <w:rPr>
                <w:rFonts w:ascii="Times New Roman" w:hAnsi="Times New Roman" w:eastAsia="Times New Roman"/>
                <w:sz w:val="17"/>
              </w:rPr>
              <w:t>Kapsamdan sonra yalnız 4. bölüm ön izlemesi geliyor; yöntem daha sonra başlıyor.</w:t>
            </w:r>
          </w:p>
        </w:tc>
        <w:tc>
          <w:tcPr>
            <w:tcW w:type="dxa" w:w="1568"/>
            <w:tcMar>
              <w:top w:w="80" w:type="dxa"/>
              <w:start w:w="100" w:type="dxa"/>
              <w:bottom w:w="80" w:type="dxa"/>
              <w:end w:w="100" w:type="dxa"/>
            </w:tcMar>
            <w:vAlign w:val="top"/>
          </w:tcPr>
          <w:p>
            <w:r>
              <w:rPr>
                <w:rFonts w:ascii="Times New Roman" w:hAnsi="Times New Roman" w:eastAsia="Times New Roman"/>
                <w:sz w:val="17"/>
              </w:rPr>
              <w:t>30. paragrafı bölüm planına taşı.</w:t>
            </w:r>
          </w:p>
        </w:tc>
        <w:tc>
          <w:tcPr>
            <w:tcW w:type="dxa" w:w="1568"/>
            <w:tcMar>
              <w:top w:w="80" w:type="dxa"/>
              <w:start w:w="100" w:type="dxa"/>
              <w:bottom w:w="80" w:type="dxa"/>
              <w:end w:w="100" w:type="dxa"/>
            </w:tcMar>
            <w:vAlign w:val="top"/>
          </w:tcPr>
          <w:p>
            <w:r>
              <w:rPr>
                <w:rFonts w:ascii="Times New Roman" w:hAnsi="Times New Roman" w:eastAsia="Times New Roman"/>
                <w:sz w:val="17"/>
              </w:rPr>
              <w:t>Kapsamdan sonra doğrudan yöntem paragrafına geç.</w:t>
            </w:r>
          </w:p>
        </w:tc>
      </w:tr>
      <w:tr>
        <w:tc>
          <w:tcPr>
            <w:tcW w:type="dxa" w:w="1568"/>
            <w:tcMar>
              <w:top w:w="80" w:type="dxa"/>
              <w:start w:w="100" w:type="dxa"/>
              <w:bottom w:w="80" w:type="dxa"/>
              <w:end w:w="100" w:type="dxa"/>
            </w:tcMar>
            <w:vAlign w:val="top"/>
          </w:tcPr>
          <w:p>
            <w:r>
              <w:rPr>
                <w:rFonts w:ascii="Times New Roman" w:hAnsi="Times New Roman" w:eastAsia="Times New Roman"/>
                <w:sz w:val="17"/>
              </w:rPr>
              <w:t>2</w:t>
            </w:r>
          </w:p>
        </w:tc>
        <w:tc>
          <w:tcPr>
            <w:tcW w:type="dxa" w:w="1568"/>
            <w:tcMar>
              <w:top w:w="80" w:type="dxa"/>
              <w:start w:w="100" w:type="dxa"/>
              <w:bottom w:w="80" w:type="dxa"/>
              <w:end w:w="100" w:type="dxa"/>
            </w:tcMar>
            <w:vAlign w:val="top"/>
          </w:tcPr>
          <w:p>
            <w:r>
              <w:rPr>
                <w:rFonts w:ascii="Times New Roman" w:hAnsi="Times New Roman" w:eastAsia="Times New Roman"/>
                <w:sz w:val="17"/>
              </w:rPr>
              <w:t>Giriş → 1. Bölüm</w:t>
            </w:r>
          </w:p>
        </w:tc>
        <w:tc>
          <w:tcPr>
            <w:tcW w:type="dxa" w:w="1568"/>
            <w:tcMar>
              <w:top w:w="80" w:type="dxa"/>
              <w:start w:w="100" w:type="dxa"/>
              <w:bottom w:w="80" w:type="dxa"/>
              <w:end w:w="100" w:type="dxa"/>
            </w:tcMar>
            <w:vAlign w:val="top"/>
          </w:tcPr>
          <w:p>
            <w:r>
              <w:rPr>
                <w:rFonts w:ascii="Times New Roman" w:hAnsi="Times New Roman" w:eastAsia="Times New Roman"/>
                <w:sz w:val="17"/>
              </w:rPr>
              <w:t>Bölüm</w:t>
            </w:r>
          </w:p>
        </w:tc>
        <w:tc>
          <w:tcPr>
            <w:tcW w:type="dxa" w:w="1568"/>
            <w:tcMar>
              <w:top w:w="80" w:type="dxa"/>
              <w:start w:w="100" w:type="dxa"/>
              <w:bottom w:w="80" w:type="dxa"/>
              <w:end w:w="100" w:type="dxa"/>
            </w:tcMar>
            <w:vAlign w:val="top"/>
          </w:tcPr>
          <w:p>
            <w:r>
              <w:rPr>
                <w:rFonts w:ascii="Times New Roman" w:hAnsi="Times New Roman" w:eastAsia="Times New Roman"/>
                <w:sz w:val="17"/>
              </w:rPr>
              <w:t>Ana soru ikinci kez tekrar ediliyor.</w:t>
            </w:r>
          </w:p>
        </w:tc>
        <w:tc>
          <w:tcPr>
            <w:tcW w:type="dxa" w:w="1568"/>
            <w:tcMar>
              <w:top w:w="80" w:type="dxa"/>
              <w:start w:w="100" w:type="dxa"/>
              <w:bottom w:w="80" w:type="dxa"/>
              <w:end w:w="100" w:type="dxa"/>
            </w:tcMar>
            <w:vAlign w:val="top"/>
          </w:tcPr>
          <w:p>
            <w:r>
              <w:rPr>
                <w:rFonts w:ascii="Times New Roman" w:hAnsi="Times New Roman" w:eastAsia="Times New Roman"/>
                <w:sz w:val="17"/>
              </w:rPr>
              <w:t>Son Giriş paragrafını tarihsel zemine bağla.</w:t>
            </w:r>
          </w:p>
        </w:tc>
        <w:tc>
          <w:tcPr>
            <w:tcW w:type="dxa" w:w="1568"/>
            <w:tcMar>
              <w:top w:w="80" w:type="dxa"/>
              <w:start w:w="100" w:type="dxa"/>
              <w:bottom w:w="80" w:type="dxa"/>
              <w:end w:w="100" w:type="dxa"/>
            </w:tcMar>
            <w:vAlign w:val="top"/>
          </w:tcPr>
          <w:p>
            <w:r>
              <w:rPr>
                <w:rFonts w:ascii="Times New Roman" w:hAnsi="Times New Roman" w:eastAsia="Times New Roman"/>
                <w:sz w:val="17"/>
              </w:rPr>
              <w:t>“Bu ilişkinin nasıl kurulduğunu açıklayabilmek için önce resm-i Osmânî’nin ortaya çıktığı tarihsel ve kavramsal zemini belirlemek gerekir.”</w:t>
            </w:r>
          </w:p>
        </w:tc>
      </w:tr>
      <w:tr>
        <w:tc>
          <w:tcPr>
            <w:tcW w:type="dxa" w:w="1568"/>
            <w:tcMar>
              <w:top w:w="80" w:type="dxa"/>
              <w:start w:w="100" w:type="dxa"/>
              <w:bottom w:w="80" w:type="dxa"/>
              <w:end w:w="100" w:type="dxa"/>
            </w:tcMar>
            <w:vAlign w:val="top"/>
          </w:tcPr>
          <w:p>
            <w:r>
              <w:rPr>
                <w:rFonts w:ascii="Times New Roman" w:hAnsi="Times New Roman" w:eastAsia="Times New Roman"/>
                <w:sz w:val="17"/>
              </w:rPr>
              <w:t>3</w:t>
            </w:r>
          </w:p>
        </w:tc>
        <w:tc>
          <w:tcPr>
            <w:tcW w:type="dxa" w:w="1568"/>
            <w:tcMar>
              <w:top w:w="80" w:type="dxa"/>
              <w:start w:w="100" w:type="dxa"/>
              <w:bottom w:w="80" w:type="dxa"/>
              <w:end w:w="100" w:type="dxa"/>
            </w:tcMar>
            <w:vAlign w:val="top"/>
          </w:tcPr>
          <w:p>
            <w:r>
              <w:rPr>
                <w:rFonts w:ascii="Times New Roman" w:hAnsi="Times New Roman" w:eastAsia="Times New Roman"/>
                <w:sz w:val="17"/>
              </w:rPr>
              <w:t>1.1 içi</w:t>
            </w:r>
          </w:p>
        </w:tc>
        <w:tc>
          <w:tcPr>
            <w:tcW w:type="dxa" w:w="1568"/>
            <w:tcMar>
              <w:top w:w="80" w:type="dxa"/>
              <w:start w:w="100" w:type="dxa"/>
              <w:bottom w:w="80" w:type="dxa"/>
              <w:end w:w="100" w:type="dxa"/>
            </w:tcMar>
            <w:vAlign w:val="top"/>
          </w:tcPr>
          <w:p>
            <w:r>
              <w:rPr>
                <w:rFonts w:ascii="Times New Roman" w:hAnsi="Times New Roman" w:eastAsia="Times New Roman"/>
                <w:sz w:val="17"/>
              </w:rPr>
              <w:t>Paragraflar arası</w:t>
            </w:r>
          </w:p>
        </w:tc>
        <w:tc>
          <w:tcPr>
            <w:tcW w:type="dxa" w:w="1568"/>
            <w:tcMar>
              <w:top w:w="80" w:type="dxa"/>
              <w:start w:w="100" w:type="dxa"/>
              <w:bottom w:w="80" w:type="dxa"/>
              <w:end w:w="100" w:type="dxa"/>
            </w:tcMar>
            <w:vAlign w:val="top"/>
          </w:tcPr>
          <w:p>
            <w:r>
              <w:rPr>
                <w:rFonts w:ascii="Times New Roman" w:hAnsi="Times New Roman" w:eastAsia="Times New Roman"/>
                <w:sz w:val="17"/>
              </w:rPr>
              <w:t>Sentezden ve İslâm dönemine geçişten sonra İslâm öncesi örneklere geri dönülüyor.</w:t>
            </w:r>
          </w:p>
        </w:tc>
        <w:tc>
          <w:tcPr>
            <w:tcW w:type="dxa" w:w="1568"/>
            <w:tcMar>
              <w:top w:w="80" w:type="dxa"/>
              <w:start w:w="100" w:type="dxa"/>
              <w:bottom w:w="80" w:type="dxa"/>
              <w:end w:w="100" w:type="dxa"/>
            </w:tcMar>
            <w:vAlign w:val="top"/>
          </w:tcPr>
          <w:p>
            <w:r>
              <w:rPr>
                <w:rFonts w:ascii="Times New Roman" w:hAnsi="Times New Roman" w:eastAsia="Times New Roman"/>
                <w:sz w:val="17"/>
              </w:rPr>
              <w:t>49–50’yi sona taşı/erit.</w:t>
            </w:r>
          </w:p>
        </w:tc>
        <w:tc>
          <w:tcPr>
            <w:tcW w:type="dxa" w:w="1568"/>
            <w:tcMar>
              <w:top w:w="80" w:type="dxa"/>
              <w:start w:w="100" w:type="dxa"/>
              <w:bottom w:w="80" w:type="dxa"/>
              <w:end w:w="100" w:type="dxa"/>
            </w:tcMar>
            <w:vAlign w:val="top"/>
          </w:tcPr>
          <w:p>
            <w:r>
              <w:rPr>
                <w:rFonts w:ascii="Times New Roman" w:hAnsi="Times New Roman" w:eastAsia="Times New Roman"/>
                <w:sz w:val="17"/>
              </w:rPr>
              <w:t>Kanıtlar → tek sentez → 1.2.</w:t>
            </w:r>
          </w:p>
        </w:tc>
      </w:tr>
      <w:tr>
        <w:tc>
          <w:tcPr>
            <w:tcW w:type="dxa" w:w="1568"/>
            <w:tcMar>
              <w:top w:w="80" w:type="dxa"/>
              <w:start w:w="100" w:type="dxa"/>
              <w:bottom w:w="80" w:type="dxa"/>
              <w:end w:w="100" w:type="dxa"/>
            </w:tcMar>
            <w:vAlign w:val="top"/>
          </w:tcPr>
          <w:p>
            <w:r>
              <w:rPr>
                <w:rFonts w:ascii="Times New Roman" w:hAnsi="Times New Roman" w:eastAsia="Times New Roman"/>
                <w:sz w:val="17"/>
              </w:rPr>
              <w:t>4</w:t>
            </w:r>
          </w:p>
        </w:tc>
        <w:tc>
          <w:tcPr>
            <w:tcW w:type="dxa" w:w="1568"/>
            <w:tcMar>
              <w:top w:w="80" w:type="dxa"/>
              <w:start w:w="100" w:type="dxa"/>
              <w:bottom w:w="80" w:type="dxa"/>
              <w:end w:w="100" w:type="dxa"/>
            </w:tcMar>
            <w:vAlign w:val="top"/>
          </w:tcPr>
          <w:p>
            <w:r>
              <w:rPr>
                <w:rFonts w:ascii="Times New Roman" w:hAnsi="Times New Roman" w:eastAsia="Times New Roman"/>
                <w:sz w:val="17"/>
              </w:rPr>
              <w:t>1.1 → 1.2</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1.1 zaten İslâm’ın gelişiyle yazının değişimini anlatıyor; 1.2 aynı başlangıcı tekrarlıyor.</w:t>
            </w:r>
          </w:p>
        </w:tc>
        <w:tc>
          <w:tcPr>
            <w:tcW w:type="dxa" w:w="1568"/>
            <w:tcMar>
              <w:top w:w="80" w:type="dxa"/>
              <w:start w:w="100" w:type="dxa"/>
              <w:bottom w:w="80" w:type="dxa"/>
              <w:end w:w="100" w:type="dxa"/>
            </w:tcMar>
            <w:vAlign w:val="top"/>
          </w:tcPr>
          <w:p>
            <w:r>
              <w:rPr>
                <w:rFonts w:ascii="Times New Roman" w:hAnsi="Times New Roman" w:eastAsia="Times New Roman"/>
                <w:sz w:val="17"/>
              </w:rPr>
              <w:t>1.1 sonunda yalnız “işlev değişimi”ne işaret et.</w:t>
            </w:r>
          </w:p>
        </w:tc>
        <w:tc>
          <w:tcPr>
            <w:tcW w:type="dxa" w:w="1568"/>
            <w:tcMar>
              <w:top w:w="80" w:type="dxa"/>
              <w:start w:w="100" w:type="dxa"/>
              <w:bottom w:w="80" w:type="dxa"/>
              <w:end w:w="100" w:type="dxa"/>
            </w:tcMar>
            <w:vAlign w:val="top"/>
          </w:tcPr>
          <w:p>
            <w:r>
              <w:rPr>
                <w:rFonts w:ascii="Times New Roman" w:hAnsi="Times New Roman" w:eastAsia="Times New Roman"/>
                <w:sz w:val="17"/>
              </w:rPr>
              <w:t>“Vahyin nüzûlüyle yazının kullanım alanı yeni bir boyut kazanmıştır.”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5</w:t>
            </w:r>
          </w:p>
        </w:tc>
        <w:tc>
          <w:tcPr>
            <w:tcW w:type="dxa" w:w="1568"/>
            <w:tcMar>
              <w:top w:w="80" w:type="dxa"/>
              <w:start w:w="100" w:type="dxa"/>
              <w:bottom w:w="80" w:type="dxa"/>
              <w:end w:w="100" w:type="dxa"/>
            </w:tcMar>
            <w:vAlign w:val="top"/>
          </w:tcPr>
          <w:p>
            <w:r>
              <w:rPr>
                <w:rFonts w:ascii="Times New Roman" w:hAnsi="Times New Roman" w:eastAsia="Times New Roman"/>
                <w:sz w:val="17"/>
              </w:rPr>
              <w:t>1.2 → 1.3</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Aynı “yazıldı fakat kitap hâline getirilmedi” bilgisi iki kez söyleniyor.</w:t>
            </w:r>
          </w:p>
        </w:tc>
        <w:tc>
          <w:tcPr>
            <w:tcW w:type="dxa" w:w="1568"/>
            <w:tcMar>
              <w:top w:w="80" w:type="dxa"/>
              <w:start w:w="100" w:type="dxa"/>
              <w:bottom w:w="80" w:type="dxa"/>
              <w:end w:w="100" w:type="dxa"/>
            </w:tcMar>
            <w:vAlign w:val="top"/>
          </w:tcPr>
          <w:p>
            <w:r>
              <w:rPr>
                <w:rFonts w:ascii="Times New Roman" w:hAnsi="Times New Roman" w:eastAsia="Times New Roman"/>
                <w:sz w:val="17"/>
              </w:rPr>
              <w:t>İki cümleyi tek köprüde birleştir.</w:t>
            </w:r>
          </w:p>
        </w:tc>
        <w:tc>
          <w:tcPr>
            <w:tcW w:type="dxa" w:w="1568"/>
            <w:tcMar>
              <w:top w:w="80" w:type="dxa"/>
              <w:start w:w="100" w:type="dxa"/>
              <w:bottom w:w="80" w:type="dxa"/>
              <w:end w:w="100" w:type="dxa"/>
            </w:tcMar>
            <w:vAlign w:val="top"/>
          </w:tcPr>
          <w:p>
            <w:r>
              <w:rPr>
                <w:rFonts w:ascii="Times New Roman" w:hAnsi="Times New Roman" w:eastAsia="Times New Roman"/>
                <w:sz w:val="17"/>
              </w:rPr>
              <w:t>“Nüzûl döneminde kaydedilen malzemenin tek bir derleme hâlinde toplanmamış olması, Hz. Peygamber’in vefatından sonra cem meselesini gündeme getirmiştir.”</w:t>
            </w:r>
          </w:p>
        </w:tc>
      </w:tr>
      <w:tr>
        <w:tc>
          <w:tcPr>
            <w:tcW w:type="dxa" w:w="1568"/>
            <w:tcMar>
              <w:top w:w="80" w:type="dxa"/>
              <w:start w:w="100" w:type="dxa"/>
              <w:bottom w:w="80" w:type="dxa"/>
              <w:end w:w="100" w:type="dxa"/>
            </w:tcMar>
            <w:vAlign w:val="top"/>
          </w:tcPr>
          <w:p>
            <w:r>
              <w:rPr>
                <w:rFonts w:ascii="Times New Roman" w:hAnsi="Times New Roman" w:eastAsia="Times New Roman"/>
                <w:sz w:val="17"/>
              </w:rPr>
              <w:t>6</w:t>
            </w:r>
          </w:p>
        </w:tc>
        <w:tc>
          <w:tcPr>
            <w:tcW w:type="dxa" w:w="1568"/>
            <w:tcMar>
              <w:top w:w="80" w:type="dxa"/>
              <w:start w:w="100" w:type="dxa"/>
              <w:bottom w:w="80" w:type="dxa"/>
              <w:end w:w="100" w:type="dxa"/>
            </w:tcMar>
            <w:vAlign w:val="top"/>
          </w:tcPr>
          <w:p>
            <w:r>
              <w:rPr>
                <w:rFonts w:ascii="Times New Roman" w:hAnsi="Times New Roman" w:eastAsia="Times New Roman"/>
                <w:sz w:val="17"/>
              </w:rPr>
              <w:t>1.3 → 1.4</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1.3 yedi harf/arza tartışmasını ayrıntılandırarak 1.4’e taşma yapıyor.</w:t>
            </w:r>
          </w:p>
        </w:tc>
        <w:tc>
          <w:tcPr>
            <w:tcW w:type="dxa" w:w="1568"/>
            <w:tcMar>
              <w:top w:w="80" w:type="dxa"/>
              <w:start w:w="100" w:type="dxa"/>
              <w:bottom w:w="80" w:type="dxa"/>
              <w:end w:w="100" w:type="dxa"/>
            </w:tcMar>
            <w:vAlign w:val="top"/>
          </w:tcPr>
          <w:p>
            <w:r>
              <w:rPr>
                <w:rFonts w:ascii="Times New Roman" w:hAnsi="Times New Roman" w:eastAsia="Times New Roman"/>
                <w:sz w:val="17"/>
              </w:rPr>
              <w:t>Ayrıntıyı taşı; kısa ileri gönderme bırak.</w:t>
            </w:r>
          </w:p>
        </w:tc>
        <w:tc>
          <w:tcPr>
            <w:tcW w:type="dxa" w:w="1568"/>
            <w:tcMar>
              <w:top w:w="80" w:type="dxa"/>
              <w:start w:w="100" w:type="dxa"/>
              <w:bottom w:w="80" w:type="dxa"/>
              <w:end w:w="100" w:type="dxa"/>
            </w:tcMar>
            <w:vAlign w:val="top"/>
          </w:tcPr>
          <w:p>
            <w:r>
              <w:rPr>
                <w:rFonts w:ascii="Times New Roman" w:hAnsi="Times New Roman" w:eastAsia="Times New Roman"/>
                <w:sz w:val="17"/>
              </w:rPr>
              <w:t>“Bu sahifelerin sonraki istinsah faaliyetiyle ilişkisi, çoğaltmayı gerektiren şartlarla birlikte ele alınacaktır.”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7</w:t>
            </w:r>
          </w:p>
        </w:tc>
        <w:tc>
          <w:tcPr>
            <w:tcW w:type="dxa" w:w="1568"/>
            <w:tcMar>
              <w:top w:w="80" w:type="dxa"/>
              <w:start w:w="100" w:type="dxa"/>
              <w:bottom w:w="80" w:type="dxa"/>
              <w:end w:w="100" w:type="dxa"/>
            </w:tcMar>
            <w:vAlign w:val="top"/>
          </w:tcPr>
          <w:p>
            <w:r>
              <w:rPr>
                <w:rFonts w:ascii="Times New Roman" w:hAnsi="Times New Roman" w:eastAsia="Times New Roman"/>
                <w:sz w:val="17"/>
              </w:rPr>
              <w:t>1.4 → 1.5</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“Hülasa” paragrafı bölümü kapatıyor ancak dağıtım sorusuna bağlamıyor.</w:t>
            </w:r>
          </w:p>
        </w:tc>
        <w:tc>
          <w:tcPr>
            <w:tcW w:type="dxa" w:w="1568"/>
            <w:tcMar>
              <w:top w:w="80" w:type="dxa"/>
              <w:start w:w="100" w:type="dxa"/>
              <w:bottom w:w="80" w:type="dxa"/>
              <w:end w:w="100" w:type="dxa"/>
            </w:tcMar>
            <w:vAlign w:val="top"/>
          </w:tcPr>
          <w:p>
            <w:r>
              <w:rPr>
                <w:rFonts w:ascii="Times New Roman" w:hAnsi="Times New Roman" w:eastAsia="Times New Roman"/>
                <w:sz w:val="17"/>
              </w:rPr>
              <w:t>98’i geçişe dönüştür.</w:t>
            </w:r>
          </w:p>
        </w:tc>
        <w:tc>
          <w:tcPr>
            <w:tcW w:type="dxa" w:w="1568"/>
            <w:tcMar>
              <w:top w:w="80" w:type="dxa"/>
              <w:start w:w="100" w:type="dxa"/>
              <w:bottom w:w="80" w:type="dxa"/>
              <w:end w:w="100" w:type="dxa"/>
            </w:tcMar>
            <w:vAlign w:val="top"/>
          </w:tcPr>
          <w:p>
            <w:r>
              <w:rPr>
                <w:rFonts w:ascii="Times New Roman" w:hAnsi="Times New Roman" w:eastAsia="Times New Roman"/>
                <w:sz w:val="17"/>
              </w:rPr>
              <w:t>“İstinsah kararının uygulanışını değerlendirebilmek için çoğaltılan nüshaların sayısı ve gönderildikleri merkezler üzerinde durmak gerekir.”</w:t>
            </w:r>
          </w:p>
        </w:tc>
      </w:tr>
      <w:tr>
        <w:tc>
          <w:tcPr>
            <w:tcW w:type="dxa" w:w="1568"/>
            <w:tcMar>
              <w:top w:w="80" w:type="dxa"/>
              <w:start w:w="100" w:type="dxa"/>
              <w:bottom w:w="80" w:type="dxa"/>
              <w:end w:w="100" w:type="dxa"/>
            </w:tcMar>
            <w:vAlign w:val="top"/>
          </w:tcPr>
          <w:p>
            <w:r>
              <w:rPr>
                <w:rFonts w:ascii="Times New Roman" w:hAnsi="Times New Roman" w:eastAsia="Times New Roman"/>
                <w:sz w:val="17"/>
              </w:rPr>
              <w:t>8</w:t>
            </w:r>
          </w:p>
        </w:tc>
        <w:tc>
          <w:tcPr>
            <w:tcW w:type="dxa" w:w="1568"/>
            <w:tcMar>
              <w:top w:w="80" w:type="dxa"/>
              <w:start w:w="100" w:type="dxa"/>
              <w:bottom w:w="80" w:type="dxa"/>
              <w:end w:w="100" w:type="dxa"/>
            </w:tcMar>
            <w:vAlign w:val="top"/>
          </w:tcPr>
          <w:p>
            <w:r>
              <w:rPr>
                <w:rFonts w:ascii="Times New Roman" w:hAnsi="Times New Roman" w:eastAsia="Times New Roman"/>
                <w:sz w:val="17"/>
              </w:rPr>
              <w:t>1.5 → 1.6</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Nüsha sayısından kavram tanımına ani geçiş.</w:t>
            </w:r>
          </w:p>
        </w:tc>
        <w:tc>
          <w:tcPr>
            <w:tcW w:type="dxa" w:w="1568"/>
            <w:tcMar>
              <w:top w:w="80" w:type="dxa"/>
              <w:start w:w="100" w:type="dxa"/>
              <w:bottom w:w="80" w:type="dxa"/>
              <w:end w:w="100" w:type="dxa"/>
            </w:tcMar>
            <w:vAlign w:val="top"/>
          </w:tcPr>
          <w:p>
            <w:r>
              <w:rPr>
                <w:rFonts w:ascii="Times New Roman" w:hAnsi="Times New Roman" w:eastAsia="Times New Roman"/>
                <w:sz w:val="17"/>
              </w:rPr>
              <w:t>1.6 ilk cümlesini değiştir.</w:t>
            </w:r>
          </w:p>
        </w:tc>
        <w:tc>
          <w:tcPr>
            <w:tcW w:type="dxa" w:w="1568"/>
            <w:tcMar>
              <w:top w:w="80" w:type="dxa"/>
              <w:start w:w="100" w:type="dxa"/>
              <w:bottom w:w="80" w:type="dxa"/>
              <w:end w:w="100" w:type="dxa"/>
            </w:tcMar>
            <w:vAlign w:val="top"/>
          </w:tcPr>
          <w:p>
            <w:r>
              <w:rPr>
                <w:rFonts w:ascii="Times New Roman" w:hAnsi="Times New Roman" w:eastAsia="Times New Roman"/>
                <w:sz w:val="17"/>
              </w:rPr>
              <w:t>“Osmânî mushafların ortak başvuru nüshaları hâline gelmesi, bu nüshalara nispet edilen yazım geleneğinin kavramsal sınırlarını açıklamayı gerekli kılmaktadır.”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9</w:t>
            </w:r>
          </w:p>
        </w:tc>
        <w:tc>
          <w:tcPr>
            <w:tcW w:type="dxa" w:w="1568"/>
            <w:tcMar>
              <w:top w:w="80" w:type="dxa"/>
              <w:start w:w="100" w:type="dxa"/>
              <w:bottom w:w="80" w:type="dxa"/>
              <w:end w:w="100" w:type="dxa"/>
            </w:tcMar>
            <w:vAlign w:val="top"/>
          </w:tcPr>
          <w:p>
            <w:r>
              <w:rPr>
                <w:rFonts w:ascii="Times New Roman" w:hAnsi="Times New Roman" w:eastAsia="Times New Roman"/>
                <w:sz w:val="17"/>
              </w:rPr>
              <w:t>1.6.1 → 1.6.2</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Istılâhî bölüm lügat anlamını tekrar ediyor.</w:t>
            </w:r>
          </w:p>
        </w:tc>
        <w:tc>
          <w:tcPr>
            <w:tcW w:type="dxa" w:w="1568"/>
            <w:tcMar>
              <w:top w:w="80" w:type="dxa"/>
              <w:start w:w="100" w:type="dxa"/>
              <w:bottom w:w="80" w:type="dxa"/>
              <w:end w:w="100" w:type="dxa"/>
            </w:tcMar>
            <w:vAlign w:val="top"/>
          </w:tcPr>
          <w:p>
            <w:r>
              <w:rPr>
                <w:rFonts w:ascii="Times New Roman" w:hAnsi="Times New Roman" w:eastAsia="Times New Roman"/>
                <w:sz w:val="17"/>
              </w:rPr>
              <w:t>1.6.2 doğrudan teknik kullanımla başlasın.</w:t>
            </w:r>
          </w:p>
        </w:tc>
        <w:tc>
          <w:tcPr>
            <w:tcW w:type="dxa" w:w="1568"/>
            <w:tcMar>
              <w:top w:w="80" w:type="dxa"/>
              <w:start w:w="100" w:type="dxa"/>
              <w:bottom w:w="80" w:type="dxa"/>
              <w:end w:w="100" w:type="dxa"/>
            </w:tcMar>
            <w:vAlign w:val="top"/>
          </w:tcPr>
          <w:p>
            <w:r>
              <w:rPr>
                <w:rFonts w:ascii="Times New Roman" w:hAnsi="Times New Roman" w:eastAsia="Times New Roman"/>
                <w:sz w:val="17"/>
              </w:rPr>
              <w:t>“Lügavî zeminden sonra resm kavramı mushaf literatüründe teknik bir anlam kazanmıştır.”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10</w:t>
            </w:r>
          </w:p>
        </w:tc>
        <w:tc>
          <w:tcPr>
            <w:tcW w:type="dxa" w:w="1568"/>
            <w:tcMar>
              <w:top w:w="80" w:type="dxa"/>
              <w:start w:w="100" w:type="dxa"/>
              <w:bottom w:w="80" w:type="dxa"/>
              <w:end w:w="100" w:type="dxa"/>
            </w:tcMar>
            <w:vAlign w:val="top"/>
          </w:tcPr>
          <w:p>
            <w:r>
              <w:rPr>
                <w:rFonts w:ascii="Times New Roman" w:hAnsi="Times New Roman" w:eastAsia="Times New Roman"/>
                <w:sz w:val="17"/>
              </w:rPr>
              <w:t>1.6.2 → 1.7</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“Sonuç olarak” tekrarından sonra tanım/mahiyet başlığı yeniden açılıyor.</w:t>
            </w:r>
          </w:p>
        </w:tc>
        <w:tc>
          <w:tcPr>
            <w:tcW w:type="dxa" w:w="1568"/>
            <w:tcMar>
              <w:top w:w="80" w:type="dxa"/>
              <w:start w:w="100" w:type="dxa"/>
              <w:bottom w:w="80" w:type="dxa"/>
              <w:end w:w="100" w:type="dxa"/>
            </w:tcMar>
            <w:vAlign w:val="top"/>
          </w:tcPr>
          <w:p>
            <w:r>
              <w:rPr>
                <w:rFonts w:ascii="Times New Roman" w:hAnsi="Times New Roman" w:eastAsia="Times New Roman"/>
                <w:sz w:val="17"/>
              </w:rPr>
              <w:t>133’ü köprüye dönüştür.</w:t>
            </w:r>
          </w:p>
        </w:tc>
        <w:tc>
          <w:tcPr>
            <w:tcW w:type="dxa" w:w="1568"/>
            <w:tcMar>
              <w:top w:w="80" w:type="dxa"/>
              <w:start w:w="100" w:type="dxa"/>
              <w:bottom w:w="80" w:type="dxa"/>
              <w:end w:w="100" w:type="dxa"/>
            </w:tcMar>
            <w:vAlign w:val="top"/>
          </w:tcPr>
          <w:p>
            <w:r>
              <w:rPr>
                <w:rFonts w:ascii="Times New Roman" w:hAnsi="Times New Roman" w:eastAsia="Times New Roman"/>
                <w:sz w:val="17"/>
              </w:rPr>
              <w:t>“Bu iki ilke, resm-i Osmânî’nin tanımı ve mahiyetini ele alan sonraki tartışma için kavramsal zemin sağlar.”</w:t>
            </w:r>
          </w:p>
        </w:tc>
      </w:tr>
      <w:tr>
        <w:tc>
          <w:tcPr>
            <w:tcW w:type="dxa" w:w="1568"/>
            <w:tcMar>
              <w:top w:w="80" w:type="dxa"/>
              <w:start w:w="100" w:type="dxa"/>
              <w:bottom w:w="80" w:type="dxa"/>
              <w:end w:w="100" w:type="dxa"/>
            </w:tcMar>
            <w:vAlign w:val="top"/>
          </w:tcPr>
          <w:p>
            <w:r>
              <w:rPr>
                <w:rFonts w:ascii="Times New Roman" w:hAnsi="Times New Roman" w:eastAsia="Times New Roman"/>
                <w:sz w:val="17"/>
              </w:rPr>
              <w:t>11</w:t>
            </w:r>
          </w:p>
        </w:tc>
        <w:tc>
          <w:tcPr>
            <w:tcW w:type="dxa" w:w="1568"/>
            <w:tcMar>
              <w:top w:w="80" w:type="dxa"/>
              <w:start w:w="100" w:type="dxa"/>
              <w:bottom w:w="80" w:type="dxa"/>
              <w:end w:w="100" w:type="dxa"/>
            </w:tcMar>
            <w:vAlign w:val="top"/>
          </w:tcPr>
          <w:p>
            <w:r>
              <w:rPr>
                <w:rFonts w:ascii="Times New Roman" w:hAnsi="Times New Roman" w:eastAsia="Times New Roman"/>
                <w:sz w:val="17"/>
              </w:rPr>
              <w:t>1.9 → 1.9.1</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Ayrıntılar başlamadan genel sonuç verilmiş.</w:t>
            </w:r>
          </w:p>
        </w:tc>
        <w:tc>
          <w:tcPr>
            <w:tcW w:type="dxa" w:w="1568"/>
            <w:tcMar>
              <w:top w:w="80" w:type="dxa"/>
              <w:start w:w="100" w:type="dxa"/>
              <w:bottom w:w="80" w:type="dxa"/>
              <w:end w:w="100" w:type="dxa"/>
            </w:tcMar>
            <w:vAlign w:val="top"/>
          </w:tcPr>
          <w:p>
            <w:r>
              <w:rPr>
                <w:rFonts w:ascii="Times New Roman" w:hAnsi="Times New Roman" w:eastAsia="Times New Roman"/>
                <w:sz w:val="17"/>
              </w:rPr>
              <w:t>176’yı incelemeye davet eden köprü yap.</w:t>
            </w:r>
          </w:p>
        </w:tc>
        <w:tc>
          <w:tcPr>
            <w:tcW w:type="dxa" w:w="1568"/>
            <w:tcMar>
              <w:top w:w="80" w:type="dxa"/>
              <w:start w:w="100" w:type="dxa"/>
              <w:bottom w:w="80" w:type="dxa"/>
              <w:end w:w="100" w:type="dxa"/>
            </w:tcMar>
            <w:vAlign w:val="top"/>
          </w:tcPr>
          <w:p>
            <w:r>
              <w:rPr>
                <w:rFonts w:ascii="Times New Roman" w:hAnsi="Times New Roman" w:eastAsia="Times New Roman"/>
                <w:sz w:val="17"/>
              </w:rPr>
              <w:t>“Bu genel çerçevenin hangi yazım özellikleri üzerinden ortaya çıktığını görmek için kuralları ayrı ayrı incelemek gerekir.”</w:t>
            </w:r>
          </w:p>
        </w:tc>
      </w:tr>
      <w:tr>
        <w:tc>
          <w:tcPr>
            <w:tcW w:type="dxa" w:w="1568"/>
            <w:tcMar>
              <w:top w:w="80" w:type="dxa"/>
              <w:start w:w="100" w:type="dxa"/>
              <w:bottom w:w="80" w:type="dxa"/>
              <w:end w:w="100" w:type="dxa"/>
            </w:tcMar>
            <w:vAlign w:val="top"/>
          </w:tcPr>
          <w:p>
            <w:r>
              <w:rPr>
                <w:rFonts w:ascii="Times New Roman" w:hAnsi="Times New Roman" w:eastAsia="Times New Roman"/>
                <w:sz w:val="17"/>
              </w:rPr>
              <w:t>12</w:t>
            </w:r>
          </w:p>
        </w:tc>
        <w:tc>
          <w:tcPr>
            <w:tcW w:type="dxa" w:w="1568"/>
            <w:tcMar>
              <w:top w:w="80" w:type="dxa"/>
              <w:start w:w="100" w:type="dxa"/>
              <w:bottom w:w="80" w:type="dxa"/>
              <w:end w:w="100" w:type="dxa"/>
            </w:tcMar>
            <w:vAlign w:val="top"/>
          </w:tcPr>
          <w:p>
            <w:r>
              <w:rPr>
                <w:rFonts w:ascii="Times New Roman" w:hAnsi="Times New Roman" w:eastAsia="Times New Roman"/>
                <w:sz w:val="17"/>
              </w:rPr>
              <w:t>1.9.1 → 1.9.2</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Kural listesi biterken birkaç genelleme yeni başlığın örneğini önceden sonuçlandırıyor.</w:t>
            </w:r>
          </w:p>
        </w:tc>
        <w:tc>
          <w:tcPr>
            <w:tcW w:type="dxa" w:w="1568"/>
            <w:tcMar>
              <w:top w:w="80" w:type="dxa"/>
              <w:start w:w="100" w:type="dxa"/>
              <w:bottom w:w="80" w:type="dxa"/>
              <w:end w:w="100" w:type="dxa"/>
            </w:tcMar>
            <w:vAlign w:val="top"/>
          </w:tcPr>
          <w:p>
            <w:r>
              <w:rPr>
                <w:rFonts w:ascii="Times New Roman" w:hAnsi="Times New Roman" w:eastAsia="Times New Roman"/>
                <w:sz w:val="17"/>
              </w:rPr>
              <w:t>Genel sonucu tek cümleye indir.</w:t>
            </w:r>
          </w:p>
        </w:tc>
        <w:tc>
          <w:tcPr>
            <w:tcW w:type="dxa" w:w="1568"/>
            <w:tcMar>
              <w:top w:w="80" w:type="dxa"/>
              <w:start w:w="100" w:type="dxa"/>
              <w:bottom w:w="80" w:type="dxa"/>
              <w:end w:w="100" w:type="dxa"/>
            </w:tcMar>
            <w:vAlign w:val="top"/>
          </w:tcPr>
          <w:p>
            <w:r>
              <w:rPr>
                <w:rFonts w:ascii="Times New Roman" w:hAnsi="Times New Roman" w:eastAsia="Times New Roman"/>
                <w:sz w:val="17"/>
              </w:rPr>
              <w:t>“Bu kuralların kırâatle ilişkisi örnekten örneğe değişir; bazı kelimelerde ise aynı resmin birden fazla sahih okuyuşla bağdaşması ayrıca önem taşır.”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13</w:t>
            </w:r>
          </w:p>
        </w:tc>
        <w:tc>
          <w:tcPr>
            <w:tcW w:type="dxa" w:w="1568"/>
            <w:tcMar>
              <w:top w:w="80" w:type="dxa"/>
              <w:start w:w="100" w:type="dxa"/>
              <w:bottom w:w="80" w:type="dxa"/>
              <w:end w:w="100" w:type="dxa"/>
            </w:tcMar>
            <w:vAlign w:val="top"/>
          </w:tcPr>
          <w:p>
            <w:r>
              <w:rPr>
                <w:rFonts w:ascii="Times New Roman" w:hAnsi="Times New Roman" w:eastAsia="Times New Roman"/>
                <w:sz w:val="17"/>
              </w:rPr>
              <w:t>1.10 → 2. Bölüm</w:t>
            </w:r>
          </w:p>
        </w:tc>
        <w:tc>
          <w:tcPr>
            <w:tcW w:type="dxa" w:w="1568"/>
            <w:tcMar>
              <w:top w:w="80" w:type="dxa"/>
              <w:start w:w="100" w:type="dxa"/>
              <w:bottom w:w="80" w:type="dxa"/>
              <w:end w:w="100" w:type="dxa"/>
            </w:tcMar>
            <w:vAlign w:val="top"/>
          </w:tcPr>
          <w:p>
            <w:r>
              <w:rPr>
                <w:rFonts w:ascii="Times New Roman" w:hAnsi="Times New Roman" w:eastAsia="Times New Roman"/>
                <w:sz w:val="17"/>
              </w:rPr>
              <w:t>Bölüm</w:t>
            </w:r>
          </w:p>
        </w:tc>
        <w:tc>
          <w:tcPr>
            <w:tcW w:type="dxa" w:w="1568"/>
            <w:tcMar>
              <w:top w:w="80" w:type="dxa"/>
              <w:start w:w="100" w:type="dxa"/>
              <w:bottom w:w="80" w:type="dxa"/>
              <w:end w:w="100" w:type="dxa"/>
            </w:tcMar>
            <w:vAlign w:val="top"/>
          </w:tcPr>
          <w:p>
            <w:r>
              <w:rPr>
                <w:rFonts w:ascii="Times New Roman" w:hAnsi="Times New Roman" w:eastAsia="Times New Roman"/>
                <w:sz w:val="17"/>
              </w:rPr>
              <w:t>1.10 uzun kabul şartı döngüsüyle bittiğinden 2. bölüm yeniden aynı zemini açıyor.</w:t>
            </w:r>
          </w:p>
        </w:tc>
        <w:tc>
          <w:tcPr>
            <w:tcW w:type="dxa" w:w="1568"/>
            <w:tcMar>
              <w:top w:w="80" w:type="dxa"/>
              <w:start w:w="100" w:type="dxa"/>
              <w:bottom w:w="80" w:type="dxa"/>
              <w:end w:w="100" w:type="dxa"/>
            </w:tcMar>
            <w:vAlign w:val="top"/>
          </w:tcPr>
          <w:p>
            <w:r>
              <w:rPr>
                <w:rFonts w:ascii="Times New Roman" w:hAnsi="Times New Roman" w:eastAsia="Times New Roman"/>
                <w:sz w:val="17"/>
              </w:rPr>
              <w:t>1.10 son cümleyi rivâyet mantığına bağla.</w:t>
            </w:r>
          </w:p>
        </w:tc>
        <w:tc>
          <w:tcPr>
            <w:tcW w:type="dxa" w:w="1568"/>
            <w:tcMar>
              <w:top w:w="80" w:type="dxa"/>
              <w:start w:w="100" w:type="dxa"/>
              <w:bottom w:w="80" w:type="dxa"/>
              <w:end w:w="100" w:type="dxa"/>
            </w:tcMar>
            <w:vAlign w:val="top"/>
          </w:tcPr>
          <w:p>
            <w:r>
              <w:rPr>
                <w:rFonts w:ascii="Times New Roman" w:hAnsi="Times New Roman" w:eastAsia="Times New Roman"/>
                <w:sz w:val="17"/>
              </w:rPr>
              <w:t>“Bu yazılı ölçünün sözlü aktarım içindeki yerini belirlemek için kırâatlerin rivâyet mantığını ayrıca incelemek gerekir.”</w:t>
            </w:r>
          </w:p>
        </w:tc>
      </w:tr>
      <w:tr>
        <w:tc>
          <w:tcPr>
            <w:tcW w:type="dxa" w:w="1568"/>
            <w:tcMar>
              <w:top w:w="80" w:type="dxa"/>
              <w:start w:w="100" w:type="dxa"/>
              <w:bottom w:w="80" w:type="dxa"/>
              <w:end w:w="100" w:type="dxa"/>
            </w:tcMar>
            <w:vAlign w:val="top"/>
          </w:tcPr>
          <w:p>
            <w:r>
              <w:rPr>
                <w:rFonts w:ascii="Times New Roman" w:hAnsi="Times New Roman" w:eastAsia="Times New Roman"/>
                <w:sz w:val="17"/>
              </w:rPr>
              <w:t>14</w:t>
            </w:r>
          </w:p>
        </w:tc>
        <w:tc>
          <w:tcPr>
            <w:tcW w:type="dxa" w:w="1568"/>
            <w:tcMar>
              <w:top w:w="80" w:type="dxa"/>
              <w:start w:w="100" w:type="dxa"/>
              <w:bottom w:w="80" w:type="dxa"/>
              <w:end w:w="100" w:type="dxa"/>
            </w:tcMar>
            <w:vAlign w:val="top"/>
          </w:tcPr>
          <w:p>
            <w:r>
              <w:rPr>
                <w:rFonts w:ascii="Times New Roman" w:hAnsi="Times New Roman" w:eastAsia="Times New Roman"/>
                <w:sz w:val="17"/>
              </w:rPr>
              <w:t>2.1 → 2.2</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Rivâyet/sened ayrıntısı 2.1’de tüketiliyor.</w:t>
            </w:r>
          </w:p>
        </w:tc>
        <w:tc>
          <w:tcPr>
            <w:tcW w:type="dxa" w:w="1568"/>
            <w:tcMar>
              <w:top w:w="80" w:type="dxa"/>
              <w:start w:w="100" w:type="dxa"/>
              <w:bottom w:w="80" w:type="dxa"/>
              <w:end w:w="100" w:type="dxa"/>
            </w:tcMar>
            <w:vAlign w:val="top"/>
          </w:tcPr>
          <w:p>
            <w:r>
              <w:rPr>
                <w:rFonts w:ascii="Times New Roman" w:hAnsi="Times New Roman" w:eastAsia="Times New Roman"/>
                <w:sz w:val="17"/>
              </w:rPr>
              <w:t>2.1 sonunu ileri gönderme yap.</w:t>
            </w:r>
          </w:p>
        </w:tc>
        <w:tc>
          <w:tcPr>
            <w:tcW w:type="dxa" w:w="1568"/>
            <w:tcMar>
              <w:top w:w="80" w:type="dxa"/>
              <w:start w:w="100" w:type="dxa"/>
              <w:bottom w:w="80" w:type="dxa"/>
              <w:end w:w="100" w:type="dxa"/>
            </w:tcMar>
            <w:vAlign w:val="top"/>
          </w:tcPr>
          <w:p>
            <w:r>
              <w:rPr>
                <w:rFonts w:ascii="Times New Roman" w:hAnsi="Times New Roman" w:eastAsia="Times New Roman"/>
                <w:sz w:val="17"/>
              </w:rPr>
              <w:t>“Bu rivâyet temelli yapının sened ve ilmî otoriteyle ilişkisi sonraki başlıkta ele alınacaktır.”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15</w:t>
            </w:r>
          </w:p>
        </w:tc>
        <w:tc>
          <w:tcPr>
            <w:tcW w:type="dxa" w:w="1568"/>
            <w:tcMar>
              <w:top w:w="80" w:type="dxa"/>
              <w:start w:w="100" w:type="dxa"/>
              <w:bottom w:w="80" w:type="dxa"/>
              <w:end w:w="100" w:type="dxa"/>
            </w:tcMar>
            <w:vAlign w:val="top"/>
          </w:tcPr>
          <w:p>
            <w:r>
              <w:rPr>
                <w:rFonts w:ascii="Times New Roman" w:hAnsi="Times New Roman" w:eastAsia="Times New Roman"/>
                <w:sz w:val="17"/>
              </w:rPr>
              <w:t>2.2 → 2.3</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Otorite ekseni uzun özetle kapanıyor; yedi harf aniden başlıyor.</w:t>
            </w:r>
          </w:p>
        </w:tc>
        <w:tc>
          <w:tcPr>
            <w:tcW w:type="dxa" w:w="1568"/>
            <w:tcMar>
              <w:top w:w="80" w:type="dxa"/>
              <w:start w:w="100" w:type="dxa"/>
              <w:bottom w:w="80" w:type="dxa"/>
              <w:end w:w="100" w:type="dxa"/>
            </w:tcMar>
            <w:vAlign w:val="top"/>
          </w:tcPr>
          <w:p>
            <w:r>
              <w:rPr>
                <w:rFonts w:ascii="Times New Roman" w:hAnsi="Times New Roman" w:eastAsia="Times New Roman"/>
                <w:sz w:val="17"/>
              </w:rPr>
              <w:t>250’yi soruya bağla.</w:t>
            </w:r>
          </w:p>
        </w:tc>
        <w:tc>
          <w:tcPr>
            <w:tcW w:type="dxa" w:w="1568"/>
            <w:tcMar>
              <w:top w:w="80" w:type="dxa"/>
              <w:start w:w="100" w:type="dxa"/>
              <w:bottom w:w="80" w:type="dxa"/>
              <w:end w:w="100" w:type="dxa"/>
            </w:tcMar>
            <w:vAlign w:val="top"/>
          </w:tcPr>
          <w:p>
            <w:r>
              <w:rPr>
                <w:rFonts w:ascii="Times New Roman" w:hAnsi="Times New Roman" w:eastAsia="Times New Roman"/>
                <w:sz w:val="17"/>
              </w:rPr>
              <w:t>“Bu aktarım düzeninin yazılı mushafla ilişkisi, yedi harf ile Osmânî mushaf meselesinde daha belirgin hâle gelir.”</w:t>
            </w:r>
          </w:p>
        </w:tc>
      </w:tr>
      <w:tr>
        <w:tc>
          <w:tcPr>
            <w:tcW w:type="dxa" w:w="1568"/>
            <w:tcMar>
              <w:top w:w="80" w:type="dxa"/>
              <w:start w:w="100" w:type="dxa"/>
              <w:bottom w:w="80" w:type="dxa"/>
              <w:end w:w="100" w:type="dxa"/>
            </w:tcMar>
            <w:vAlign w:val="top"/>
          </w:tcPr>
          <w:p>
            <w:r>
              <w:rPr>
                <w:rFonts w:ascii="Times New Roman" w:hAnsi="Times New Roman" w:eastAsia="Times New Roman"/>
                <w:sz w:val="17"/>
              </w:rPr>
              <w:t>16</w:t>
            </w:r>
          </w:p>
        </w:tc>
        <w:tc>
          <w:tcPr>
            <w:tcW w:type="dxa" w:w="1568"/>
            <w:tcMar>
              <w:top w:w="80" w:type="dxa"/>
              <w:start w:w="100" w:type="dxa"/>
              <w:bottom w:w="80" w:type="dxa"/>
              <w:end w:w="100" w:type="dxa"/>
            </w:tcMar>
            <w:vAlign w:val="top"/>
          </w:tcPr>
          <w:p>
            <w:r>
              <w:rPr>
                <w:rFonts w:ascii="Times New Roman" w:hAnsi="Times New Roman" w:eastAsia="Times New Roman"/>
                <w:sz w:val="17"/>
              </w:rPr>
              <w:t>2.3 → 2.4</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Yedi harf yeniden uzun özetleniyor.</w:t>
            </w:r>
          </w:p>
        </w:tc>
        <w:tc>
          <w:tcPr>
            <w:tcW w:type="dxa" w:w="1568"/>
            <w:tcMar>
              <w:top w:w="80" w:type="dxa"/>
              <w:start w:w="100" w:type="dxa"/>
              <w:bottom w:w="80" w:type="dxa"/>
              <w:end w:w="100" w:type="dxa"/>
            </w:tcMar>
            <w:vAlign w:val="top"/>
          </w:tcPr>
          <w:p>
            <w:r>
              <w:rPr>
                <w:rFonts w:ascii="Times New Roman" w:hAnsi="Times New Roman" w:eastAsia="Times New Roman"/>
                <w:sz w:val="17"/>
              </w:rPr>
              <w:t>260’ı ortak başvuru metnine köprü yap.</w:t>
            </w:r>
          </w:p>
        </w:tc>
        <w:tc>
          <w:tcPr>
            <w:tcW w:type="dxa" w:w="1568"/>
            <w:tcMar>
              <w:top w:w="80" w:type="dxa"/>
              <w:start w:w="100" w:type="dxa"/>
              <w:bottom w:w="80" w:type="dxa"/>
              <w:end w:w="100" w:type="dxa"/>
            </w:tcMar>
            <w:vAlign w:val="top"/>
          </w:tcPr>
          <w:p>
            <w:r>
              <w:rPr>
                <w:rFonts w:ascii="Times New Roman" w:hAnsi="Times New Roman" w:eastAsia="Times New Roman"/>
                <w:sz w:val="17"/>
              </w:rPr>
              <w:t>“Bu farklı görüşler, Osmânî mushafların kırâat ve tefsirde ortak başvuru zemini hâline gelişinin ayrıca incelenmesini gerekli kılar.”</w:t>
            </w:r>
          </w:p>
        </w:tc>
      </w:tr>
      <w:tr>
        <w:tc>
          <w:tcPr>
            <w:tcW w:type="dxa" w:w="1568"/>
            <w:tcMar>
              <w:top w:w="80" w:type="dxa"/>
              <w:start w:w="100" w:type="dxa"/>
              <w:bottom w:w="80" w:type="dxa"/>
              <w:end w:w="100" w:type="dxa"/>
            </w:tcMar>
            <w:vAlign w:val="top"/>
          </w:tcPr>
          <w:p>
            <w:r>
              <w:rPr>
                <w:rFonts w:ascii="Times New Roman" w:hAnsi="Times New Roman" w:eastAsia="Times New Roman"/>
                <w:sz w:val="17"/>
              </w:rPr>
              <w:t>17</w:t>
            </w:r>
          </w:p>
        </w:tc>
        <w:tc>
          <w:tcPr>
            <w:tcW w:type="dxa" w:w="1568"/>
            <w:tcMar>
              <w:top w:w="80" w:type="dxa"/>
              <w:start w:w="100" w:type="dxa"/>
              <w:bottom w:w="80" w:type="dxa"/>
              <w:end w:w="100" w:type="dxa"/>
            </w:tcMar>
            <w:vAlign w:val="top"/>
          </w:tcPr>
          <w:p>
            <w:r>
              <w:rPr>
                <w:rFonts w:ascii="Times New Roman" w:hAnsi="Times New Roman" w:eastAsia="Times New Roman"/>
                <w:sz w:val="17"/>
              </w:rPr>
              <w:t>2.4 → 3. Bölüm</w:t>
            </w:r>
          </w:p>
        </w:tc>
        <w:tc>
          <w:tcPr>
            <w:tcW w:type="dxa" w:w="1568"/>
            <w:tcMar>
              <w:top w:w="80" w:type="dxa"/>
              <w:start w:w="100" w:type="dxa"/>
              <w:bottom w:w="80" w:type="dxa"/>
              <w:end w:w="100" w:type="dxa"/>
            </w:tcMar>
            <w:vAlign w:val="top"/>
          </w:tcPr>
          <w:p>
            <w:r>
              <w:rPr>
                <w:rFonts w:ascii="Times New Roman" w:hAnsi="Times New Roman" w:eastAsia="Times New Roman"/>
                <w:sz w:val="17"/>
              </w:rPr>
              <w:t>Bölüm</w:t>
            </w:r>
          </w:p>
        </w:tc>
        <w:tc>
          <w:tcPr>
            <w:tcW w:type="dxa" w:w="1568"/>
            <w:tcMar>
              <w:top w:w="80" w:type="dxa"/>
              <w:start w:w="100" w:type="dxa"/>
              <w:bottom w:w="80" w:type="dxa"/>
              <w:end w:w="100" w:type="dxa"/>
            </w:tcMar>
            <w:vAlign w:val="top"/>
          </w:tcPr>
          <w:p>
            <w:r>
              <w:rPr>
                <w:rFonts w:ascii="Times New Roman" w:hAnsi="Times New Roman" w:eastAsia="Times New Roman"/>
                <w:sz w:val="17"/>
              </w:rPr>
              <w:t>Genel etki tartışmasından somut resm–lafız–mana örneklerine bağ görünmüyor.</w:t>
            </w:r>
          </w:p>
        </w:tc>
        <w:tc>
          <w:tcPr>
            <w:tcW w:type="dxa" w:w="1568"/>
            <w:tcMar>
              <w:top w:w="80" w:type="dxa"/>
              <w:start w:w="100" w:type="dxa"/>
              <w:bottom w:w="80" w:type="dxa"/>
              <w:end w:w="100" w:type="dxa"/>
            </w:tcMar>
            <w:vAlign w:val="top"/>
          </w:tcPr>
          <w:p>
            <w:r>
              <w:rPr>
                <w:rFonts w:ascii="Times New Roman" w:hAnsi="Times New Roman" w:eastAsia="Times New Roman"/>
                <w:sz w:val="17"/>
              </w:rPr>
              <w:t>273’ü somut incelemeye bağla.</w:t>
            </w:r>
          </w:p>
        </w:tc>
        <w:tc>
          <w:tcPr>
            <w:tcW w:type="dxa" w:w="1568"/>
            <w:tcMar>
              <w:top w:w="80" w:type="dxa"/>
              <w:start w:w="100" w:type="dxa"/>
              <w:bottom w:w="80" w:type="dxa"/>
              <w:end w:w="100" w:type="dxa"/>
            </w:tcMar>
            <w:vAlign w:val="top"/>
          </w:tcPr>
          <w:p>
            <w:r>
              <w:rPr>
                <w:rFonts w:ascii="Times New Roman" w:hAnsi="Times New Roman" w:eastAsia="Times New Roman"/>
                <w:sz w:val="17"/>
              </w:rPr>
              <w:t>“Bu genel çerçevenin nasıl işlediği, resm, kırâat, lafız ve mana arasındaki somut örneklerde daha açık görülebilir.”</w:t>
            </w:r>
          </w:p>
        </w:tc>
      </w:tr>
      <w:tr>
        <w:tc>
          <w:tcPr>
            <w:tcW w:type="dxa" w:w="1568"/>
            <w:tcMar>
              <w:top w:w="80" w:type="dxa"/>
              <w:start w:w="100" w:type="dxa"/>
              <w:bottom w:w="80" w:type="dxa"/>
              <w:end w:w="100" w:type="dxa"/>
            </w:tcMar>
            <w:vAlign w:val="top"/>
          </w:tcPr>
          <w:p>
            <w:r>
              <w:rPr>
                <w:rFonts w:ascii="Times New Roman" w:hAnsi="Times New Roman" w:eastAsia="Times New Roman"/>
                <w:sz w:val="17"/>
              </w:rPr>
              <w:t>18</w:t>
            </w:r>
          </w:p>
        </w:tc>
        <w:tc>
          <w:tcPr>
            <w:tcW w:type="dxa" w:w="1568"/>
            <w:tcMar>
              <w:top w:w="80" w:type="dxa"/>
              <w:start w:w="100" w:type="dxa"/>
              <w:bottom w:w="80" w:type="dxa"/>
              <w:end w:w="100" w:type="dxa"/>
            </w:tcMar>
            <w:vAlign w:val="top"/>
          </w:tcPr>
          <w:p>
            <w:r>
              <w:rPr>
                <w:rFonts w:ascii="Times New Roman" w:hAnsi="Times New Roman" w:eastAsia="Times New Roman"/>
                <w:sz w:val="17"/>
              </w:rPr>
              <w:t>3.3 → 3.4</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3.3 sonu mana alanına taşıyor, 3.4 aynı alanı yeniden açıyor.</w:t>
            </w:r>
          </w:p>
        </w:tc>
        <w:tc>
          <w:tcPr>
            <w:tcW w:type="dxa" w:w="1568"/>
            <w:tcMar>
              <w:top w:w="80" w:type="dxa"/>
              <w:start w:w="100" w:type="dxa"/>
              <w:bottom w:w="80" w:type="dxa"/>
              <w:end w:w="100" w:type="dxa"/>
            </w:tcMar>
            <w:vAlign w:val="top"/>
          </w:tcPr>
          <w:p>
            <w:r>
              <w:rPr>
                <w:rFonts w:ascii="Times New Roman" w:hAnsi="Times New Roman" w:eastAsia="Times New Roman"/>
                <w:sz w:val="17"/>
              </w:rPr>
              <w:t>Mana kısmını 3.4’e taşı.</w:t>
            </w:r>
          </w:p>
        </w:tc>
        <w:tc>
          <w:tcPr>
            <w:tcW w:type="dxa" w:w="1568"/>
            <w:tcMar>
              <w:top w:w="80" w:type="dxa"/>
              <w:start w:w="100" w:type="dxa"/>
              <w:bottom w:w="80" w:type="dxa"/>
              <w:end w:w="100" w:type="dxa"/>
            </w:tcMar>
            <w:vAlign w:val="top"/>
          </w:tcPr>
          <w:p>
            <w:r>
              <w:rPr>
                <w:rFonts w:ascii="Times New Roman" w:hAnsi="Times New Roman" w:eastAsia="Times New Roman"/>
                <w:sz w:val="17"/>
              </w:rPr>
              <w:t>3.3 fonetik/yazısal ilişkiyle bitsin; 3.4 mana-hikmet yorumlarıyla başlasın.</w:t>
            </w:r>
          </w:p>
        </w:tc>
      </w:tr>
      <w:tr>
        <w:tc>
          <w:tcPr>
            <w:tcW w:type="dxa" w:w="1568"/>
            <w:tcMar>
              <w:top w:w="80" w:type="dxa"/>
              <w:start w:w="100" w:type="dxa"/>
              <w:bottom w:w="80" w:type="dxa"/>
              <w:end w:w="100" w:type="dxa"/>
            </w:tcMar>
            <w:vAlign w:val="top"/>
          </w:tcPr>
          <w:p>
            <w:r>
              <w:rPr>
                <w:rFonts w:ascii="Times New Roman" w:hAnsi="Times New Roman" w:eastAsia="Times New Roman"/>
                <w:sz w:val="17"/>
              </w:rPr>
              <w:t>19</w:t>
            </w:r>
          </w:p>
        </w:tc>
        <w:tc>
          <w:tcPr>
            <w:tcW w:type="dxa" w:w="1568"/>
            <w:tcMar>
              <w:top w:w="80" w:type="dxa"/>
              <w:start w:w="100" w:type="dxa"/>
              <w:bottom w:w="80" w:type="dxa"/>
              <w:end w:w="100" w:type="dxa"/>
            </w:tcMar>
            <w:vAlign w:val="top"/>
          </w:tcPr>
          <w:p>
            <w:r>
              <w:rPr>
                <w:rFonts w:ascii="Times New Roman" w:hAnsi="Times New Roman" w:eastAsia="Times New Roman"/>
                <w:sz w:val="17"/>
              </w:rPr>
              <w:t>3.5 → 3.6</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İki sonuç paragrafından sonra bağlayıcılık başlığı başlıyor.</w:t>
            </w:r>
          </w:p>
        </w:tc>
        <w:tc>
          <w:tcPr>
            <w:tcW w:type="dxa" w:w="1568"/>
            <w:tcMar>
              <w:top w:w="80" w:type="dxa"/>
              <w:start w:w="100" w:type="dxa"/>
              <w:bottom w:w="80" w:type="dxa"/>
              <w:end w:w="100" w:type="dxa"/>
            </w:tcMar>
            <w:vAlign w:val="top"/>
          </w:tcPr>
          <w:p>
            <w:r>
              <w:rPr>
                <w:rFonts w:ascii="Times New Roman" w:hAnsi="Times New Roman" w:eastAsia="Times New Roman"/>
                <w:sz w:val="17"/>
              </w:rPr>
              <w:t>311’i bağlayıcılık sorusuna dönüştür.</w:t>
            </w:r>
          </w:p>
        </w:tc>
        <w:tc>
          <w:tcPr>
            <w:tcW w:type="dxa" w:w="1568"/>
            <w:tcMar>
              <w:top w:w="80" w:type="dxa"/>
              <w:start w:w="100" w:type="dxa"/>
              <w:bottom w:w="80" w:type="dxa"/>
              <w:end w:w="100" w:type="dxa"/>
            </w:tcMar>
            <w:vAlign w:val="top"/>
          </w:tcPr>
          <w:p>
            <w:r>
              <w:rPr>
                <w:rFonts w:ascii="Times New Roman" w:hAnsi="Times New Roman" w:eastAsia="Times New Roman"/>
                <w:sz w:val="17"/>
              </w:rPr>
              <w:t>“Bu dilsel ve anlamsal kullanımlar, resm verisinin yorumdaki yerini gösterir; bu verinin normatif bağlayıcılığı ise ayrı bir meseledir.”</w:t>
            </w:r>
          </w:p>
        </w:tc>
      </w:tr>
      <w:tr>
        <w:tc>
          <w:tcPr>
            <w:tcW w:type="dxa" w:w="1568"/>
            <w:tcMar>
              <w:top w:w="80" w:type="dxa"/>
              <w:start w:w="100" w:type="dxa"/>
              <w:bottom w:w="80" w:type="dxa"/>
              <w:end w:w="100" w:type="dxa"/>
            </w:tcMar>
            <w:vAlign w:val="top"/>
          </w:tcPr>
          <w:p>
            <w:r>
              <w:rPr>
                <w:rFonts w:ascii="Times New Roman" w:hAnsi="Times New Roman" w:eastAsia="Times New Roman"/>
                <w:sz w:val="17"/>
              </w:rPr>
              <w:t>20</w:t>
            </w:r>
          </w:p>
        </w:tc>
        <w:tc>
          <w:tcPr>
            <w:tcW w:type="dxa" w:w="1568"/>
            <w:tcMar>
              <w:top w:w="80" w:type="dxa"/>
              <w:start w:w="100" w:type="dxa"/>
              <w:bottom w:w="80" w:type="dxa"/>
              <w:end w:w="100" w:type="dxa"/>
            </w:tcMar>
            <w:vAlign w:val="top"/>
          </w:tcPr>
          <w:p>
            <w:r>
              <w:rPr>
                <w:rFonts w:ascii="Times New Roman" w:hAnsi="Times New Roman" w:eastAsia="Times New Roman"/>
                <w:sz w:val="17"/>
              </w:rPr>
              <w:t>3.12 → 4. Bölüm</w:t>
            </w:r>
          </w:p>
        </w:tc>
        <w:tc>
          <w:tcPr>
            <w:tcW w:type="dxa" w:w="1568"/>
            <w:tcMar>
              <w:top w:w="80" w:type="dxa"/>
              <w:start w:w="100" w:type="dxa"/>
              <w:bottom w:w="80" w:type="dxa"/>
              <w:end w:w="100" w:type="dxa"/>
            </w:tcMar>
            <w:vAlign w:val="top"/>
          </w:tcPr>
          <w:p>
            <w:r>
              <w:rPr>
                <w:rFonts w:ascii="Times New Roman" w:hAnsi="Times New Roman" w:eastAsia="Times New Roman"/>
                <w:sz w:val="17"/>
              </w:rPr>
              <w:t>Bölüm</w:t>
            </w:r>
          </w:p>
        </w:tc>
        <w:tc>
          <w:tcPr>
            <w:tcW w:type="dxa" w:w="1568"/>
            <w:tcMar>
              <w:top w:w="80" w:type="dxa"/>
              <w:start w:w="100" w:type="dxa"/>
              <w:bottom w:w="80" w:type="dxa"/>
              <w:end w:w="100" w:type="dxa"/>
            </w:tcMar>
            <w:vAlign w:val="top"/>
          </w:tcPr>
          <w:p>
            <w:r>
              <w:rPr>
                <w:rFonts w:ascii="Times New Roman" w:hAnsi="Times New Roman" w:eastAsia="Times New Roman"/>
                <w:sz w:val="17"/>
              </w:rPr>
              <w:t>Ümmet birliğinden teknik rivâyet işlevine ani dönüş.</w:t>
            </w:r>
          </w:p>
        </w:tc>
        <w:tc>
          <w:tcPr>
            <w:tcW w:type="dxa" w:w="1568"/>
            <w:tcMar>
              <w:top w:w="80" w:type="dxa"/>
              <w:start w:w="100" w:type="dxa"/>
              <w:bottom w:w="80" w:type="dxa"/>
              <w:end w:w="100" w:type="dxa"/>
            </w:tcMar>
            <w:vAlign w:val="top"/>
          </w:tcPr>
          <w:p>
            <w:r>
              <w:rPr>
                <w:rFonts w:ascii="Times New Roman" w:hAnsi="Times New Roman" w:eastAsia="Times New Roman"/>
                <w:sz w:val="17"/>
              </w:rPr>
              <w:t>Son cümlede kitabın ana sorusuna dön.</w:t>
            </w:r>
          </w:p>
        </w:tc>
        <w:tc>
          <w:tcPr>
            <w:tcW w:type="dxa" w:w="1568"/>
            <w:tcMar>
              <w:top w:w="80" w:type="dxa"/>
              <w:start w:w="100" w:type="dxa"/>
              <w:bottom w:w="80" w:type="dxa"/>
              <w:end w:w="100" w:type="dxa"/>
            </w:tcMar>
            <w:vAlign w:val="top"/>
          </w:tcPr>
          <w:p>
            <w:r>
              <w:rPr>
                <w:rFonts w:ascii="Times New Roman" w:hAnsi="Times New Roman" w:eastAsia="Times New Roman"/>
                <w:sz w:val="17"/>
              </w:rPr>
              <w:t>“Bu gerekçelerden sonra, resm verilerinin kırâat vecihlerinin rivâyet ve değerlendirilmesinde nasıl kullanıldığına geçilebilir.”</w:t>
            </w:r>
          </w:p>
        </w:tc>
      </w:tr>
      <w:tr>
        <w:tc>
          <w:tcPr>
            <w:tcW w:type="dxa" w:w="1568"/>
            <w:tcMar>
              <w:top w:w="80" w:type="dxa"/>
              <w:start w:w="100" w:type="dxa"/>
              <w:bottom w:w="80" w:type="dxa"/>
              <w:end w:w="100" w:type="dxa"/>
            </w:tcMar>
            <w:vAlign w:val="top"/>
          </w:tcPr>
          <w:p>
            <w:r>
              <w:rPr>
                <w:rFonts w:ascii="Times New Roman" w:hAnsi="Times New Roman" w:eastAsia="Times New Roman"/>
                <w:sz w:val="17"/>
              </w:rPr>
              <w:t>21</w:t>
            </w:r>
          </w:p>
        </w:tc>
        <w:tc>
          <w:tcPr>
            <w:tcW w:type="dxa" w:w="1568"/>
            <w:tcMar>
              <w:top w:w="80" w:type="dxa"/>
              <w:start w:w="100" w:type="dxa"/>
              <w:bottom w:w="80" w:type="dxa"/>
              <w:end w:w="100" w:type="dxa"/>
            </w:tcMar>
            <w:vAlign w:val="top"/>
          </w:tcPr>
          <w:p>
            <w:r>
              <w:rPr>
                <w:rFonts w:ascii="Times New Roman" w:hAnsi="Times New Roman" w:eastAsia="Times New Roman"/>
                <w:sz w:val="17"/>
              </w:rPr>
              <w:t>4.1 → 4.2</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Genel tahditten sahâbe mushaflarına neden geçildiği söylenmiyor.</w:t>
            </w:r>
          </w:p>
        </w:tc>
        <w:tc>
          <w:tcPr>
            <w:tcW w:type="dxa" w:w="1568"/>
            <w:tcMar>
              <w:top w:w="80" w:type="dxa"/>
              <w:start w:w="100" w:type="dxa"/>
              <w:bottom w:w="80" w:type="dxa"/>
              <w:end w:w="100" w:type="dxa"/>
            </w:tcMar>
            <w:vAlign w:val="top"/>
          </w:tcPr>
          <w:p>
            <w:r>
              <w:rPr>
                <w:rFonts w:ascii="Times New Roman" w:hAnsi="Times New Roman" w:eastAsia="Times New Roman"/>
                <w:sz w:val="17"/>
              </w:rPr>
              <w:t>4.1 son cümleyi tarihsel tanıklık/normatif otorite ayrımına bağla.</w:t>
            </w:r>
          </w:p>
        </w:tc>
        <w:tc>
          <w:tcPr>
            <w:tcW w:type="dxa" w:w="1568"/>
            <w:tcMar>
              <w:top w:w="80" w:type="dxa"/>
              <w:start w:w="100" w:type="dxa"/>
              <w:bottom w:w="80" w:type="dxa"/>
              <w:end w:w="100" w:type="dxa"/>
            </w:tcMar>
            <w:vAlign w:val="top"/>
          </w:tcPr>
          <w:p>
            <w:r>
              <w:rPr>
                <w:rFonts w:ascii="Times New Roman" w:hAnsi="Times New Roman" w:eastAsia="Times New Roman"/>
                <w:sz w:val="17"/>
              </w:rPr>
              <w:t>“Bu sınır, sahâbe mushaflarına nispet edilen farklı kayıtlar karşısında daha görünür hâle gelir.”</w:t>
            </w:r>
          </w:p>
        </w:tc>
      </w:tr>
      <w:tr>
        <w:tc>
          <w:tcPr>
            <w:tcW w:type="dxa" w:w="1568"/>
            <w:tcMar>
              <w:top w:w="80" w:type="dxa"/>
              <w:start w:w="100" w:type="dxa"/>
              <w:bottom w:w="80" w:type="dxa"/>
              <w:end w:w="100" w:type="dxa"/>
            </w:tcMar>
            <w:vAlign w:val="top"/>
          </w:tcPr>
          <w:p>
            <w:r>
              <w:rPr>
                <w:rFonts w:ascii="Times New Roman" w:hAnsi="Times New Roman" w:eastAsia="Times New Roman"/>
                <w:sz w:val="17"/>
              </w:rPr>
              <w:t>22</w:t>
            </w:r>
          </w:p>
        </w:tc>
        <w:tc>
          <w:tcPr>
            <w:tcW w:type="dxa" w:w="1568"/>
            <w:tcMar>
              <w:top w:w="80" w:type="dxa"/>
              <w:start w:w="100" w:type="dxa"/>
              <w:bottom w:w="80" w:type="dxa"/>
              <w:end w:w="100" w:type="dxa"/>
            </w:tcMar>
            <w:vAlign w:val="top"/>
          </w:tcPr>
          <w:p>
            <w:r>
              <w:rPr>
                <w:rFonts w:ascii="Times New Roman" w:hAnsi="Times New Roman" w:eastAsia="Times New Roman"/>
                <w:sz w:val="17"/>
              </w:rPr>
              <w:t>4.3 → 4.4</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Kabul/ret ile tercih-tevcîh aynı düzey gibi art arda geliyor.</w:t>
            </w:r>
          </w:p>
        </w:tc>
        <w:tc>
          <w:tcPr>
            <w:tcW w:type="dxa" w:w="1568"/>
            <w:tcMar>
              <w:top w:w="80" w:type="dxa"/>
              <w:start w:w="100" w:type="dxa"/>
              <w:bottom w:w="80" w:type="dxa"/>
              <w:end w:w="100" w:type="dxa"/>
            </w:tcMar>
            <w:vAlign w:val="top"/>
          </w:tcPr>
          <w:p>
            <w:r>
              <w:rPr>
                <w:rFonts w:ascii="Times New Roman" w:hAnsi="Times New Roman" w:eastAsia="Times New Roman"/>
                <w:sz w:val="17"/>
              </w:rPr>
              <w:t>4.4’te düzey ayrımı kur.</w:t>
            </w:r>
          </w:p>
        </w:tc>
        <w:tc>
          <w:tcPr>
            <w:tcW w:type="dxa" w:w="1568"/>
            <w:tcMar>
              <w:top w:w="80" w:type="dxa"/>
              <w:start w:w="100" w:type="dxa"/>
              <w:bottom w:w="80" w:type="dxa"/>
              <w:end w:w="100" w:type="dxa"/>
            </w:tcMar>
            <w:vAlign w:val="top"/>
          </w:tcPr>
          <w:p>
            <w:r>
              <w:rPr>
                <w:rFonts w:ascii="Times New Roman" w:hAnsi="Times New Roman" w:eastAsia="Times New Roman"/>
                <w:sz w:val="17"/>
              </w:rPr>
              <w:t>“Kabul sınırı ile sahih kabul edilen okuyuşlar arasındaki tercih ve tevcîh işlemleri birbirinden ayrılmalıdır.”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23</w:t>
            </w:r>
          </w:p>
        </w:tc>
        <w:tc>
          <w:tcPr>
            <w:tcW w:type="dxa" w:w="1568"/>
            <w:tcMar>
              <w:top w:w="80" w:type="dxa"/>
              <w:start w:w="100" w:type="dxa"/>
              <w:bottom w:w="80" w:type="dxa"/>
              <w:end w:w="100" w:type="dxa"/>
            </w:tcMar>
            <w:vAlign w:val="top"/>
          </w:tcPr>
          <w:p>
            <w:r>
              <w:rPr>
                <w:rFonts w:ascii="Times New Roman" w:hAnsi="Times New Roman" w:eastAsia="Times New Roman"/>
                <w:sz w:val="17"/>
              </w:rPr>
              <w:t>4.5 → 4.6</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Erken resm rivâyetlerinden modern neşre zaman sıçraması.</w:t>
            </w:r>
          </w:p>
        </w:tc>
        <w:tc>
          <w:tcPr>
            <w:tcW w:type="dxa" w:w="1568"/>
            <w:tcMar>
              <w:top w:w="80" w:type="dxa"/>
              <w:start w:w="100" w:type="dxa"/>
              <w:bottom w:w="80" w:type="dxa"/>
              <w:end w:w="100" w:type="dxa"/>
            </w:tcMar>
            <w:vAlign w:val="top"/>
          </w:tcPr>
          <w:p>
            <w:r>
              <w:rPr>
                <w:rFonts w:ascii="Times New Roman" w:hAnsi="Times New Roman" w:eastAsia="Times New Roman"/>
                <w:sz w:val="17"/>
              </w:rPr>
              <w:t>4.6 klasik birikimin neşre aktarılmasıyla başlasın.</w:t>
            </w:r>
          </w:p>
        </w:tc>
        <w:tc>
          <w:tcPr>
            <w:tcW w:type="dxa" w:w="1568"/>
            <w:tcMar>
              <w:top w:w="80" w:type="dxa"/>
              <w:start w:w="100" w:type="dxa"/>
              <w:bottom w:w="80" w:type="dxa"/>
              <w:end w:w="100" w:type="dxa"/>
            </w:tcMar>
            <w:vAlign w:val="top"/>
          </w:tcPr>
          <w:p>
            <w:r>
              <w:rPr>
                <w:rFonts w:ascii="Times New Roman" w:hAnsi="Times New Roman" w:eastAsia="Times New Roman"/>
                <w:sz w:val="17"/>
              </w:rPr>
              <w:t>“Resm rivâyetlerinin sonraki dönemdeki önemli işlevlerinden biri, mushaf istinsahı ve neşrinde başvurulan yazım geleneğini beslemesidir.”</w:t>
            </w:r>
          </w:p>
        </w:tc>
      </w:tr>
      <w:tr>
        <w:tc>
          <w:tcPr>
            <w:tcW w:type="dxa" w:w="1568"/>
            <w:tcMar>
              <w:top w:w="80" w:type="dxa"/>
              <w:start w:w="100" w:type="dxa"/>
              <w:bottom w:w="80" w:type="dxa"/>
              <w:end w:w="100" w:type="dxa"/>
            </w:tcMar>
            <w:vAlign w:val="top"/>
          </w:tcPr>
          <w:p>
            <w:r>
              <w:rPr>
                <w:rFonts w:ascii="Times New Roman" w:hAnsi="Times New Roman" w:eastAsia="Times New Roman"/>
                <w:sz w:val="17"/>
              </w:rPr>
              <w:t>24</w:t>
            </w:r>
          </w:p>
        </w:tc>
        <w:tc>
          <w:tcPr>
            <w:tcW w:type="dxa" w:w="1568"/>
            <w:tcMar>
              <w:top w:w="80" w:type="dxa"/>
              <w:start w:w="100" w:type="dxa"/>
              <w:bottom w:w="80" w:type="dxa"/>
              <w:end w:w="100" w:type="dxa"/>
            </w:tcMar>
            <w:vAlign w:val="top"/>
          </w:tcPr>
          <w:p>
            <w:r>
              <w:rPr>
                <w:rFonts w:ascii="Times New Roman" w:hAnsi="Times New Roman" w:eastAsia="Times New Roman"/>
                <w:sz w:val="17"/>
              </w:rPr>
              <w:t>4.6 → 4.7</w:t>
            </w:r>
          </w:p>
        </w:tc>
        <w:tc>
          <w:tcPr>
            <w:tcW w:type="dxa" w:w="1568"/>
            <w:tcMar>
              <w:top w:w="80" w:type="dxa"/>
              <w:start w:w="100" w:type="dxa"/>
              <w:bottom w:w="80" w:type="dxa"/>
              <w:end w:w="100" w:type="dxa"/>
            </w:tcMar>
            <w:vAlign w:val="top"/>
          </w:tcPr>
          <w:p>
            <w:r>
              <w:rPr>
                <w:rFonts w:ascii="Times New Roman" w:hAnsi="Times New Roman" w:eastAsia="Times New Roman"/>
                <w:sz w:val="17"/>
              </w:rPr>
              <w:t>Alt başlık</w:t>
            </w:r>
          </w:p>
        </w:tc>
        <w:tc>
          <w:tcPr>
            <w:tcW w:type="dxa" w:w="1568"/>
            <w:tcMar>
              <w:top w:w="80" w:type="dxa"/>
              <w:start w:w="100" w:type="dxa"/>
              <w:bottom w:w="80" w:type="dxa"/>
              <w:end w:w="100" w:type="dxa"/>
            </w:tcMar>
            <w:vAlign w:val="top"/>
          </w:tcPr>
          <w:p>
            <w:r>
              <w:rPr>
                <w:rFonts w:ascii="Times New Roman" w:hAnsi="Times New Roman" w:eastAsia="Times New Roman"/>
                <w:sz w:val="17"/>
              </w:rPr>
              <w:t>Yeni başlık iki paragraf genel hat tarihine geri dönüyor.</w:t>
            </w:r>
          </w:p>
        </w:tc>
        <w:tc>
          <w:tcPr>
            <w:tcW w:type="dxa" w:w="1568"/>
            <w:tcMar>
              <w:top w:w="80" w:type="dxa"/>
              <w:start w:w="100" w:type="dxa"/>
              <w:bottom w:w="80" w:type="dxa"/>
              <w:end w:w="100" w:type="dxa"/>
            </w:tcMar>
            <w:vAlign w:val="top"/>
          </w:tcPr>
          <w:p>
            <w:r>
              <w:rPr>
                <w:rFonts w:ascii="Times New Roman" w:hAnsi="Times New Roman" w:eastAsia="Times New Roman"/>
                <w:sz w:val="17"/>
              </w:rPr>
              <w:t>4.7’yi mevcut 459 ile başlat.</w:t>
            </w:r>
          </w:p>
        </w:tc>
        <w:tc>
          <w:tcPr>
            <w:tcW w:type="dxa" w:w="1568"/>
            <w:tcMar>
              <w:top w:w="80" w:type="dxa"/>
              <w:start w:w="100" w:type="dxa"/>
              <w:bottom w:w="80" w:type="dxa"/>
              <w:end w:w="100" w:type="dxa"/>
            </w:tcMar>
            <w:vAlign w:val="top"/>
          </w:tcPr>
          <w:p>
            <w:r>
              <w:rPr>
                <w:rFonts w:ascii="Times New Roman" w:hAnsi="Times New Roman" w:eastAsia="Times New Roman"/>
                <w:sz w:val="17"/>
              </w:rPr>
              <w:t>“Zapt işaretlerinin gelişmesiyle mushaflar belirli kırâat rivâyetlerine göre düzenlenmeye başlamıştır.”</w:t>
            </w:r>
          </w:p>
        </w:tc>
      </w:tr>
      <w:tr>
        <w:tc>
          <w:tcPr>
            <w:tcW w:type="dxa" w:w="1568"/>
            <w:tcMar>
              <w:top w:w="80" w:type="dxa"/>
              <w:start w:w="100" w:type="dxa"/>
              <w:bottom w:w="80" w:type="dxa"/>
              <w:end w:w="100" w:type="dxa"/>
            </w:tcMar>
            <w:vAlign w:val="top"/>
          </w:tcPr>
          <w:p>
            <w:r>
              <w:rPr>
                <w:rFonts w:ascii="Times New Roman" w:hAnsi="Times New Roman" w:eastAsia="Times New Roman"/>
                <w:sz w:val="17"/>
              </w:rPr>
              <w:t>25</w:t>
            </w:r>
          </w:p>
        </w:tc>
        <w:tc>
          <w:tcPr>
            <w:tcW w:type="dxa" w:w="1568"/>
            <w:tcMar>
              <w:top w:w="80" w:type="dxa"/>
              <w:start w:w="100" w:type="dxa"/>
              <w:bottom w:w="80" w:type="dxa"/>
              <w:end w:w="100" w:type="dxa"/>
            </w:tcMar>
            <w:vAlign w:val="top"/>
          </w:tcPr>
          <w:p>
            <w:r>
              <w:rPr>
                <w:rFonts w:ascii="Times New Roman" w:hAnsi="Times New Roman" w:eastAsia="Times New Roman"/>
                <w:sz w:val="17"/>
              </w:rPr>
              <w:t>4.7 içi</w:t>
            </w:r>
          </w:p>
        </w:tc>
        <w:tc>
          <w:tcPr>
            <w:tcW w:type="dxa" w:w="1568"/>
            <w:tcMar>
              <w:top w:w="80" w:type="dxa"/>
              <w:start w:w="100" w:type="dxa"/>
              <w:bottom w:w="80" w:type="dxa"/>
              <w:end w:w="100" w:type="dxa"/>
            </w:tcMar>
            <w:vAlign w:val="top"/>
          </w:tcPr>
          <w:p>
            <w:r>
              <w:rPr>
                <w:rFonts w:ascii="Times New Roman" w:hAnsi="Times New Roman" w:eastAsia="Times New Roman"/>
                <w:sz w:val="17"/>
              </w:rPr>
              <w:t>Paragraflar arası</w:t>
            </w:r>
          </w:p>
        </w:tc>
        <w:tc>
          <w:tcPr>
            <w:tcW w:type="dxa" w:w="1568"/>
            <w:tcMar>
              <w:top w:w="80" w:type="dxa"/>
              <w:start w:w="100" w:type="dxa"/>
              <w:bottom w:w="80" w:type="dxa"/>
              <w:end w:w="100" w:type="dxa"/>
            </w:tcMar>
            <w:vAlign w:val="top"/>
          </w:tcPr>
          <w:p>
            <w:r>
              <w:rPr>
                <w:rFonts w:ascii="Times New Roman" w:hAnsi="Times New Roman" w:eastAsia="Times New Roman"/>
                <w:sz w:val="17"/>
              </w:rPr>
              <w:t>471 genel sonuç veriyor, 472 Türkiye örneği başlıyor.</w:t>
            </w:r>
          </w:p>
        </w:tc>
        <w:tc>
          <w:tcPr>
            <w:tcW w:type="dxa" w:w="1568"/>
            <w:tcMar>
              <w:top w:w="80" w:type="dxa"/>
              <w:start w:w="100" w:type="dxa"/>
              <w:bottom w:w="80" w:type="dxa"/>
              <w:end w:w="100" w:type="dxa"/>
            </w:tcMar>
            <w:vAlign w:val="top"/>
          </w:tcPr>
          <w:p>
            <w:r>
              <w:rPr>
                <w:rFonts w:ascii="Times New Roman" w:hAnsi="Times New Roman" w:eastAsia="Times New Roman"/>
                <w:sz w:val="17"/>
              </w:rPr>
              <w:t>471’i sonuçtan geçişe dönüştür.</w:t>
            </w:r>
          </w:p>
        </w:tc>
        <w:tc>
          <w:tcPr>
            <w:tcW w:type="dxa" w:w="1568"/>
            <w:tcMar>
              <w:top w:w="80" w:type="dxa"/>
              <w:start w:w="100" w:type="dxa"/>
              <w:bottom w:w="80" w:type="dxa"/>
              <w:end w:w="100" w:type="dxa"/>
            </w:tcMar>
            <w:vAlign w:val="top"/>
          </w:tcPr>
          <w:p>
            <w:r>
              <w:rPr>
                <w:rFonts w:ascii="Times New Roman" w:hAnsi="Times New Roman" w:eastAsia="Times New Roman"/>
                <w:sz w:val="17"/>
              </w:rPr>
              <w:t>“Bu genel matbu süreç, Türkiye’de denetimli mushaf neşri bakımından farklı bir kurumsal seyir izlemiştir.”</w:t>
            </w:r>
          </w:p>
        </w:tc>
      </w:tr>
      <w:tr>
        <w:tc>
          <w:tcPr>
            <w:tcW w:type="dxa" w:w="1568"/>
            <w:tcMar>
              <w:top w:w="80" w:type="dxa"/>
              <w:start w:w="100" w:type="dxa"/>
              <w:bottom w:w="80" w:type="dxa"/>
              <w:end w:w="100" w:type="dxa"/>
            </w:tcMar>
            <w:vAlign w:val="top"/>
          </w:tcPr>
          <w:p>
            <w:r>
              <w:rPr>
                <w:rFonts w:ascii="Times New Roman" w:hAnsi="Times New Roman" w:eastAsia="Times New Roman"/>
                <w:sz w:val="17"/>
              </w:rPr>
              <w:t>26</w:t>
            </w:r>
          </w:p>
        </w:tc>
        <w:tc>
          <w:tcPr>
            <w:tcW w:type="dxa" w:w="1568"/>
            <w:tcMar>
              <w:top w:w="80" w:type="dxa"/>
              <w:start w:w="100" w:type="dxa"/>
              <w:bottom w:w="80" w:type="dxa"/>
              <w:end w:w="100" w:type="dxa"/>
            </w:tcMar>
            <w:vAlign w:val="top"/>
          </w:tcPr>
          <w:p>
            <w:r>
              <w:rPr>
                <w:rFonts w:ascii="Times New Roman" w:hAnsi="Times New Roman" w:eastAsia="Times New Roman"/>
                <w:sz w:val="17"/>
              </w:rPr>
              <w:t>4.7 → Sonuç</w:t>
            </w:r>
          </w:p>
        </w:tc>
        <w:tc>
          <w:tcPr>
            <w:tcW w:type="dxa" w:w="1568"/>
            <w:tcMar>
              <w:top w:w="80" w:type="dxa"/>
              <w:start w:w="100" w:type="dxa"/>
              <w:bottom w:w="80" w:type="dxa"/>
              <w:end w:w="100" w:type="dxa"/>
            </w:tcMar>
            <w:vAlign w:val="top"/>
          </w:tcPr>
          <w:p>
            <w:r>
              <w:rPr>
                <w:rFonts w:ascii="Times New Roman" w:hAnsi="Times New Roman" w:eastAsia="Times New Roman"/>
                <w:sz w:val="17"/>
              </w:rPr>
              <w:t>Bölüm</w:t>
            </w:r>
          </w:p>
        </w:tc>
        <w:tc>
          <w:tcPr>
            <w:tcW w:type="dxa" w:w="1568"/>
            <w:tcMar>
              <w:top w:w="80" w:type="dxa"/>
              <w:start w:w="100" w:type="dxa"/>
              <w:bottom w:w="80" w:type="dxa"/>
              <w:end w:w="100" w:type="dxa"/>
            </w:tcMar>
            <w:vAlign w:val="top"/>
          </w:tcPr>
          <w:p>
            <w:r>
              <w:rPr>
                <w:rFonts w:ascii="Times New Roman" w:hAnsi="Times New Roman" w:eastAsia="Times New Roman"/>
                <w:sz w:val="17"/>
              </w:rPr>
              <w:t>Açık bir geçiş eksikliği zorunlu değil; Sonuç zaten ana tezi yeniden kuruyor.</w:t>
            </w:r>
          </w:p>
        </w:tc>
        <w:tc>
          <w:tcPr>
            <w:tcW w:type="dxa" w:w="1568"/>
            <w:tcMar>
              <w:top w:w="80" w:type="dxa"/>
              <w:start w:w="100" w:type="dxa"/>
              <w:bottom w:w="80" w:type="dxa"/>
              <w:end w:w="100" w:type="dxa"/>
            </w:tcMar>
            <w:vAlign w:val="top"/>
          </w:tcPr>
          <w:p>
            <w:r>
              <w:rPr>
                <w:rFonts w:ascii="Times New Roman" w:hAnsi="Times New Roman" w:eastAsia="Times New Roman"/>
                <w:sz w:val="17"/>
              </w:rPr>
              <w:t>Yeni paragraf ekleme.</w:t>
            </w:r>
          </w:p>
        </w:tc>
        <w:tc>
          <w:tcPr>
            <w:tcW w:type="dxa" w:w="1568"/>
            <w:tcMar>
              <w:top w:w="80" w:type="dxa"/>
              <w:start w:w="100" w:type="dxa"/>
              <w:bottom w:w="80" w:type="dxa"/>
              <w:end w:w="100" w:type="dxa"/>
            </w:tcMar>
            <w:vAlign w:val="top"/>
          </w:tcPr>
          <w:p>
            <w:r>
              <w:rPr>
                <w:rFonts w:ascii="Times New Roman" w:hAnsi="Times New Roman" w:eastAsia="Times New Roman"/>
                <w:sz w:val="17"/>
              </w:rPr>
              <w:t>Mevcut Sonuç açılışı korunabilir.</w:t>
            </w:r>
          </w:p>
        </w:tc>
      </w:tr>
    </w:tbl>
    <w:p>
      <w:pPr>
        <w:pStyle w:val="Heading2"/>
        <w:keepNext/>
      </w:pPr>
      <w:r>
        <w:t>11. Sonuç Bölümü Dışındaki Gereksiz Ara Sonuç ve Özet Paragrafları</w:t>
      </w:r>
    </w:p>
    <w:p>
      <w:r>
        <w:t>Ana metinde Sonuç bölümü dışında “Sonuç olarak” ifadesi 14 kez geçmektedir. Bunların tamamı aynı derecede sorunlu değildir. Aşağıdaki tabloda her kullanım işlevine göre sınıflandırılmıştır. “Korunabilir” denilenler içerik bakımından gerçek sentez işlevi görmekte; diğerleri çoğunlukla ara özet, tekrar veya geçiş ihtiyacını formülaik bir sonuç paragrafıyla çözmektedir.</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2F5597"/>
          </w:tcPr>
          <w:p>
            <w:r>
              <w:rPr>
                <w:rFonts w:ascii="Times New Roman" w:hAnsi="Times New Roman" w:eastAsia="Times New Roman"/>
                <w:b/>
                <w:color w:val="FFFFFF"/>
                <w:sz w:val="17"/>
              </w:rPr>
              <w:t>Paragraf</w:t>
            </w:r>
          </w:p>
        </w:tc>
        <w:tc>
          <w:tcPr>
            <w:tcW w:type="dxa" w:w="1568"/>
            <w:shd w:fill="2F5597"/>
          </w:tcPr>
          <w:p>
            <w:r>
              <w:rPr>
                <w:rFonts w:ascii="Times New Roman" w:hAnsi="Times New Roman" w:eastAsia="Times New Roman"/>
                <w:b/>
                <w:color w:val="FFFFFF"/>
                <w:sz w:val="17"/>
              </w:rPr>
              <w:t>Yer</w:t>
            </w:r>
          </w:p>
        </w:tc>
        <w:tc>
          <w:tcPr>
            <w:tcW w:type="dxa" w:w="1568"/>
            <w:shd w:fill="2F5597"/>
          </w:tcPr>
          <w:p>
            <w:r>
              <w:rPr>
                <w:rFonts w:ascii="Times New Roman" w:hAnsi="Times New Roman" w:eastAsia="Times New Roman"/>
                <w:b/>
                <w:color w:val="FFFFFF"/>
                <w:sz w:val="17"/>
              </w:rPr>
              <w:t>Sınıf</w:t>
            </w:r>
          </w:p>
        </w:tc>
        <w:tc>
          <w:tcPr>
            <w:tcW w:type="dxa" w:w="1568"/>
            <w:shd w:fill="2F5597"/>
          </w:tcPr>
          <w:p>
            <w:r>
              <w:rPr>
                <w:rFonts w:ascii="Times New Roman" w:hAnsi="Times New Roman" w:eastAsia="Times New Roman"/>
                <w:b/>
                <w:color w:val="FFFFFF"/>
                <w:sz w:val="17"/>
              </w:rPr>
              <w:t>Mevcut açılış</w:t>
            </w:r>
          </w:p>
        </w:tc>
        <w:tc>
          <w:tcPr>
            <w:tcW w:type="dxa" w:w="1568"/>
            <w:shd w:fill="2F5597"/>
          </w:tcPr>
          <w:p>
            <w:r>
              <w:rPr>
                <w:rFonts w:ascii="Times New Roman" w:hAnsi="Times New Roman" w:eastAsia="Times New Roman"/>
                <w:b/>
                <w:color w:val="FFFFFF"/>
                <w:sz w:val="17"/>
              </w:rPr>
              <w:t>Karar</w:t>
            </w:r>
          </w:p>
        </w:tc>
        <w:tc>
          <w:tcPr>
            <w:tcW w:type="dxa" w:w="1568"/>
            <w:shd w:fill="2F5597"/>
          </w:tcPr>
          <w:p>
            <w:r>
              <w:rPr>
                <w:rFonts w:ascii="Times New Roman" w:hAnsi="Times New Roman" w:eastAsia="Times New Roman"/>
                <w:b/>
                <w:color w:val="FFFFFF"/>
                <w:sz w:val="17"/>
              </w:rPr>
              <w:t>Öneri</w:t>
            </w:r>
          </w:p>
        </w:tc>
      </w:tr>
      <w:tr>
        <w:tc>
          <w:tcPr>
            <w:tcW w:type="dxa" w:w="1568"/>
            <w:tcMar>
              <w:top w:w="80" w:type="dxa"/>
              <w:start w:w="100" w:type="dxa"/>
              <w:bottom w:w="80" w:type="dxa"/>
              <w:end w:w="100" w:type="dxa"/>
            </w:tcMar>
          </w:tcPr>
          <w:p>
            <w:r>
              <w:rPr>
                <w:rFonts w:ascii="Times New Roman" w:hAnsi="Times New Roman" w:eastAsia="Times New Roman"/>
                <w:sz w:val="17"/>
              </w:rPr>
              <w:t>133</w:t>
            </w:r>
          </w:p>
        </w:tc>
        <w:tc>
          <w:tcPr>
            <w:tcW w:type="dxa" w:w="1568"/>
            <w:tcMar>
              <w:top w:w="80" w:type="dxa"/>
              <w:start w:w="100" w:type="dxa"/>
              <w:bottom w:w="80" w:type="dxa"/>
              <w:end w:w="100" w:type="dxa"/>
            </w:tcMar>
          </w:tcPr>
          <w:p>
            <w:r>
              <w:rPr>
                <w:rFonts w:ascii="Times New Roman" w:hAnsi="Times New Roman" w:eastAsia="Times New Roman"/>
                <w:sz w:val="17"/>
              </w:rPr>
              <w:t>1.6.2</w:t>
            </w:r>
          </w:p>
        </w:tc>
        <w:tc>
          <w:tcPr>
            <w:tcW w:type="dxa" w:w="1568"/>
            <w:tcMar>
              <w:top w:w="80" w:type="dxa"/>
              <w:start w:w="100" w:type="dxa"/>
              <w:bottom w:w="80" w:type="dxa"/>
              <w:end w:w="100" w:type="dxa"/>
            </w:tcMar>
          </w:tcPr>
          <w:p>
            <w:r>
              <w:rPr>
                <w:rFonts w:ascii="Times New Roman" w:hAnsi="Times New Roman" w:eastAsia="Times New Roman"/>
                <w:sz w:val="17"/>
              </w:rPr>
              <w:t>D: Yapay mini-sonuç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Geçişe dönüştür</w:t>
            </w:r>
          </w:p>
        </w:tc>
        <w:tc>
          <w:tcPr>
            <w:tcW w:type="dxa" w:w="1568"/>
            <w:tcMar>
              <w:top w:w="80" w:type="dxa"/>
              <w:start w:w="100" w:type="dxa"/>
              <w:bottom w:w="80" w:type="dxa"/>
              <w:end w:w="100" w:type="dxa"/>
            </w:tcMar>
          </w:tcPr>
          <w:p>
            <w:r>
              <w:rPr>
                <w:rFonts w:ascii="Times New Roman" w:hAnsi="Times New Roman" w:eastAsia="Times New Roman"/>
                <w:sz w:val="17"/>
              </w:rPr>
              <w:t>“Cürcânî ve Kastallânî’nin tanımları... sonraki tartışma için kavramsal zemin sağlar.”</w:t>
            </w:r>
          </w:p>
        </w:tc>
      </w:tr>
      <w:tr>
        <w:tc>
          <w:tcPr>
            <w:tcW w:type="dxa" w:w="1568"/>
            <w:tcMar>
              <w:top w:w="80" w:type="dxa"/>
              <w:start w:w="100" w:type="dxa"/>
              <w:bottom w:w="80" w:type="dxa"/>
              <w:end w:w="100" w:type="dxa"/>
            </w:tcMar>
          </w:tcPr>
          <w:p>
            <w:r>
              <w:rPr>
                <w:rFonts w:ascii="Times New Roman" w:hAnsi="Times New Roman" w:eastAsia="Times New Roman"/>
                <w:sz w:val="17"/>
              </w:rPr>
              <w:t>140</w:t>
            </w:r>
          </w:p>
        </w:tc>
        <w:tc>
          <w:tcPr>
            <w:tcW w:type="dxa" w:w="1568"/>
            <w:tcMar>
              <w:top w:w="80" w:type="dxa"/>
              <w:start w:w="100" w:type="dxa"/>
              <w:bottom w:w="80" w:type="dxa"/>
              <w:end w:w="100" w:type="dxa"/>
            </w:tcMar>
          </w:tcPr>
          <w:p>
            <w:r>
              <w:rPr>
                <w:rFonts w:ascii="Times New Roman" w:hAnsi="Times New Roman" w:eastAsia="Times New Roman"/>
                <w:sz w:val="17"/>
              </w:rPr>
              <w:t>1.7</w:t>
            </w:r>
          </w:p>
        </w:tc>
        <w:tc>
          <w:tcPr>
            <w:tcW w:type="dxa" w:w="1568"/>
            <w:tcMar>
              <w:top w:w="80" w:type="dxa"/>
              <w:start w:w="100" w:type="dxa"/>
              <w:bottom w:w="80" w:type="dxa"/>
              <w:end w:w="100" w:type="dxa"/>
            </w:tcMar>
          </w:tcPr>
          <w:p>
            <w:r>
              <w:rPr>
                <w:rFonts w:ascii="Times New Roman" w:hAnsi="Times New Roman" w:eastAsia="Times New Roman"/>
                <w:sz w:val="17"/>
              </w:rPr>
              <w:t>C/D: Tekrar + mini-sonuç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Bir önceki paragrafa yedir</w:t>
            </w:r>
          </w:p>
        </w:tc>
        <w:tc>
          <w:tcPr>
            <w:tcW w:type="dxa" w:w="1568"/>
            <w:tcMar>
              <w:top w:w="80" w:type="dxa"/>
              <w:start w:w="100" w:type="dxa"/>
              <w:bottom w:w="80" w:type="dxa"/>
              <w:end w:w="100" w:type="dxa"/>
            </w:tcMar>
          </w:tcPr>
          <w:p>
            <w:r>
              <w:rPr>
                <w:rFonts w:ascii="Times New Roman" w:hAnsi="Times New Roman" w:eastAsia="Times New Roman"/>
                <w:sz w:val="17"/>
              </w:rPr>
              <w:t>“Bu yönüyle es-Sicistânî...”</w:t>
            </w:r>
          </w:p>
        </w:tc>
      </w:tr>
      <w:tr>
        <w:tc>
          <w:tcPr>
            <w:tcW w:type="dxa" w:w="1568"/>
            <w:tcMar>
              <w:top w:w="80" w:type="dxa"/>
              <w:start w:w="100" w:type="dxa"/>
              <w:bottom w:w="80" w:type="dxa"/>
              <w:end w:w="100" w:type="dxa"/>
            </w:tcMar>
          </w:tcPr>
          <w:p>
            <w:r>
              <w:rPr>
                <w:rFonts w:ascii="Times New Roman" w:hAnsi="Times New Roman" w:eastAsia="Times New Roman"/>
                <w:sz w:val="17"/>
              </w:rPr>
              <w:t>145</w:t>
            </w:r>
          </w:p>
        </w:tc>
        <w:tc>
          <w:tcPr>
            <w:tcW w:type="dxa" w:w="1568"/>
            <w:tcMar>
              <w:top w:w="80" w:type="dxa"/>
              <w:start w:w="100" w:type="dxa"/>
              <w:bottom w:w="80" w:type="dxa"/>
              <w:end w:w="100" w:type="dxa"/>
            </w:tcMar>
          </w:tcPr>
          <w:p>
            <w:r>
              <w:rPr>
                <w:rFonts w:ascii="Times New Roman" w:hAnsi="Times New Roman" w:eastAsia="Times New Roman"/>
                <w:sz w:val="17"/>
              </w:rPr>
              <w:t>1.7</w:t>
            </w:r>
          </w:p>
        </w:tc>
        <w:tc>
          <w:tcPr>
            <w:tcW w:type="dxa" w:w="1568"/>
            <w:tcMar>
              <w:top w:w="80" w:type="dxa"/>
              <w:start w:w="100" w:type="dxa"/>
              <w:bottom w:w="80" w:type="dxa"/>
              <w:end w:w="100" w:type="dxa"/>
            </w:tcMar>
          </w:tcPr>
          <w:p>
            <w:r>
              <w:rPr>
                <w:rFonts w:ascii="Times New Roman" w:hAnsi="Times New Roman" w:eastAsia="Times New Roman"/>
                <w:sz w:val="17"/>
              </w:rPr>
              <w:t>D: Ara kapanış</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Çağdaş literatüre köprü yap</w:t>
            </w:r>
          </w:p>
        </w:tc>
        <w:tc>
          <w:tcPr>
            <w:tcW w:type="dxa" w:w="1568"/>
            <w:tcMar>
              <w:top w:w="80" w:type="dxa"/>
              <w:start w:w="100" w:type="dxa"/>
              <w:bottom w:w="80" w:type="dxa"/>
              <w:end w:w="100" w:type="dxa"/>
            </w:tcMar>
          </w:tcPr>
          <w:p>
            <w:r>
              <w:rPr>
                <w:rFonts w:ascii="Times New Roman" w:hAnsi="Times New Roman" w:eastAsia="Times New Roman"/>
                <w:sz w:val="17"/>
              </w:rPr>
              <w:t>“Bu erken değerlendirmelerin ardından çağdaş araştırmalarda...”</w:t>
            </w:r>
          </w:p>
        </w:tc>
      </w:tr>
      <w:tr>
        <w:tc>
          <w:tcPr>
            <w:tcW w:type="dxa" w:w="1568"/>
            <w:tcMar>
              <w:top w:w="80" w:type="dxa"/>
              <w:start w:w="100" w:type="dxa"/>
              <w:bottom w:w="80" w:type="dxa"/>
              <w:end w:w="100" w:type="dxa"/>
            </w:tcMar>
          </w:tcPr>
          <w:p>
            <w:r>
              <w:rPr>
                <w:rFonts w:ascii="Times New Roman" w:hAnsi="Times New Roman" w:eastAsia="Times New Roman"/>
                <w:sz w:val="17"/>
              </w:rPr>
              <w:t>151</w:t>
            </w:r>
          </w:p>
        </w:tc>
        <w:tc>
          <w:tcPr>
            <w:tcW w:type="dxa" w:w="1568"/>
            <w:tcMar>
              <w:top w:w="80" w:type="dxa"/>
              <w:start w:w="100" w:type="dxa"/>
              <w:bottom w:w="80" w:type="dxa"/>
              <w:end w:w="100" w:type="dxa"/>
            </w:tcMar>
          </w:tcPr>
          <w:p>
            <w:r>
              <w:rPr>
                <w:rFonts w:ascii="Times New Roman" w:hAnsi="Times New Roman" w:eastAsia="Times New Roman"/>
                <w:sz w:val="17"/>
              </w:rPr>
              <w:t>1.7</w:t>
            </w:r>
          </w:p>
        </w:tc>
        <w:tc>
          <w:tcPr>
            <w:tcW w:type="dxa" w:w="1568"/>
            <w:tcMar>
              <w:top w:w="80" w:type="dxa"/>
              <w:start w:w="100" w:type="dxa"/>
              <w:bottom w:w="80" w:type="dxa"/>
              <w:end w:w="100" w:type="dxa"/>
            </w:tcMar>
          </w:tcPr>
          <w:p>
            <w:r>
              <w:rPr>
                <w:rFonts w:ascii="Times New Roman" w:hAnsi="Times New Roman" w:eastAsia="Times New Roman"/>
                <w:sz w:val="17"/>
              </w:rPr>
              <w:t>D: İkinci/üçüncü kapanış</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Kısalt</w:t>
            </w:r>
          </w:p>
        </w:tc>
        <w:tc>
          <w:tcPr>
            <w:tcW w:type="dxa" w:w="1568"/>
            <w:tcMar>
              <w:top w:w="80" w:type="dxa"/>
              <w:start w:w="100" w:type="dxa"/>
              <w:bottom w:w="80" w:type="dxa"/>
              <w:end w:w="100" w:type="dxa"/>
            </w:tcMar>
          </w:tcPr>
          <w:p>
            <w:r>
              <w:rPr>
                <w:rFonts w:ascii="Times New Roman" w:hAnsi="Times New Roman" w:eastAsia="Times New Roman"/>
                <w:sz w:val="17"/>
              </w:rPr>
              <w:t>Tek kısa sentez bırak.</w:t>
            </w:r>
          </w:p>
        </w:tc>
      </w:tr>
      <w:tr>
        <w:tc>
          <w:tcPr>
            <w:tcW w:type="dxa" w:w="1568"/>
            <w:tcMar>
              <w:top w:w="80" w:type="dxa"/>
              <w:start w:w="100" w:type="dxa"/>
              <w:bottom w:w="80" w:type="dxa"/>
              <w:end w:w="100" w:type="dxa"/>
            </w:tcMar>
          </w:tcPr>
          <w:p>
            <w:r>
              <w:rPr>
                <w:rFonts w:ascii="Times New Roman" w:hAnsi="Times New Roman" w:eastAsia="Times New Roman"/>
                <w:sz w:val="17"/>
              </w:rPr>
              <w:t>171</w:t>
            </w:r>
          </w:p>
        </w:tc>
        <w:tc>
          <w:tcPr>
            <w:tcW w:type="dxa" w:w="1568"/>
            <w:tcMar>
              <w:top w:w="80" w:type="dxa"/>
              <w:start w:w="100" w:type="dxa"/>
              <w:bottom w:w="80" w:type="dxa"/>
              <w:end w:w="100" w:type="dxa"/>
            </w:tcMar>
          </w:tcPr>
          <w:p>
            <w:r>
              <w:rPr>
                <w:rFonts w:ascii="Times New Roman" w:hAnsi="Times New Roman" w:eastAsia="Times New Roman"/>
                <w:sz w:val="17"/>
              </w:rPr>
              <w:t>1.8</w:t>
            </w:r>
          </w:p>
        </w:tc>
        <w:tc>
          <w:tcPr>
            <w:tcW w:type="dxa" w:w="1568"/>
            <w:tcMar>
              <w:top w:w="80" w:type="dxa"/>
              <w:start w:w="100" w:type="dxa"/>
              <w:bottom w:w="80" w:type="dxa"/>
              <w:end w:w="100" w:type="dxa"/>
            </w:tcMar>
          </w:tcPr>
          <w:p>
            <w:r>
              <w:rPr>
                <w:rFonts w:ascii="Times New Roman" w:hAnsi="Times New Roman" w:eastAsia="Times New Roman"/>
                <w:sz w:val="17"/>
              </w:rPr>
              <w:t>A: Gerekli analitik 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Korunabilir; açılış kalıbı çeşitlendirilebilir</w:t>
            </w:r>
          </w:p>
        </w:tc>
        <w:tc>
          <w:tcPr>
            <w:tcW w:type="dxa" w:w="1568"/>
            <w:tcMar>
              <w:top w:w="80" w:type="dxa"/>
              <w:start w:w="100" w:type="dxa"/>
              <w:bottom w:w="80" w:type="dxa"/>
              <w:end w:w="100" w:type="dxa"/>
            </w:tcMar>
          </w:tcPr>
          <w:p>
            <w:r>
              <w:rPr>
                <w:rFonts w:ascii="Times New Roman" w:hAnsi="Times New Roman" w:eastAsia="Times New Roman"/>
                <w:sz w:val="17"/>
              </w:rPr>
              <w:t>“Bu rivâyetler birlikte okunduğunda...”</w:t>
            </w:r>
          </w:p>
        </w:tc>
      </w:tr>
      <w:tr>
        <w:tc>
          <w:tcPr>
            <w:tcW w:type="dxa" w:w="1568"/>
            <w:tcMar>
              <w:top w:w="80" w:type="dxa"/>
              <w:start w:w="100" w:type="dxa"/>
              <w:bottom w:w="80" w:type="dxa"/>
              <w:end w:w="100" w:type="dxa"/>
            </w:tcMar>
          </w:tcPr>
          <w:p>
            <w:r>
              <w:rPr>
                <w:rFonts w:ascii="Times New Roman" w:hAnsi="Times New Roman" w:eastAsia="Times New Roman"/>
                <w:sz w:val="17"/>
              </w:rPr>
              <w:t>176</w:t>
            </w:r>
          </w:p>
        </w:tc>
        <w:tc>
          <w:tcPr>
            <w:tcW w:type="dxa" w:w="1568"/>
            <w:tcMar>
              <w:top w:w="80" w:type="dxa"/>
              <w:start w:w="100" w:type="dxa"/>
              <w:bottom w:w="80" w:type="dxa"/>
              <w:end w:w="100" w:type="dxa"/>
            </w:tcMar>
          </w:tcPr>
          <w:p>
            <w:r>
              <w:rPr>
                <w:rFonts w:ascii="Times New Roman" w:hAnsi="Times New Roman" w:eastAsia="Times New Roman"/>
                <w:sz w:val="17"/>
              </w:rPr>
              <w:t>1.9</w:t>
            </w:r>
          </w:p>
        </w:tc>
        <w:tc>
          <w:tcPr>
            <w:tcW w:type="dxa" w:w="1568"/>
            <w:tcMar>
              <w:top w:w="80" w:type="dxa"/>
              <w:start w:w="100" w:type="dxa"/>
              <w:bottom w:w="80" w:type="dxa"/>
              <w:end w:w="100" w:type="dxa"/>
            </w:tcMar>
          </w:tcPr>
          <w:p>
            <w:r>
              <w:rPr>
                <w:rFonts w:ascii="Times New Roman" w:hAnsi="Times New Roman" w:eastAsia="Times New Roman"/>
                <w:sz w:val="17"/>
              </w:rPr>
              <w:t>D: Ayrıntı öncesi erken 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İncelemeye geçiş yap</w:t>
            </w:r>
          </w:p>
        </w:tc>
        <w:tc>
          <w:tcPr>
            <w:tcW w:type="dxa" w:w="1568"/>
            <w:tcMar>
              <w:top w:w="80" w:type="dxa"/>
              <w:start w:w="100" w:type="dxa"/>
              <w:bottom w:w="80" w:type="dxa"/>
              <w:end w:w="100" w:type="dxa"/>
            </w:tcMar>
          </w:tcPr>
          <w:p>
            <w:r>
              <w:rPr>
                <w:rFonts w:ascii="Times New Roman" w:hAnsi="Times New Roman" w:eastAsia="Times New Roman"/>
                <w:sz w:val="17"/>
              </w:rPr>
              <w:t>“Bu genel çerçevenin hangi yazım özellikleri üzerinden...”</w:t>
            </w:r>
          </w:p>
        </w:tc>
      </w:tr>
      <w:tr>
        <w:tc>
          <w:tcPr>
            <w:tcW w:type="dxa" w:w="1568"/>
            <w:tcMar>
              <w:top w:w="80" w:type="dxa"/>
              <w:start w:w="100" w:type="dxa"/>
              <w:bottom w:w="80" w:type="dxa"/>
              <w:end w:w="100" w:type="dxa"/>
            </w:tcMar>
          </w:tcPr>
          <w:p>
            <w:r>
              <w:rPr>
                <w:rFonts w:ascii="Times New Roman" w:hAnsi="Times New Roman" w:eastAsia="Times New Roman"/>
                <w:sz w:val="17"/>
              </w:rPr>
              <w:t>185</w:t>
            </w:r>
          </w:p>
        </w:tc>
        <w:tc>
          <w:tcPr>
            <w:tcW w:type="dxa" w:w="1568"/>
            <w:tcMar>
              <w:top w:w="80" w:type="dxa"/>
              <w:start w:w="100" w:type="dxa"/>
              <w:bottom w:w="80" w:type="dxa"/>
              <w:end w:w="100" w:type="dxa"/>
            </w:tcMar>
          </w:tcPr>
          <w:p>
            <w:r>
              <w:rPr>
                <w:rFonts w:ascii="Times New Roman" w:hAnsi="Times New Roman" w:eastAsia="Times New Roman"/>
                <w:sz w:val="17"/>
              </w:rPr>
              <w:t>1.9.1 Hazf</w:t>
            </w:r>
          </w:p>
        </w:tc>
        <w:tc>
          <w:tcPr>
            <w:tcW w:type="dxa" w:w="1568"/>
            <w:tcMar>
              <w:top w:w="80" w:type="dxa"/>
              <w:start w:w="100" w:type="dxa"/>
              <w:bottom w:w="80" w:type="dxa"/>
              <w:end w:w="100" w:type="dxa"/>
            </w:tcMar>
          </w:tcPr>
          <w:p>
            <w:r>
              <w:rPr>
                <w:rFonts w:ascii="Times New Roman" w:hAnsi="Times New Roman" w:eastAsia="Times New Roman"/>
                <w:sz w:val="17"/>
              </w:rPr>
              <w:t>C/D: Örneklerin yeniden özeti</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İki cümleye indir</w:t>
            </w:r>
          </w:p>
        </w:tc>
        <w:tc>
          <w:tcPr>
            <w:tcW w:type="dxa" w:w="1568"/>
            <w:tcMar>
              <w:top w:w="80" w:type="dxa"/>
              <w:start w:w="100" w:type="dxa"/>
              <w:bottom w:w="80" w:type="dxa"/>
              <w:end w:w="100" w:type="dxa"/>
            </w:tcMar>
          </w:tcPr>
          <w:p>
            <w:r>
              <w:rPr>
                <w:rFonts w:ascii="Times New Roman" w:hAnsi="Times New Roman" w:eastAsia="Times New Roman"/>
                <w:sz w:val="17"/>
              </w:rPr>
              <w:t>“Hazf ... yaygın bir özelliktir; kırâatle ilişkisi örneğe göre değişir.”</w:t>
            </w:r>
          </w:p>
        </w:tc>
      </w:tr>
      <w:tr>
        <w:tc>
          <w:tcPr>
            <w:tcW w:type="dxa" w:w="1568"/>
            <w:tcMar>
              <w:top w:w="80" w:type="dxa"/>
              <w:start w:w="100" w:type="dxa"/>
              <w:bottom w:w="80" w:type="dxa"/>
              <w:end w:w="100" w:type="dxa"/>
            </w:tcMar>
          </w:tcPr>
          <w:p>
            <w:r>
              <w:rPr>
                <w:rFonts w:ascii="Times New Roman" w:hAnsi="Times New Roman" w:eastAsia="Times New Roman"/>
                <w:sz w:val="17"/>
              </w:rPr>
              <w:t>218</w:t>
            </w:r>
          </w:p>
        </w:tc>
        <w:tc>
          <w:tcPr>
            <w:tcW w:type="dxa" w:w="1568"/>
            <w:tcMar>
              <w:top w:w="80" w:type="dxa"/>
              <w:start w:w="100" w:type="dxa"/>
              <w:bottom w:w="80" w:type="dxa"/>
              <w:end w:w="100" w:type="dxa"/>
            </w:tcMar>
          </w:tcPr>
          <w:p>
            <w:r>
              <w:rPr>
                <w:rFonts w:ascii="Times New Roman" w:hAnsi="Times New Roman" w:eastAsia="Times New Roman"/>
                <w:sz w:val="17"/>
              </w:rPr>
              <w:t>1.10</w:t>
            </w:r>
          </w:p>
        </w:tc>
        <w:tc>
          <w:tcPr>
            <w:tcW w:type="dxa" w:w="1568"/>
            <w:tcMar>
              <w:top w:w="80" w:type="dxa"/>
              <w:start w:w="100" w:type="dxa"/>
              <w:bottom w:w="80" w:type="dxa"/>
              <w:end w:w="100" w:type="dxa"/>
            </w:tcMar>
          </w:tcPr>
          <w:p>
            <w:r>
              <w:rPr>
                <w:rFonts w:ascii="Times New Roman" w:hAnsi="Times New Roman" w:eastAsia="Times New Roman"/>
                <w:sz w:val="17"/>
              </w:rPr>
              <w:t>A/B: Gerekli bölüm sonucu ve geçiş</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Kısalt; 2. bölüme bağla</w:t>
            </w:r>
          </w:p>
        </w:tc>
        <w:tc>
          <w:tcPr>
            <w:tcW w:type="dxa" w:w="1568"/>
            <w:tcMar>
              <w:top w:w="80" w:type="dxa"/>
              <w:start w:w="100" w:type="dxa"/>
              <w:bottom w:w="80" w:type="dxa"/>
              <w:end w:w="100" w:type="dxa"/>
            </w:tcMar>
          </w:tcPr>
          <w:p>
            <w:r>
              <w:rPr>
                <w:rFonts w:ascii="Times New Roman" w:hAnsi="Times New Roman" w:eastAsia="Times New Roman"/>
                <w:sz w:val="17"/>
              </w:rPr>
              <w:t>“Bu yazılı ölçünün sözlü aktarım içindeki yerini...”</w:t>
            </w:r>
          </w:p>
        </w:tc>
      </w:tr>
      <w:tr>
        <w:tc>
          <w:tcPr>
            <w:tcW w:type="dxa" w:w="1568"/>
            <w:tcMar>
              <w:top w:w="80" w:type="dxa"/>
              <w:start w:w="100" w:type="dxa"/>
              <w:bottom w:w="80" w:type="dxa"/>
              <w:end w:w="100" w:type="dxa"/>
            </w:tcMar>
          </w:tcPr>
          <w:p>
            <w:r>
              <w:rPr>
                <w:rFonts w:ascii="Times New Roman" w:hAnsi="Times New Roman" w:eastAsia="Times New Roman"/>
                <w:sz w:val="17"/>
              </w:rPr>
              <w:t>250</w:t>
            </w:r>
          </w:p>
        </w:tc>
        <w:tc>
          <w:tcPr>
            <w:tcW w:type="dxa" w:w="1568"/>
            <w:tcMar>
              <w:top w:w="80" w:type="dxa"/>
              <w:start w:w="100" w:type="dxa"/>
              <w:bottom w:w="80" w:type="dxa"/>
              <w:end w:w="100" w:type="dxa"/>
            </w:tcMar>
          </w:tcPr>
          <w:p>
            <w:r>
              <w:rPr>
                <w:rFonts w:ascii="Times New Roman" w:hAnsi="Times New Roman" w:eastAsia="Times New Roman"/>
                <w:sz w:val="17"/>
              </w:rPr>
              <w:t>2.2.3</w:t>
            </w:r>
          </w:p>
        </w:tc>
        <w:tc>
          <w:tcPr>
            <w:tcW w:type="dxa" w:w="1568"/>
            <w:tcMar>
              <w:top w:w="80" w:type="dxa"/>
              <w:start w:w="100" w:type="dxa"/>
              <w:bottom w:w="80" w:type="dxa"/>
              <w:end w:w="100" w:type="dxa"/>
            </w:tcMar>
          </w:tcPr>
          <w:p>
            <w:r>
              <w:rPr>
                <w:rFonts w:ascii="Times New Roman" w:hAnsi="Times New Roman" w:eastAsia="Times New Roman"/>
                <w:sz w:val="17"/>
              </w:rPr>
              <w:t>D/B: Uzun mini-sonuç; geçiş ihtiyacı var</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Yedi harf başlığına köprü yap</w:t>
            </w:r>
          </w:p>
        </w:tc>
        <w:tc>
          <w:tcPr>
            <w:tcW w:type="dxa" w:w="1568"/>
            <w:tcMar>
              <w:top w:w="80" w:type="dxa"/>
              <w:start w:w="100" w:type="dxa"/>
              <w:bottom w:w="80" w:type="dxa"/>
              <w:end w:w="100" w:type="dxa"/>
            </w:tcMar>
          </w:tcPr>
          <w:p>
            <w:r>
              <w:rPr>
                <w:rFonts w:ascii="Times New Roman" w:hAnsi="Times New Roman" w:eastAsia="Times New Roman"/>
                <w:sz w:val="17"/>
              </w:rPr>
              <w:t>“Bu aktarım düzeninin yazılı mushafla ilişkisi...”</w:t>
            </w:r>
          </w:p>
        </w:tc>
      </w:tr>
      <w:tr>
        <w:tc>
          <w:tcPr>
            <w:tcW w:type="dxa" w:w="1568"/>
            <w:tcMar>
              <w:top w:w="80" w:type="dxa"/>
              <w:start w:w="100" w:type="dxa"/>
              <w:bottom w:w="80" w:type="dxa"/>
              <w:end w:w="100" w:type="dxa"/>
            </w:tcMar>
          </w:tcPr>
          <w:p>
            <w:r>
              <w:rPr>
                <w:rFonts w:ascii="Times New Roman" w:hAnsi="Times New Roman" w:eastAsia="Times New Roman"/>
                <w:sz w:val="17"/>
              </w:rPr>
              <w:t>260</w:t>
            </w:r>
          </w:p>
        </w:tc>
        <w:tc>
          <w:tcPr>
            <w:tcW w:type="dxa" w:w="1568"/>
            <w:tcMar>
              <w:top w:w="80" w:type="dxa"/>
              <w:start w:w="100" w:type="dxa"/>
              <w:bottom w:w="80" w:type="dxa"/>
              <w:end w:w="100" w:type="dxa"/>
            </w:tcMar>
          </w:tcPr>
          <w:p>
            <w:r>
              <w:rPr>
                <w:rFonts w:ascii="Times New Roman" w:hAnsi="Times New Roman" w:eastAsia="Times New Roman"/>
                <w:sz w:val="17"/>
              </w:rPr>
              <w:t>2.3</w:t>
            </w:r>
          </w:p>
        </w:tc>
        <w:tc>
          <w:tcPr>
            <w:tcW w:type="dxa" w:w="1568"/>
            <w:tcMar>
              <w:top w:w="80" w:type="dxa"/>
              <w:start w:w="100" w:type="dxa"/>
              <w:bottom w:w="80" w:type="dxa"/>
              <w:end w:w="100" w:type="dxa"/>
            </w:tcMar>
          </w:tcPr>
          <w:p>
            <w:r>
              <w:rPr>
                <w:rFonts w:ascii="Times New Roman" w:hAnsi="Times New Roman" w:eastAsia="Times New Roman"/>
                <w:sz w:val="17"/>
              </w:rPr>
              <w:t>A/B: İşlevsel sentez fakat uzun</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Kısalt ve 2.4’e bağla</w:t>
            </w:r>
          </w:p>
        </w:tc>
        <w:tc>
          <w:tcPr>
            <w:tcW w:type="dxa" w:w="1568"/>
            <w:tcMar>
              <w:top w:w="80" w:type="dxa"/>
              <w:start w:w="100" w:type="dxa"/>
              <w:bottom w:w="80" w:type="dxa"/>
              <w:end w:w="100" w:type="dxa"/>
            </w:tcMar>
          </w:tcPr>
          <w:p>
            <w:r>
              <w:rPr>
                <w:rFonts w:ascii="Times New Roman" w:hAnsi="Times New Roman" w:eastAsia="Times New Roman"/>
                <w:sz w:val="17"/>
              </w:rPr>
              <w:t>“Bu farklı görüşler ... ortak başvuru metni...”</w:t>
            </w:r>
          </w:p>
        </w:tc>
      </w:tr>
      <w:tr>
        <w:tc>
          <w:tcPr>
            <w:tcW w:type="dxa" w:w="1568"/>
            <w:tcMar>
              <w:top w:w="80" w:type="dxa"/>
              <w:start w:w="100" w:type="dxa"/>
              <w:bottom w:w="80" w:type="dxa"/>
              <w:end w:w="100" w:type="dxa"/>
            </w:tcMar>
          </w:tcPr>
          <w:p>
            <w:r>
              <w:rPr>
                <w:rFonts w:ascii="Times New Roman" w:hAnsi="Times New Roman" w:eastAsia="Times New Roman"/>
                <w:sz w:val="17"/>
              </w:rPr>
              <w:t>273</w:t>
            </w:r>
          </w:p>
        </w:tc>
        <w:tc>
          <w:tcPr>
            <w:tcW w:type="dxa" w:w="1568"/>
            <w:tcMar>
              <w:top w:w="80" w:type="dxa"/>
              <w:start w:w="100" w:type="dxa"/>
              <w:bottom w:w="80" w:type="dxa"/>
              <w:end w:w="100" w:type="dxa"/>
            </w:tcMar>
          </w:tcPr>
          <w:p>
            <w:r>
              <w:rPr>
                <w:rFonts w:ascii="Times New Roman" w:hAnsi="Times New Roman" w:eastAsia="Times New Roman"/>
                <w:sz w:val="17"/>
              </w:rPr>
              <w:t>2.4</w:t>
            </w:r>
          </w:p>
        </w:tc>
        <w:tc>
          <w:tcPr>
            <w:tcW w:type="dxa" w:w="1568"/>
            <w:tcMar>
              <w:top w:w="80" w:type="dxa"/>
              <w:start w:w="100" w:type="dxa"/>
              <w:bottom w:w="80" w:type="dxa"/>
              <w:end w:w="100" w:type="dxa"/>
            </w:tcMar>
          </w:tcPr>
          <w:p>
            <w:r>
              <w:rPr>
                <w:rFonts w:ascii="Times New Roman" w:hAnsi="Times New Roman" w:eastAsia="Times New Roman"/>
                <w:sz w:val="17"/>
              </w:rPr>
              <w:t>D/E: Tekrar + aşırı güçlü 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Kısalt; 3. bölüme bağla</w:t>
            </w:r>
          </w:p>
        </w:tc>
        <w:tc>
          <w:tcPr>
            <w:tcW w:type="dxa" w:w="1568"/>
            <w:tcMar>
              <w:top w:w="80" w:type="dxa"/>
              <w:start w:w="100" w:type="dxa"/>
              <w:bottom w:w="80" w:type="dxa"/>
              <w:end w:w="100" w:type="dxa"/>
            </w:tcMar>
          </w:tcPr>
          <w:p>
            <w:r>
              <w:rPr>
                <w:rFonts w:ascii="Times New Roman" w:hAnsi="Times New Roman" w:eastAsia="Times New Roman"/>
                <w:sz w:val="17"/>
              </w:rPr>
              <w:t>“Bu genel çerçevenin somut görünümleri...”</w:t>
            </w:r>
          </w:p>
        </w:tc>
      </w:tr>
      <w:tr>
        <w:tc>
          <w:tcPr>
            <w:tcW w:type="dxa" w:w="1568"/>
            <w:tcMar>
              <w:top w:w="80" w:type="dxa"/>
              <w:start w:w="100" w:type="dxa"/>
              <w:bottom w:w="80" w:type="dxa"/>
              <w:end w:w="100" w:type="dxa"/>
            </w:tcMar>
          </w:tcPr>
          <w:p>
            <w:r>
              <w:rPr>
                <w:rFonts w:ascii="Times New Roman" w:hAnsi="Times New Roman" w:eastAsia="Times New Roman"/>
                <w:sz w:val="17"/>
              </w:rPr>
              <w:t>321</w:t>
            </w:r>
          </w:p>
        </w:tc>
        <w:tc>
          <w:tcPr>
            <w:tcW w:type="dxa" w:w="1568"/>
            <w:tcMar>
              <w:top w:w="80" w:type="dxa"/>
              <w:start w:w="100" w:type="dxa"/>
              <w:bottom w:w="80" w:type="dxa"/>
              <w:end w:w="100" w:type="dxa"/>
            </w:tcMar>
          </w:tcPr>
          <w:p>
            <w:r>
              <w:rPr>
                <w:rFonts w:ascii="Times New Roman" w:hAnsi="Times New Roman" w:eastAsia="Times New Roman"/>
                <w:sz w:val="17"/>
              </w:rPr>
              <w:t>3.6</w:t>
            </w:r>
          </w:p>
        </w:tc>
        <w:tc>
          <w:tcPr>
            <w:tcW w:type="dxa" w:w="1568"/>
            <w:tcMar>
              <w:top w:w="80" w:type="dxa"/>
              <w:start w:w="100" w:type="dxa"/>
              <w:bottom w:w="80" w:type="dxa"/>
              <w:end w:w="100" w:type="dxa"/>
            </w:tcMar>
          </w:tcPr>
          <w:p>
            <w:r>
              <w:rPr>
                <w:rFonts w:ascii="Times New Roman" w:hAnsi="Times New Roman" w:eastAsia="Times New Roman"/>
                <w:sz w:val="17"/>
              </w:rPr>
              <w:t>E: Mantıksal hata + 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Üç yaklaşımı doğru say</w:t>
            </w:r>
          </w:p>
        </w:tc>
        <w:tc>
          <w:tcPr>
            <w:tcW w:type="dxa" w:w="1568"/>
            <w:tcMar>
              <w:top w:w="80" w:type="dxa"/>
              <w:start w:w="100" w:type="dxa"/>
              <w:bottom w:w="80" w:type="dxa"/>
              <w:end w:w="100" w:type="dxa"/>
            </w:tcMar>
          </w:tcPr>
          <w:p>
            <w:r>
              <w:rPr>
                <w:rFonts w:ascii="Times New Roman" w:hAnsi="Times New Roman" w:eastAsia="Times New Roman"/>
                <w:sz w:val="17"/>
              </w:rPr>
              <w:t>Önceki rapordaki üçlü formülasyon kullanılmalı.</w:t>
            </w:r>
          </w:p>
        </w:tc>
      </w:tr>
      <w:tr>
        <w:tc>
          <w:tcPr>
            <w:tcW w:type="dxa" w:w="1568"/>
            <w:tcMar>
              <w:top w:w="80" w:type="dxa"/>
              <w:start w:w="100" w:type="dxa"/>
              <w:bottom w:w="80" w:type="dxa"/>
              <w:end w:w="100" w:type="dxa"/>
            </w:tcMar>
          </w:tcPr>
          <w:p>
            <w:r>
              <w:rPr>
                <w:rFonts w:ascii="Times New Roman" w:hAnsi="Times New Roman" w:eastAsia="Times New Roman"/>
                <w:sz w:val="17"/>
              </w:rPr>
              <w:t>337</w:t>
            </w:r>
          </w:p>
        </w:tc>
        <w:tc>
          <w:tcPr>
            <w:tcW w:type="dxa" w:w="1568"/>
            <w:tcMar>
              <w:top w:w="80" w:type="dxa"/>
              <w:start w:w="100" w:type="dxa"/>
              <w:bottom w:w="80" w:type="dxa"/>
              <w:end w:w="100" w:type="dxa"/>
            </w:tcMar>
          </w:tcPr>
          <w:p>
            <w:r>
              <w:rPr>
                <w:rFonts w:ascii="Times New Roman" w:hAnsi="Times New Roman" w:eastAsia="Times New Roman"/>
                <w:sz w:val="17"/>
              </w:rPr>
              <w:t>3.8</w:t>
            </w:r>
          </w:p>
        </w:tc>
        <w:tc>
          <w:tcPr>
            <w:tcW w:type="dxa" w:w="1568"/>
            <w:tcMar>
              <w:top w:w="80" w:type="dxa"/>
              <w:start w:w="100" w:type="dxa"/>
              <w:bottom w:w="80" w:type="dxa"/>
              <w:end w:w="100" w:type="dxa"/>
            </w:tcMar>
          </w:tcPr>
          <w:p>
            <w:r>
              <w:rPr>
                <w:rFonts w:ascii="Times New Roman" w:hAnsi="Times New Roman" w:eastAsia="Times New Roman"/>
                <w:sz w:val="17"/>
              </w:rPr>
              <w:t>D: Normatif mini-sonuç</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Kısalt ve görüş sahibini belirginleştir</w:t>
            </w:r>
          </w:p>
        </w:tc>
        <w:tc>
          <w:tcPr>
            <w:tcW w:type="dxa" w:w="1568"/>
            <w:tcMar>
              <w:top w:w="80" w:type="dxa"/>
              <w:start w:w="100" w:type="dxa"/>
              <w:bottom w:w="80" w:type="dxa"/>
              <w:end w:w="100" w:type="dxa"/>
            </w:tcMar>
          </w:tcPr>
          <w:p>
            <w:r>
              <w:rPr>
                <w:rFonts w:ascii="Times New Roman" w:hAnsi="Times New Roman" w:eastAsia="Times New Roman"/>
                <w:sz w:val="17"/>
              </w:rPr>
              <w:t>“Bu değerlendirmeler, bazı müelliflerin...”</w:t>
            </w:r>
          </w:p>
        </w:tc>
      </w:tr>
      <w:tr>
        <w:tc>
          <w:tcPr>
            <w:tcW w:type="dxa" w:w="1568"/>
            <w:tcMar>
              <w:top w:w="80" w:type="dxa"/>
              <w:start w:w="100" w:type="dxa"/>
              <w:bottom w:w="80" w:type="dxa"/>
              <w:end w:w="100" w:type="dxa"/>
            </w:tcMar>
          </w:tcPr>
          <w:p>
            <w:r>
              <w:rPr>
                <w:rFonts w:ascii="Times New Roman" w:hAnsi="Times New Roman" w:eastAsia="Times New Roman"/>
                <w:sz w:val="17"/>
              </w:rPr>
              <w:t>406</w:t>
            </w:r>
          </w:p>
        </w:tc>
        <w:tc>
          <w:tcPr>
            <w:tcW w:type="dxa" w:w="1568"/>
            <w:tcMar>
              <w:top w:w="80" w:type="dxa"/>
              <w:start w:w="100" w:type="dxa"/>
              <w:bottom w:w="80" w:type="dxa"/>
              <w:end w:w="100" w:type="dxa"/>
            </w:tcMar>
          </w:tcPr>
          <w:p>
            <w:r>
              <w:rPr>
                <w:rFonts w:ascii="Times New Roman" w:hAnsi="Times New Roman" w:eastAsia="Times New Roman"/>
                <w:sz w:val="17"/>
              </w:rPr>
              <w:t>4.2</w:t>
            </w:r>
          </w:p>
        </w:tc>
        <w:tc>
          <w:tcPr>
            <w:tcW w:type="dxa" w:w="1568"/>
            <w:tcMar>
              <w:top w:w="80" w:type="dxa"/>
              <w:start w:w="100" w:type="dxa"/>
              <w:bottom w:w="80" w:type="dxa"/>
              <w:end w:w="100" w:type="dxa"/>
            </w:tcMar>
          </w:tcPr>
          <w:p>
            <w:r>
              <w:rPr>
                <w:rFonts w:ascii="Times New Roman" w:hAnsi="Times New Roman" w:eastAsia="Times New Roman"/>
                <w:sz w:val="17"/>
              </w:rPr>
              <w:t>D/E: İkinci sonuç + retorik genelleme</w:t>
            </w:r>
          </w:p>
        </w:tc>
        <w:tc>
          <w:tcPr>
            <w:tcW w:type="dxa" w:w="1568"/>
            <w:tcMar>
              <w:top w:w="80" w:type="dxa"/>
              <w:start w:w="100" w:type="dxa"/>
              <w:bottom w:w="80" w:type="dxa"/>
              <w:end w:w="100" w:type="dxa"/>
            </w:tcMar>
          </w:tcPr>
          <w:p>
            <w:r>
              <w:rPr>
                <w:rFonts w:ascii="Times New Roman" w:hAnsi="Times New Roman" w:eastAsia="Times New Roman"/>
                <w:sz w:val="17"/>
              </w:rPr>
              <w:t>Sonuç olarak</w:t>
            </w:r>
          </w:p>
        </w:tc>
        <w:tc>
          <w:tcPr>
            <w:tcW w:type="dxa" w:w="1568"/>
            <w:tcMar>
              <w:top w:w="80" w:type="dxa"/>
              <w:start w:w="100" w:type="dxa"/>
              <w:bottom w:w="80" w:type="dxa"/>
              <w:end w:w="100" w:type="dxa"/>
            </w:tcMar>
          </w:tcPr>
          <w:p>
            <w:r>
              <w:rPr>
                <w:rFonts w:ascii="Times New Roman" w:hAnsi="Times New Roman" w:eastAsia="Times New Roman"/>
                <w:sz w:val="17"/>
              </w:rPr>
              <w:t>Tarihsel tanıklık/normatif otorite ayrımına dönüştür</w:t>
            </w:r>
          </w:p>
        </w:tc>
        <w:tc>
          <w:tcPr>
            <w:tcW w:type="dxa" w:w="1568"/>
            <w:tcMar>
              <w:top w:w="80" w:type="dxa"/>
              <w:start w:w="100" w:type="dxa"/>
              <w:bottom w:w="80" w:type="dxa"/>
              <w:end w:w="100" w:type="dxa"/>
            </w:tcMar>
          </w:tcPr>
          <w:p>
            <w:r>
              <w:rPr>
                <w:rFonts w:ascii="Times New Roman" w:hAnsi="Times New Roman" w:eastAsia="Times New Roman"/>
                <w:sz w:val="17"/>
              </w:rPr>
              <w:t>“Sahâbe mushaflarının dolaşımdan çıkarılmasına ilişkin rivâyetler...”</w:t>
            </w:r>
          </w:p>
        </w:tc>
      </w:tr>
    </w:tbl>
    <w:p>
      <w:r>
        <w:t>“Bütün bu veriler...” ile başlayan/donan dört kullanım da ayrıca önemlidir: 1.1’deki paragraf (56) daha önce verilmiş sentezi tekrar eder; 4.3’teki (415) işlevsel bir sentez olmakla birlikte üçlü sonuç yapısı kısaltılabilir; 4.6’daki (454) hemen ardından gelen 455 ile çift kapanış oluşturur; 4.7’deki (471) Türkiye örneğinden önce erken sonuç işlevi görür. Bu dört kullanımdan 56, 454 ve 471 doğrudan müdahale gerektirir; 415 korunabilir fakat kısaltılmalıdır.</w:t>
      </w:r>
    </w:p>
    <w:p>
      <w:pPr>
        <w:pStyle w:val="Heading2"/>
        <w:keepNext/>
      </w:pPr>
      <w:r>
        <w:t>12. Formülaik ve Yapay Zekâ Üretimi İzlenimi Verebilecek Anlatım Örüntüleri</w:t>
      </w:r>
    </w:p>
    <w:p>
      <w:r>
        <w:t>Buradaki sınıflandırma metnin kökeni hakkında hüküm değildir. Sorun, belirli kelimelerin varlığından çok aynı paragraf işlevlerinin ve sözdizimlerinin kitap boyunca öngörülebilir biçimde tekrarlanmasıdır.</w:t>
      </w:r>
    </w:p>
    <w:p>
      <w:pPr>
        <w:pStyle w:val="Heading3"/>
        <w:keepNext/>
      </w:pPr>
      <w:r>
        <w:t>A. Yüksek öncelikli örüntüler</w:t>
      </w:r>
    </w:p>
    <w:p>
      <w:r>
        <w:t>Alt başlıkların örneklerden sonra mutlaka bir “genel sonuç” paragrafıyla kapanması; aynı tezin “yalnız ... değil, aynı zamanda ...”, “bu durum göstermektedir”, “böylece”, “dolayısıyla” biçimleriyle art arda yeniden kurulması; delil dizisi tamamlanmadan “bütün bu veriler” türü sentezler verilmesi; “resm”in fail gibi özneleştirildiği mekanik sonuç cümleleri. En belirgin kümeler 1.7, 1.9–1.10, 2.4, 3.4–3.12 ve 4.1–4.7’dedir.</w:t>
      </w:r>
    </w:p>
    <w:p>
      <w:pPr>
        <w:pStyle w:val="Heading3"/>
        <w:keepNext/>
      </w:pPr>
      <w:r>
        <w:t>B. Orta öncelikli örüntüler</w:t>
      </w:r>
    </w:p>
    <w:p>
      <w:r>
        <w:t>Paragrafların “Bu çerçevede / Bu noktada / Nitekim” ile başlayıp “göstermektedir / ortaya koymaktadır / anlaşılmaktadır” ile bitmesi; aynı başlık içinde “sadece ... değil” karşıtlığının birkaç kez tekrarlanması; soyut isimlerin (süreç, çerçeve, yaklaşım, işlev, ilişki) somut öznenin yerini alması.</w:t>
      </w:r>
    </w:p>
    <w:p>
      <w:pPr>
        <w:pStyle w:val="Heading3"/>
        <w:keepNext/>
      </w:pPr>
      <w:r>
        <w:t>C. Düşük öncelikli örüntüler</w:t>
      </w:r>
    </w:p>
    <w:p>
      <w:r>
        <w:t>Tek başına doğal olan “Bununla birlikte”, “Nitekim”, “Dolayısıyla” ve -maktadır/-mektedir kullanımlarının yakın paragraflarda kümelenmesi. Bunlar topluca silinmemeli; yalnız aynı işlevi tekrar eden yerlerde sadeleştirilmelidir.</w:t>
      </w:r>
    </w:p>
    <w:p>
      <w:pPr>
        <w:pStyle w:val="Heading3"/>
        <w:keepNext/>
      </w:pPr>
      <w:r>
        <w:t>“Açıkça ortaya koymaktadır” kalıbının bütün kullanımları</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AF7"/>
          </w:tcPr>
          <w:p>
            <w:r>
              <w:rPr>
                <w:rFonts w:ascii="Times New Roman" w:hAnsi="Times New Roman" w:eastAsia="Times New Roman"/>
                <w:sz w:val="17"/>
              </w:rPr>
              <w:t>Paragraf</w:t>
            </w:r>
          </w:p>
        </w:tc>
        <w:tc>
          <w:tcPr>
            <w:tcW w:type="dxa" w:w="2351"/>
            <w:shd w:fill="D9EAF7"/>
          </w:tcPr>
          <w:p>
            <w:r>
              <w:rPr>
                <w:rFonts w:ascii="Times New Roman" w:hAnsi="Times New Roman" w:eastAsia="Times New Roman"/>
                <w:sz w:val="17"/>
              </w:rPr>
              <w:t>Yer</w:t>
            </w:r>
          </w:p>
        </w:tc>
        <w:tc>
          <w:tcPr>
            <w:tcW w:type="dxa" w:w="2351"/>
            <w:shd w:fill="D9EAF7"/>
          </w:tcPr>
          <w:p>
            <w:r>
              <w:rPr>
                <w:rFonts w:ascii="Times New Roman" w:hAnsi="Times New Roman" w:eastAsia="Times New Roman"/>
                <w:sz w:val="17"/>
              </w:rPr>
              <w:t>Birebir bağlam (kısaltılmış)</w:t>
            </w:r>
          </w:p>
        </w:tc>
        <w:tc>
          <w:tcPr>
            <w:tcW w:type="dxa" w:w="2351"/>
            <w:shd w:fill="D9EAF7"/>
          </w:tcPr>
          <w:p>
            <w:r>
              <w:rPr>
                <w:rFonts w:ascii="Times New Roman" w:hAnsi="Times New Roman" w:eastAsia="Times New Roman"/>
                <w:sz w:val="17"/>
              </w:rPr>
              <w:t>Öneri</w:t>
            </w:r>
          </w:p>
        </w:tc>
      </w:tr>
      <w:tr>
        <w:tc>
          <w:tcPr>
            <w:tcW w:type="dxa" w:w="2351"/>
            <w:tcMar>
              <w:top w:w="80" w:type="dxa"/>
              <w:start w:w="100" w:type="dxa"/>
              <w:bottom w:w="80" w:type="dxa"/>
              <w:end w:w="100" w:type="dxa"/>
            </w:tcMar>
          </w:tcPr>
          <w:p>
            <w:r>
              <w:rPr>
                <w:rFonts w:ascii="Times New Roman" w:hAnsi="Times New Roman" w:eastAsia="Times New Roman"/>
                <w:sz w:val="17"/>
              </w:rPr>
              <w:t>62</w:t>
            </w:r>
          </w:p>
        </w:tc>
        <w:tc>
          <w:tcPr>
            <w:tcW w:type="dxa" w:w="2351"/>
            <w:tcMar>
              <w:top w:w="80" w:type="dxa"/>
              <w:start w:w="100" w:type="dxa"/>
              <w:bottom w:w="80" w:type="dxa"/>
              <w:end w:w="100" w:type="dxa"/>
            </w:tcMar>
          </w:tcPr>
          <w:p>
            <w:r>
              <w:rPr>
                <w:rFonts w:ascii="Times New Roman" w:hAnsi="Times New Roman" w:eastAsia="Times New Roman"/>
                <w:sz w:val="17"/>
              </w:rPr>
              <w:t>1.2</w:t>
            </w:r>
          </w:p>
        </w:tc>
        <w:tc>
          <w:tcPr>
            <w:tcW w:type="dxa" w:w="2351"/>
            <w:tcMar>
              <w:top w:w="80" w:type="dxa"/>
              <w:start w:w="100" w:type="dxa"/>
              <w:bottom w:w="80" w:type="dxa"/>
              <w:end w:w="100" w:type="dxa"/>
            </w:tcMar>
          </w:tcPr>
          <w:p>
            <w:r>
              <w:rPr>
                <w:rFonts w:ascii="Times New Roman" w:hAnsi="Times New Roman" w:eastAsia="Times New Roman"/>
                <w:sz w:val="17"/>
              </w:rPr>
              <w:t>Medine dönemine gelindiğinde ise durum daha farklı bir görünüm arz etmiştir. Bu döneme ilişkin rivâyetler, vahyin yazıya geçirilmesi hususunda çok daha sistemli ve titiz bir uygulamanın bulunduğunu göstermektedir. Nitekim vahiy geldiğinde…</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315</w:t>
            </w:r>
          </w:p>
        </w:tc>
        <w:tc>
          <w:tcPr>
            <w:tcW w:type="dxa" w:w="2351"/>
            <w:tcMar>
              <w:top w:w="80" w:type="dxa"/>
              <w:start w:w="100" w:type="dxa"/>
              <w:bottom w:w="80" w:type="dxa"/>
              <w:end w:w="100" w:type="dxa"/>
            </w:tcMar>
          </w:tcPr>
          <w:p>
            <w:r>
              <w:rPr>
                <w:rFonts w:ascii="Times New Roman" w:hAnsi="Times New Roman" w:eastAsia="Times New Roman"/>
                <w:sz w:val="17"/>
              </w:rPr>
              <w:t>3.6</w:t>
            </w:r>
          </w:p>
        </w:tc>
        <w:tc>
          <w:tcPr>
            <w:tcW w:type="dxa" w:w="2351"/>
            <w:tcMar>
              <w:top w:w="80" w:type="dxa"/>
              <w:start w:w="100" w:type="dxa"/>
              <w:bottom w:w="80" w:type="dxa"/>
              <w:end w:w="100" w:type="dxa"/>
            </w:tcMar>
          </w:tcPr>
          <w:p>
            <w:r>
              <w:rPr>
                <w:rFonts w:ascii="Times New Roman" w:hAnsi="Times New Roman" w:eastAsia="Times New Roman"/>
                <w:sz w:val="17"/>
              </w:rPr>
              <w:t>Resme bağlılık ve onu esas alma tavrı sadece kırâat ve tecvid âlimleriyle sınırlı kalmamış, bu durum erken dönem nahiv âlimlerinin yaklaşımında da hissedilmiştir. Onlar mushaf hattını sıradan bir yazım biçimi olarak görmemiş; onu kimi…</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363</w:t>
            </w:r>
          </w:p>
        </w:tc>
        <w:tc>
          <w:tcPr>
            <w:tcW w:type="dxa" w:w="2351"/>
            <w:tcMar>
              <w:top w:w="80" w:type="dxa"/>
              <w:start w:w="100" w:type="dxa"/>
              <w:bottom w:w="80" w:type="dxa"/>
              <w:end w:w="100" w:type="dxa"/>
            </w:tcMar>
          </w:tcPr>
          <w:p>
            <w:r>
              <w:rPr>
                <w:rFonts w:ascii="Times New Roman" w:hAnsi="Times New Roman" w:eastAsia="Times New Roman"/>
                <w:sz w:val="17"/>
              </w:rPr>
              <w:t>3.11</w:t>
            </w:r>
          </w:p>
        </w:tc>
        <w:tc>
          <w:tcPr>
            <w:tcW w:type="dxa" w:w="2351"/>
            <w:tcMar>
              <w:top w:w="80" w:type="dxa"/>
              <w:start w:w="100" w:type="dxa"/>
              <w:bottom w:w="80" w:type="dxa"/>
              <w:end w:w="100" w:type="dxa"/>
            </w:tcMar>
          </w:tcPr>
          <w:p>
            <w:r>
              <w:rPr>
                <w:rFonts w:ascii="Times New Roman" w:hAnsi="Times New Roman" w:eastAsia="Times New Roman"/>
                <w:sz w:val="17"/>
              </w:rPr>
              <w:t>Bu tespit mushaf resminin niçin yalnızca bir imlâ meselesi sayılamayacağını açıkça ortaya koymaktadır. Çünkü burada korunmak istenen sadece bir yazı alışkanlığı olmayıp; o yazı etrafında teşekkül etmiş bir ilmî gelenektir. Nitekim resm-i…</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384</w:t>
            </w:r>
          </w:p>
        </w:tc>
        <w:tc>
          <w:tcPr>
            <w:tcW w:type="dxa" w:w="2351"/>
            <w:tcMar>
              <w:top w:w="80" w:type="dxa"/>
              <w:start w:w="100" w:type="dxa"/>
              <w:bottom w:w="80" w:type="dxa"/>
              <w:end w:w="100" w:type="dxa"/>
            </w:tcMar>
          </w:tcPr>
          <w:p>
            <w:r>
              <w:rPr>
                <w:rFonts w:ascii="Times New Roman" w:hAnsi="Times New Roman" w:eastAsia="Times New Roman"/>
                <w:sz w:val="17"/>
              </w:rPr>
              <w:t>4.1</w:t>
            </w:r>
          </w:p>
        </w:tc>
        <w:tc>
          <w:tcPr>
            <w:tcW w:type="dxa" w:w="2351"/>
            <w:tcMar>
              <w:top w:w="80" w:type="dxa"/>
              <w:start w:w="100" w:type="dxa"/>
              <w:bottom w:w="80" w:type="dxa"/>
              <w:end w:w="100" w:type="dxa"/>
            </w:tcMar>
          </w:tcPr>
          <w:p>
            <w:r>
              <w:rPr>
                <w:rFonts w:ascii="Times New Roman" w:hAnsi="Times New Roman" w:eastAsia="Times New Roman"/>
                <w:sz w:val="17"/>
              </w:rPr>
              <w:t>Kırâat vecihlerinin naklinde aslî dayanak, yazılı metinden önce telakki ve müşâfehedir. Zira kırâat, sonraki neslin önceki nesilden aldığı ve uygulayarak sürdürdüğü ittiba edilen bir sünnet olarak anlaşılmıştır. Bu bağlamda Zeyd b.…</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386</w:t>
            </w:r>
          </w:p>
        </w:tc>
        <w:tc>
          <w:tcPr>
            <w:tcW w:type="dxa" w:w="2351"/>
            <w:tcMar>
              <w:top w:w="80" w:type="dxa"/>
              <w:start w:w="100" w:type="dxa"/>
              <w:bottom w:w="80" w:type="dxa"/>
              <w:end w:w="100" w:type="dxa"/>
            </w:tcMar>
          </w:tcPr>
          <w:p>
            <w:r>
              <w:rPr>
                <w:rFonts w:ascii="Times New Roman" w:hAnsi="Times New Roman" w:eastAsia="Times New Roman"/>
                <w:sz w:val="17"/>
              </w:rPr>
              <w:t>4.1</w:t>
            </w:r>
          </w:p>
        </w:tc>
        <w:tc>
          <w:tcPr>
            <w:tcW w:type="dxa" w:w="2351"/>
            <w:tcMar>
              <w:top w:w="80" w:type="dxa"/>
              <w:start w:w="100" w:type="dxa"/>
              <w:bottom w:w="80" w:type="dxa"/>
              <w:end w:w="100" w:type="dxa"/>
            </w:tcMar>
          </w:tcPr>
          <w:p>
            <w:r>
              <w:rPr>
                <w:rFonts w:ascii="Times New Roman" w:hAnsi="Times New Roman" w:eastAsia="Times New Roman"/>
                <w:sz w:val="17"/>
              </w:rPr>
              <w:t>Osmânî resmin diğer temel işlevi, tevâtüren sabit olan kırâatlerle âhâd rivâyetleri birbirinden ayıran bağlayıcı bir ölçü oluşturmasıdır. Kırâat usûlünde mushaf hattına uygunluk, kabul edilecek okuyuşun şartlarından biri sayıldığından,…</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403</w:t>
            </w:r>
          </w:p>
        </w:tc>
        <w:tc>
          <w:tcPr>
            <w:tcW w:type="dxa" w:w="2351"/>
            <w:tcMar>
              <w:top w:w="80" w:type="dxa"/>
              <w:start w:w="100" w:type="dxa"/>
              <w:bottom w:w="80" w:type="dxa"/>
              <w:end w:w="100" w:type="dxa"/>
            </w:tcMar>
          </w:tcPr>
          <w:p>
            <w:r>
              <w:rPr>
                <w:rFonts w:ascii="Times New Roman" w:hAnsi="Times New Roman" w:eastAsia="Times New Roman"/>
                <w:sz w:val="17"/>
              </w:rPr>
              <w:t>4.2</w:t>
            </w:r>
          </w:p>
        </w:tc>
        <w:tc>
          <w:tcPr>
            <w:tcW w:type="dxa" w:w="2351"/>
            <w:tcMar>
              <w:top w:w="80" w:type="dxa"/>
              <w:start w:w="100" w:type="dxa"/>
              <w:bottom w:w="80" w:type="dxa"/>
              <w:end w:w="100" w:type="dxa"/>
            </w:tcMar>
          </w:tcPr>
          <w:p>
            <w:r>
              <w:rPr>
                <w:rFonts w:ascii="Times New Roman" w:hAnsi="Times New Roman" w:eastAsia="Times New Roman"/>
                <w:sz w:val="17"/>
              </w:rPr>
              <w:t>Bu siyasetin mahiyeti, yalnız yeni mushaflar göndermekten ibaret değildir. Eğer farklı sahâbî mushafları dolaşımda kalmaya devam etseydi, yeni gönderilen imam mushafların ümmet üzerinde bağlayıcı ve birleştirici bir zemin oluşturması…</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r>
        <w:tc>
          <w:tcPr>
            <w:tcW w:type="dxa" w:w="2351"/>
            <w:tcMar>
              <w:top w:w="80" w:type="dxa"/>
              <w:start w:w="100" w:type="dxa"/>
              <w:bottom w:w="80" w:type="dxa"/>
              <w:end w:w="100" w:type="dxa"/>
            </w:tcMar>
          </w:tcPr>
          <w:p>
            <w:r>
              <w:rPr>
                <w:rFonts w:ascii="Times New Roman" w:hAnsi="Times New Roman" w:eastAsia="Times New Roman"/>
                <w:sz w:val="17"/>
              </w:rPr>
              <w:t>428</w:t>
            </w:r>
          </w:p>
        </w:tc>
        <w:tc>
          <w:tcPr>
            <w:tcW w:type="dxa" w:w="2351"/>
            <w:tcMar>
              <w:top w:w="80" w:type="dxa"/>
              <w:start w:w="100" w:type="dxa"/>
              <w:bottom w:w="80" w:type="dxa"/>
              <w:end w:w="100" w:type="dxa"/>
            </w:tcMar>
          </w:tcPr>
          <w:p>
            <w:r>
              <w:rPr>
                <w:rFonts w:ascii="Times New Roman" w:hAnsi="Times New Roman" w:eastAsia="Times New Roman"/>
                <w:sz w:val="17"/>
              </w:rPr>
              <w:t>4.4</w:t>
            </w:r>
          </w:p>
        </w:tc>
        <w:tc>
          <w:tcPr>
            <w:tcW w:type="dxa" w:w="2351"/>
            <w:tcMar>
              <w:top w:w="80" w:type="dxa"/>
              <w:start w:w="100" w:type="dxa"/>
              <w:bottom w:w="80" w:type="dxa"/>
              <w:end w:w="100" w:type="dxa"/>
            </w:tcMar>
          </w:tcPr>
          <w:p>
            <w:r>
              <w:rPr>
                <w:rFonts w:ascii="Times New Roman" w:hAnsi="Times New Roman" w:eastAsia="Times New Roman"/>
                <w:sz w:val="17"/>
              </w:rPr>
              <w:t>İbnü’l-Cezerî’nin değerlendirmesi, meseleyi daha sistemli bir çerçeve içinde ortaya koymaktadır. Ona göre ehl-i edâ ve kırâat imamları, ihtiyaç, imtihan ve zaruret hâllerinde mushaf resmine rivâyetin gerekli olduğu hususunda ittifak…</w:t>
            </w:r>
          </w:p>
        </w:tc>
        <w:tc>
          <w:tcPr>
            <w:tcW w:type="dxa" w:w="2351"/>
            <w:tcMar>
              <w:top w:w="80" w:type="dxa"/>
              <w:start w:w="100" w:type="dxa"/>
              <w:bottom w:w="80" w:type="dxa"/>
              <w:end w:w="100" w:type="dxa"/>
            </w:tcMar>
          </w:tcPr>
          <w:p>
            <w:r>
              <w:rPr>
                <w:rFonts w:ascii="Times New Roman" w:hAnsi="Times New Roman" w:eastAsia="Times New Roman"/>
                <w:sz w:val="17"/>
              </w:rPr>
              <w:t>“açıkça”yı yalnız gerçekten tartışmasız kanıt varsa koru; çoğu yerde “göstermektedir / işaret etmektedir / bu şekilde yorumlanmaktadır” daha ihtiyatlıdır.</w:t>
            </w:r>
          </w:p>
        </w:tc>
      </w:tr>
    </w:tbl>
    <w:p>
      <w:pPr>
        <w:pStyle w:val="Heading2"/>
        <w:keepNext/>
      </w:pPr>
      <w:r>
        <w:t>13. Tekrarlanan Kalıpların Sıklık Analizi</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4E79"/>
          </w:tcPr>
          <w:p>
            <w:r>
              <w:rPr>
                <w:rFonts w:ascii="Times New Roman" w:hAnsi="Times New Roman" w:eastAsia="Times New Roman"/>
                <w:b/>
                <w:color w:val="FFFFFF"/>
                <w:sz w:val="17"/>
              </w:rPr>
              <w:t>İfade</w:t>
            </w:r>
          </w:p>
        </w:tc>
        <w:tc>
          <w:tcPr>
            <w:tcW w:type="dxa" w:w="1881"/>
            <w:shd w:fill="1F4E79"/>
          </w:tcPr>
          <w:p>
            <w:r>
              <w:rPr>
                <w:rFonts w:ascii="Times New Roman" w:hAnsi="Times New Roman" w:eastAsia="Times New Roman"/>
                <w:b/>
                <w:color w:val="FFFFFF"/>
                <w:sz w:val="17"/>
              </w:rPr>
              <w:t>Toplam</w:t>
            </w:r>
          </w:p>
        </w:tc>
        <w:tc>
          <w:tcPr>
            <w:tcW w:type="dxa" w:w="1881"/>
            <w:shd w:fill="1F4E79"/>
          </w:tcPr>
          <w:p>
            <w:r>
              <w:rPr>
                <w:rFonts w:ascii="Times New Roman" w:hAnsi="Times New Roman" w:eastAsia="Times New Roman"/>
                <w:b/>
                <w:color w:val="FFFFFF"/>
                <w:sz w:val="17"/>
              </w:rPr>
              <w:t>Paragraf başı</w:t>
            </w:r>
          </w:p>
        </w:tc>
        <w:tc>
          <w:tcPr>
            <w:tcW w:type="dxa" w:w="1881"/>
            <w:shd w:fill="1F4E79"/>
          </w:tcPr>
          <w:p>
            <w:r>
              <w:rPr>
                <w:rFonts w:ascii="Times New Roman" w:hAnsi="Times New Roman" w:eastAsia="Times New Roman"/>
                <w:b/>
                <w:color w:val="FFFFFF"/>
                <w:sz w:val="17"/>
              </w:rPr>
              <w:t>Sorunlu kullanım sayısı</w:t>
            </w:r>
          </w:p>
        </w:tc>
        <w:tc>
          <w:tcPr>
            <w:tcW w:type="dxa" w:w="1881"/>
            <w:shd w:fill="1F4E79"/>
          </w:tcPr>
          <w:p>
            <w:r>
              <w:rPr>
                <w:rFonts w:ascii="Times New Roman" w:hAnsi="Times New Roman" w:eastAsia="Times New Roman"/>
                <w:b/>
                <w:color w:val="FFFFFF"/>
                <w:sz w:val="17"/>
              </w:rPr>
              <w:t>Değerlendirme</w:t>
            </w:r>
          </w:p>
        </w:tc>
      </w:tr>
      <w:tr>
        <w:tc>
          <w:tcPr>
            <w:tcW w:type="dxa" w:w="1881"/>
            <w:tcMar>
              <w:top w:w="80" w:type="dxa"/>
              <w:start w:w="100" w:type="dxa"/>
              <w:bottom w:w="80" w:type="dxa"/>
              <w:end w:w="100" w:type="dxa"/>
            </w:tcMar>
          </w:tcPr>
          <w:p>
            <w:r>
              <w:rPr>
                <w:rFonts w:ascii="Times New Roman" w:hAnsi="Times New Roman" w:eastAsia="Times New Roman"/>
                <w:sz w:val="17"/>
              </w:rPr>
              <w:t>Sonuç olarak</w:t>
            </w:r>
          </w:p>
        </w:tc>
        <w:tc>
          <w:tcPr>
            <w:tcW w:type="dxa" w:w="1881"/>
            <w:tcMar>
              <w:top w:w="80" w:type="dxa"/>
              <w:start w:w="100" w:type="dxa"/>
              <w:bottom w:w="80" w:type="dxa"/>
              <w:end w:w="100" w:type="dxa"/>
            </w:tcMar>
          </w:tcPr>
          <w:p>
            <w:r>
              <w:rPr>
                <w:rFonts w:ascii="Times New Roman" w:hAnsi="Times New Roman" w:eastAsia="Times New Roman"/>
                <w:sz w:val="17"/>
              </w:rPr>
              <w:t>14</w:t>
            </w:r>
          </w:p>
        </w:tc>
        <w:tc>
          <w:tcPr>
            <w:tcW w:type="dxa" w:w="1881"/>
            <w:tcMar>
              <w:top w:w="80" w:type="dxa"/>
              <w:start w:w="100" w:type="dxa"/>
              <w:bottom w:w="80" w:type="dxa"/>
              <w:end w:w="100" w:type="dxa"/>
            </w:tcMar>
          </w:tcPr>
          <w:p>
            <w:r>
              <w:rPr>
                <w:rFonts w:ascii="Times New Roman" w:hAnsi="Times New Roman" w:eastAsia="Times New Roman"/>
                <w:sz w:val="17"/>
              </w:rPr>
              <w:t>13</w:t>
            </w:r>
          </w:p>
        </w:tc>
        <w:tc>
          <w:tcPr>
            <w:tcW w:type="dxa" w:w="1881"/>
            <w:tcMar>
              <w:top w:w="80" w:type="dxa"/>
              <w:start w:w="100" w:type="dxa"/>
              <w:bottom w:w="80" w:type="dxa"/>
              <w:end w:w="100" w:type="dxa"/>
            </w:tcMar>
          </w:tcPr>
          <w:p>
            <w:r>
              <w:rPr>
                <w:rFonts w:ascii="Times New Roman" w:hAnsi="Times New Roman" w:eastAsia="Times New Roman"/>
                <w:sz w:val="17"/>
              </w:rPr>
              <w:t>11</w:t>
            </w:r>
          </w:p>
        </w:tc>
        <w:tc>
          <w:tcPr>
            <w:tcW w:type="dxa" w:w="1881"/>
            <w:tcMar>
              <w:top w:w="80" w:type="dxa"/>
              <w:start w:w="100" w:type="dxa"/>
              <w:bottom w:w="80" w:type="dxa"/>
              <w:end w:w="100" w:type="dxa"/>
            </w:tcMar>
          </w:tcPr>
          <w:p>
            <w:r>
              <w:rPr>
                <w:rFonts w:ascii="Times New Roman" w:hAnsi="Times New Roman" w:eastAsia="Times New Roman"/>
                <w:sz w:val="17"/>
              </w:rPr>
              <w:t>14 kullanımın 11’i güçlü/orta müdahale gerektiriyor; 3’ü gerçek sentez/geçiş işlevi görüyor.</w:t>
            </w:r>
          </w:p>
        </w:tc>
      </w:tr>
      <w:tr>
        <w:tc>
          <w:tcPr>
            <w:tcW w:type="dxa" w:w="1881"/>
            <w:tcMar>
              <w:top w:w="80" w:type="dxa"/>
              <w:start w:w="100" w:type="dxa"/>
              <w:bottom w:w="80" w:type="dxa"/>
              <w:end w:w="100" w:type="dxa"/>
            </w:tcMar>
          </w:tcPr>
          <w:p>
            <w:r>
              <w:rPr>
                <w:rFonts w:ascii="Times New Roman" w:hAnsi="Times New Roman" w:eastAsia="Times New Roman"/>
                <w:sz w:val="17"/>
              </w:rPr>
              <w:t>Bütün bu veriler</w:t>
            </w:r>
          </w:p>
        </w:tc>
        <w:tc>
          <w:tcPr>
            <w:tcW w:type="dxa" w:w="1881"/>
            <w:tcMar>
              <w:top w:w="80" w:type="dxa"/>
              <w:start w:w="100" w:type="dxa"/>
              <w:bottom w:w="80" w:type="dxa"/>
              <w:end w:w="100" w:type="dxa"/>
            </w:tcMar>
          </w:tcPr>
          <w:p>
            <w:r>
              <w:rPr>
                <w:rFonts w:ascii="Times New Roman" w:hAnsi="Times New Roman" w:eastAsia="Times New Roman"/>
                <w:sz w:val="17"/>
              </w:rPr>
              <w:t>4</w:t>
            </w:r>
          </w:p>
        </w:tc>
        <w:tc>
          <w:tcPr>
            <w:tcW w:type="dxa" w:w="1881"/>
            <w:tcMar>
              <w:top w:w="80" w:type="dxa"/>
              <w:start w:w="100" w:type="dxa"/>
              <w:bottom w:w="80" w:type="dxa"/>
              <w:end w:w="100" w:type="dxa"/>
            </w:tcMar>
          </w:tcPr>
          <w:p>
            <w:r>
              <w:rPr>
                <w:rFonts w:ascii="Times New Roman" w:hAnsi="Times New Roman" w:eastAsia="Times New Roman"/>
                <w:sz w:val="17"/>
              </w:rPr>
              <w:t>4</w:t>
            </w:r>
          </w:p>
        </w:tc>
        <w:tc>
          <w:tcPr>
            <w:tcW w:type="dxa" w:w="1881"/>
            <w:tcMar>
              <w:top w:w="80" w:type="dxa"/>
              <w:start w:w="100" w:type="dxa"/>
              <w:bottom w:w="80" w:type="dxa"/>
              <w:end w:w="100" w:type="dxa"/>
            </w:tcMar>
          </w:tcPr>
          <w:p>
            <w:r>
              <w:rPr>
                <w:rFonts w:ascii="Times New Roman" w:hAnsi="Times New Roman" w:eastAsia="Times New Roman"/>
                <w:sz w:val="17"/>
              </w:rPr>
              <w:t>3</w:t>
            </w:r>
          </w:p>
        </w:tc>
        <w:tc>
          <w:tcPr>
            <w:tcW w:type="dxa" w:w="1881"/>
            <w:tcMar>
              <w:top w:w="80" w:type="dxa"/>
              <w:start w:w="100" w:type="dxa"/>
              <w:bottom w:w="80" w:type="dxa"/>
              <w:end w:w="100" w:type="dxa"/>
            </w:tcMar>
          </w:tcPr>
          <w:p>
            <w:r>
              <w:rPr>
                <w:rFonts w:ascii="Times New Roman" w:hAnsi="Times New Roman" w:eastAsia="Times New Roman"/>
                <w:sz w:val="17"/>
              </w:rPr>
              <w:t>4 kullanımın 3’ü tekrar/erken sonuç; 1’i kısaltılabilir sentez.</w:t>
            </w:r>
          </w:p>
        </w:tc>
      </w:tr>
      <w:tr>
        <w:tc>
          <w:tcPr>
            <w:tcW w:type="dxa" w:w="1881"/>
            <w:tcMar>
              <w:top w:w="80" w:type="dxa"/>
              <w:start w:w="100" w:type="dxa"/>
              <w:bottom w:w="80" w:type="dxa"/>
              <w:end w:w="100" w:type="dxa"/>
            </w:tcMar>
          </w:tcPr>
          <w:p>
            <w:r>
              <w:rPr>
                <w:rFonts w:ascii="Times New Roman" w:hAnsi="Times New Roman" w:eastAsia="Times New Roman"/>
                <w:sz w:val="17"/>
              </w:rPr>
              <w:t>Bu bağlamda</w:t>
            </w:r>
          </w:p>
        </w:tc>
        <w:tc>
          <w:tcPr>
            <w:tcW w:type="dxa" w:w="1881"/>
            <w:tcMar>
              <w:top w:w="80" w:type="dxa"/>
              <w:start w:w="100" w:type="dxa"/>
              <w:bottom w:w="80" w:type="dxa"/>
              <w:end w:w="100" w:type="dxa"/>
            </w:tcMar>
          </w:tcPr>
          <w:p>
            <w:r>
              <w:rPr>
                <w:rFonts w:ascii="Times New Roman" w:hAnsi="Times New Roman" w:eastAsia="Times New Roman"/>
                <w:sz w:val="17"/>
              </w:rPr>
              <w:t>20</w:t>
            </w:r>
          </w:p>
        </w:tc>
        <w:tc>
          <w:tcPr>
            <w:tcW w:type="dxa" w:w="1881"/>
            <w:tcMar>
              <w:top w:w="80" w:type="dxa"/>
              <w:start w:w="100" w:type="dxa"/>
              <w:bottom w:w="80" w:type="dxa"/>
              <w:end w:w="100" w:type="dxa"/>
            </w:tcMar>
          </w:tcPr>
          <w:p>
            <w:r>
              <w:rPr>
                <w:rFonts w:ascii="Times New Roman" w:hAnsi="Times New Roman" w:eastAsia="Times New Roman"/>
                <w:sz w:val="17"/>
              </w:rPr>
              <w:t>1</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Tek başına sorun değil; yakın kullanımlarda bağın gerçekten mantıksal olup olmadığı kontrol edilmeli.</w:t>
            </w:r>
          </w:p>
        </w:tc>
      </w:tr>
      <w:tr>
        <w:tc>
          <w:tcPr>
            <w:tcW w:type="dxa" w:w="1881"/>
            <w:tcMar>
              <w:top w:w="80" w:type="dxa"/>
              <w:start w:w="100" w:type="dxa"/>
              <w:bottom w:w="80" w:type="dxa"/>
              <w:end w:w="100" w:type="dxa"/>
            </w:tcMar>
          </w:tcPr>
          <w:p>
            <w:r>
              <w:rPr>
                <w:rFonts w:ascii="Times New Roman" w:hAnsi="Times New Roman" w:eastAsia="Times New Roman"/>
                <w:sz w:val="17"/>
              </w:rPr>
              <w:t>Bu çerçevede</w:t>
            </w:r>
          </w:p>
        </w:tc>
        <w:tc>
          <w:tcPr>
            <w:tcW w:type="dxa" w:w="1881"/>
            <w:tcMar>
              <w:top w:w="80" w:type="dxa"/>
              <w:start w:w="100" w:type="dxa"/>
              <w:bottom w:w="80" w:type="dxa"/>
              <w:end w:w="100" w:type="dxa"/>
            </w:tcMar>
          </w:tcPr>
          <w:p>
            <w:r>
              <w:rPr>
                <w:rFonts w:ascii="Times New Roman" w:hAnsi="Times New Roman" w:eastAsia="Times New Roman"/>
                <w:sz w:val="17"/>
              </w:rPr>
              <w:t>31</w:t>
            </w:r>
          </w:p>
        </w:tc>
        <w:tc>
          <w:tcPr>
            <w:tcW w:type="dxa" w:w="1881"/>
            <w:tcMar>
              <w:top w:w="80" w:type="dxa"/>
              <w:start w:w="100" w:type="dxa"/>
              <w:bottom w:w="80" w:type="dxa"/>
              <w:end w:w="100" w:type="dxa"/>
            </w:tcMar>
          </w:tcPr>
          <w:p>
            <w:r>
              <w:rPr>
                <w:rFonts w:ascii="Times New Roman" w:hAnsi="Times New Roman" w:eastAsia="Times New Roman"/>
                <w:sz w:val="17"/>
              </w:rPr>
              <w:t>10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31 kullanım ve 10 paragraf açılışı mekanikleşme riski yaratıyor.</w:t>
            </w:r>
          </w:p>
        </w:tc>
      </w:tr>
      <w:tr>
        <w:tc>
          <w:tcPr>
            <w:tcW w:type="dxa" w:w="1881"/>
            <w:tcMar>
              <w:top w:w="80" w:type="dxa"/>
              <w:start w:w="100" w:type="dxa"/>
              <w:bottom w:w="80" w:type="dxa"/>
              <w:end w:w="100" w:type="dxa"/>
            </w:tcMar>
          </w:tcPr>
          <w:p>
            <w:r>
              <w:rPr>
                <w:rFonts w:ascii="Times New Roman" w:hAnsi="Times New Roman" w:eastAsia="Times New Roman"/>
                <w:sz w:val="17"/>
              </w:rPr>
              <w:t>Bu noktada</w:t>
            </w:r>
          </w:p>
        </w:tc>
        <w:tc>
          <w:tcPr>
            <w:tcW w:type="dxa" w:w="1881"/>
            <w:tcMar>
              <w:top w:w="80" w:type="dxa"/>
              <w:start w:w="100" w:type="dxa"/>
              <w:bottom w:w="80" w:type="dxa"/>
              <w:end w:w="100" w:type="dxa"/>
            </w:tcMar>
          </w:tcPr>
          <w:p>
            <w:r>
              <w:rPr>
                <w:rFonts w:ascii="Times New Roman" w:hAnsi="Times New Roman" w:eastAsia="Times New Roman"/>
                <w:sz w:val="17"/>
              </w:rPr>
              <w:t>11</w:t>
            </w:r>
          </w:p>
        </w:tc>
        <w:tc>
          <w:tcPr>
            <w:tcW w:type="dxa" w:w="1881"/>
            <w:tcMar>
              <w:top w:w="80" w:type="dxa"/>
              <w:start w:w="100" w:type="dxa"/>
              <w:bottom w:w="80" w:type="dxa"/>
              <w:end w:w="100" w:type="dxa"/>
            </w:tcMar>
          </w:tcPr>
          <w:p>
            <w:r>
              <w:rPr>
                <w:rFonts w:ascii="Times New Roman" w:hAnsi="Times New Roman" w:eastAsia="Times New Roman"/>
                <w:sz w:val="17"/>
              </w:rPr>
              <w:t>4</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Özellikle 1.4 ve 4.3’te yeni argüman başlatmak için kullanılıyor; bazılarında sıralama sorunu var.</w:t>
            </w:r>
          </w:p>
        </w:tc>
      </w:tr>
      <w:tr>
        <w:tc>
          <w:tcPr>
            <w:tcW w:type="dxa" w:w="1881"/>
            <w:tcMar>
              <w:top w:w="80" w:type="dxa"/>
              <w:start w:w="100" w:type="dxa"/>
              <w:bottom w:w="80" w:type="dxa"/>
              <w:end w:w="100" w:type="dxa"/>
            </w:tcMar>
          </w:tcPr>
          <w:p>
            <w:r>
              <w:rPr>
                <w:rFonts w:ascii="Times New Roman" w:hAnsi="Times New Roman" w:eastAsia="Times New Roman"/>
                <w:sz w:val="17"/>
              </w:rPr>
              <w:t>Bu yönüyle</w:t>
            </w:r>
          </w:p>
        </w:tc>
        <w:tc>
          <w:tcPr>
            <w:tcW w:type="dxa" w:w="1881"/>
            <w:tcMar>
              <w:top w:w="80" w:type="dxa"/>
              <w:start w:w="100" w:type="dxa"/>
              <w:bottom w:w="80" w:type="dxa"/>
              <w:end w:w="100" w:type="dxa"/>
            </w:tcMar>
          </w:tcPr>
          <w:p>
            <w:r>
              <w:rPr>
                <w:rFonts w:ascii="Times New Roman" w:hAnsi="Times New Roman" w:eastAsia="Times New Roman"/>
                <w:sz w:val="17"/>
              </w:rPr>
              <w:t>11</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Orta sıklık; soyut değerlendirme cümlelerinde kümeleniyor.</w:t>
            </w:r>
          </w:p>
        </w:tc>
      </w:tr>
      <w:tr>
        <w:tc>
          <w:tcPr>
            <w:tcW w:type="dxa" w:w="1881"/>
            <w:tcMar>
              <w:top w:w="80" w:type="dxa"/>
              <w:start w:w="100" w:type="dxa"/>
              <w:bottom w:w="80" w:type="dxa"/>
              <w:end w:w="100" w:type="dxa"/>
            </w:tcMar>
          </w:tcPr>
          <w:p>
            <w:r>
              <w:rPr>
                <w:rFonts w:ascii="Times New Roman" w:hAnsi="Times New Roman" w:eastAsia="Times New Roman"/>
                <w:sz w:val="17"/>
              </w:rPr>
              <w:t>Bununla birlikte</w:t>
            </w:r>
          </w:p>
        </w:tc>
        <w:tc>
          <w:tcPr>
            <w:tcW w:type="dxa" w:w="1881"/>
            <w:tcMar>
              <w:top w:w="80" w:type="dxa"/>
              <w:start w:w="100" w:type="dxa"/>
              <w:bottom w:w="80" w:type="dxa"/>
              <w:end w:w="100" w:type="dxa"/>
            </w:tcMar>
          </w:tcPr>
          <w:p>
            <w:r>
              <w:rPr>
                <w:rFonts w:ascii="Times New Roman" w:hAnsi="Times New Roman" w:eastAsia="Times New Roman"/>
                <w:sz w:val="17"/>
              </w:rPr>
              <w:t>32</w:t>
            </w:r>
          </w:p>
        </w:tc>
        <w:tc>
          <w:tcPr>
            <w:tcW w:type="dxa" w:w="1881"/>
            <w:tcMar>
              <w:top w:w="80" w:type="dxa"/>
              <w:start w:w="100" w:type="dxa"/>
              <w:bottom w:w="80" w:type="dxa"/>
              <w:end w:w="100" w:type="dxa"/>
            </w:tcMar>
          </w:tcPr>
          <w:p>
            <w:r>
              <w:rPr>
                <w:rFonts w:ascii="Times New Roman" w:hAnsi="Times New Roman" w:eastAsia="Times New Roman"/>
                <w:sz w:val="17"/>
              </w:rPr>
              <w:t>3</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Çoğu işlevsel; toplu değişiklik gereksiz.</w:t>
            </w:r>
          </w:p>
        </w:tc>
      </w:tr>
      <w:tr>
        <w:tc>
          <w:tcPr>
            <w:tcW w:type="dxa" w:w="1881"/>
            <w:tcMar>
              <w:top w:w="80" w:type="dxa"/>
              <w:start w:w="100" w:type="dxa"/>
              <w:bottom w:w="80" w:type="dxa"/>
              <w:end w:w="100" w:type="dxa"/>
            </w:tcMar>
          </w:tcPr>
          <w:p>
            <w:r>
              <w:rPr>
                <w:rFonts w:ascii="Times New Roman" w:hAnsi="Times New Roman" w:eastAsia="Times New Roman"/>
                <w:sz w:val="17"/>
              </w:rPr>
              <w:t>Nitekim</w:t>
            </w:r>
          </w:p>
        </w:tc>
        <w:tc>
          <w:tcPr>
            <w:tcW w:type="dxa" w:w="1881"/>
            <w:tcMar>
              <w:top w:w="80" w:type="dxa"/>
              <w:start w:w="100" w:type="dxa"/>
              <w:bottom w:w="80" w:type="dxa"/>
              <w:end w:w="100" w:type="dxa"/>
            </w:tcMar>
          </w:tcPr>
          <w:p>
            <w:r>
              <w:rPr>
                <w:rFonts w:ascii="Times New Roman" w:hAnsi="Times New Roman" w:eastAsia="Times New Roman"/>
                <w:sz w:val="17"/>
              </w:rPr>
              <w:t>91</w:t>
            </w:r>
          </w:p>
        </w:tc>
        <w:tc>
          <w:tcPr>
            <w:tcW w:type="dxa" w:w="1881"/>
            <w:tcMar>
              <w:top w:w="80" w:type="dxa"/>
              <w:start w:w="100" w:type="dxa"/>
              <w:bottom w:w="80" w:type="dxa"/>
              <w:end w:w="100" w:type="dxa"/>
            </w:tcMar>
          </w:tcPr>
          <w:p>
            <w:r>
              <w:rPr>
                <w:rFonts w:ascii="Times New Roman" w:hAnsi="Times New Roman" w:eastAsia="Times New Roman"/>
                <w:sz w:val="17"/>
              </w:rPr>
              <w:t>11</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91 kullanım yüksek sıklık; özellikle örnek girişlerinde otomatik bağlaç hâline gelmiş.</w:t>
            </w:r>
          </w:p>
        </w:tc>
      </w:tr>
      <w:tr>
        <w:tc>
          <w:tcPr>
            <w:tcW w:type="dxa" w:w="1881"/>
            <w:tcMar>
              <w:top w:w="80" w:type="dxa"/>
              <w:start w:w="100" w:type="dxa"/>
              <w:bottom w:w="80" w:type="dxa"/>
              <w:end w:w="100" w:type="dxa"/>
            </w:tcMar>
          </w:tcPr>
          <w:p>
            <w:r>
              <w:rPr>
                <w:rFonts w:ascii="Times New Roman" w:hAnsi="Times New Roman" w:eastAsia="Times New Roman"/>
                <w:sz w:val="17"/>
              </w:rPr>
              <w:t>Dolayısıyla</w:t>
            </w:r>
          </w:p>
        </w:tc>
        <w:tc>
          <w:tcPr>
            <w:tcW w:type="dxa" w:w="1881"/>
            <w:tcMar>
              <w:top w:w="80" w:type="dxa"/>
              <w:start w:w="100" w:type="dxa"/>
              <w:bottom w:w="80" w:type="dxa"/>
              <w:end w:w="100" w:type="dxa"/>
            </w:tcMar>
          </w:tcPr>
          <w:p>
            <w:r>
              <w:rPr>
                <w:rFonts w:ascii="Times New Roman" w:hAnsi="Times New Roman" w:eastAsia="Times New Roman"/>
                <w:sz w:val="17"/>
              </w:rPr>
              <w:t>54</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54 kullanım; sonuç ilişkisi gerçekten kurulmadığında kaldırılmalı.</w:t>
            </w:r>
          </w:p>
        </w:tc>
      </w:tr>
      <w:tr>
        <w:tc>
          <w:tcPr>
            <w:tcW w:type="dxa" w:w="1881"/>
            <w:tcMar>
              <w:top w:w="80" w:type="dxa"/>
              <w:start w:w="100" w:type="dxa"/>
              <w:bottom w:w="80" w:type="dxa"/>
              <w:end w:w="100" w:type="dxa"/>
            </w:tcMar>
          </w:tcPr>
          <w:p>
            <w:r>
              <w:rPr>
                <w:rFonts w:ascii="Times New Roman" w:hAnsi="Times New Roman" w:eastAsia="Times New Roman"/>
                <w:sz w:val="17"/>
              </w:rPr>
              <w:t>Böylece</w:t>
            </w:r>
          </w:p>
        </w:tc>
        <w:tc>
          <w:tcPr>
            <w:tcW w:type="dxa" w:w="1881"/>
            <w:tcMar>
              <w:top w:w="80" w:type="dxa"/>
              <w:start w:w="100" w:type="dxa"/>
              <w:bottom w:w="80" w:type="dxa"/>
              <w:end w:w="100" w:type="dxa"/>
            </w:tcMar>
          </w:tcPr>
          <w:p>
            <w:r>
              <w:rPr>
                <w:rFonts w:ascii="Times New Roman" w:hAnsi="Times New Roman" w:eastAsia="Times New Roman"/>
                <w:sz w:val="17"/>
              </w:rPr>
              <w:t>86</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86 kullanım; resme nedensel/fail rolü yükleyen cümlelerle birlikte dikkatle incelenmeli.</w:t>
            </w:r>
          </w:p>
        </w:tc>
      </w:tr>
      <w:tr>
        <w:tc>
          <w:tcPr>
            <w:tcW w:type="dxa" w:w="1881"/>
            <w:tcMar>
              <w:top w:w="80" w:type="dxa"/>
              <w:start w:w="100" w:type="dxa"/>
              <w:bottom w:w="80" w:type="dxa"/>
              <w:end w:w="100" w:type="dxa"/>
            </w:tcMar>
          </w:tcPr>
          <w:p>
            <w:r>
              <w:rPr>
                <w:rFonts w:ascii="Times New Roman" w:hAnsi="Times New Roman" w:eastAsia="Times New Roman"/>
                <w:sz w:val="17"/>
              </w:rPr>
              <w:t>Söz konusu</w:t>
            </w:r>
          </w:p>
        </w:tc>
        <w:tc>
          <w:tcPr>
            <w:tcW w:type="dxa" w:w="1881"/>
            <w:tcMar>
              <w:top w:w="80" w:type="dxa"/>
              <w:start w:w="100" w:type="dxa"/>
              <w:bottom w:w="80" w:type="dxa"/>
              <w:end w:w="100" w:type="dxa"/>
            </w:tcMar>
          </w:tcPr>
          <w:p>
            <w:r>
              <w:rPr>
                <w:rFonts w:ascii="Times New Roman" w:hAnsi="Times New Roman" w:eastAsia="Times New Roman"/>
                <w:sz w:val="17"/>
              </w:rPr>
              <w:t>35</w:t>
            </w:r>
          </w:p>
        </w:tc>
        <w:tc>
          <w:tcPr>
            <w:tcW w:type="dxa" w:w="1881"/>
            <w:tcMar>
              <w:top w:w="80" w:type="dxa"/>
              <w:start w:w="100" w:type="dxa"/>
              <w:bottom w:w="80" w:type="dxa"/>
              <w:end w:w="100" w:type="dxa"/>
            </w:tcMar>
          </w:tcPr>
          <w:p>
            <w:r>
              <w:rPr>
                <w:rFonts w:ascii="Times New Roman" w:hAnsi="Times New Roman" w:eastAsia="Times New Roman"/>
                <w:sz w:val="17"/>
              </w:rPr>
              <w:t>2</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35 kullanım; daha somut özne mümkün olan yerlerde azaltılabilir.</w:t>
            </w:r>
          </w:p>
        </w:tc>
      </w:tr>
      <w:tr>
        <w:tc>
          <w:tcPr>
            <w:tcW w:type="dxa" w:w="1881"/>
            <w:tcMar>
              <w:top w:w="80" w:type="dxa"/>
              <w:start w:w="100" w:type="dxa"/>
              <w:bottom w:w="80" w:type="dxa"/>
              <w:end w:w="100" w:type="dxa"/>
            </w:tcMar>
          </w:tcPr>
          <w:p>
            <w:r>
              <w:rPr>
                <w:rFonts w:ascii="Times New Roman" w:hAnsi="Times New Roman" w:eastAsia="Times New Roman"/>
                <w:sz w:val="17"/>
              </w:rPr>
              <w:t>göstermektedir</w:t>
            </w:r>
          </w:p>
        </w:tc>
        <w:tc>
          <w:tcPr>
            <w:tcW w:type="dxa" w:w="1881"/>
            <w:tcMar>
              <w:top w:w="80" w:type="dxa"/>
              <w:start w:w="100" w:type="dxa"/>
              <w:bottom w:w="80" w:type="dxa"/>
              <w:end w:w="100" w:type="dxa"/>
            </w:tcMar>
          </w:tcPr>
          <w:p>
            <w:r>
              <w:rPr>
                <w:rFonts w:ascii="Times New Roman" w:hAnsi="Times New Roman" w:eastAsia="Times New Roman"/>
                <w:sz w:val="17"/>
              </w:rPr>
              <w:t>120</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120 kullanım; kitap genelindeki en belirgin mekanik kapanış fiili.</w:t>
            </w:r>
          </w:p>
        </w:tc>
      </w:tr>
      <w:tr>
        <w:tc>
          <w:tcPr>
            <w:tcW w:type="dxa" w:w="1881"/>
            <w:tcMar>
              <w:top w:w="80" w:type="dxa"/>
              <w:start w:w="100" w:type="dxa"/>
              <w:bottom w:w="80" w:type="dxa"/>
              <w:end w:w="100" w:type="dxa"/>
            </w:tcMar>
          </w:tcPr>
          <w:p>
            <w:r>
              <w:rPr>
                <w:rFonts w:ascii="Times New Roman" w:hAnsi="Times New Roman" w:eastAsia="Times New Roman"/>
                <w:sz w:val="17"/>
              </w:rPr>
              <w:t>ortaya koymaktadır</w:t>
            </w:r>
          </w:p>
        </w:tc>
        <w:tc>
          <w:tcPr>
            <w:tcW w:type="dxa" w:w="1881"/>
            <w:tcMar>
              <w:top w:w="80" w:type="dxa"/>
              <w:start w:w="100" w:type="dxa"/>
              <w:bottom w:w="80" w:type="dxa"/>
              <w:end w:w="100" w:type="dxa"/>
            </w:tcMar>
          </w:tcPr>
          <w:p>
            <w:r>
              <w:rPr>
                <w:rFonts w:ascii="Times New Roman" w:hAnsi="Times New Roman" w:eastAsia="Times New Roman"/>
                <w:sz w:val="17"/>
              </w:rPr>
              <w:t>42</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42 kullanım; özellikle “açıkça” ile birleştiğinde kesinlik artıyor.</w:t>
            </w:r>
          </w:p>
        </w:tc>
      </w:tr>
      <w:tr>
        <w:tc>
          <w:tcPr>
            <w:tcW w:type="dxa" w:w="1881"/>
            <w:tcMar>
              <w:top w:w="80" w:type="dxa"/>
              <w:start w:w="100" w:type="dxa"/>
              <w:bottom w:w="80" w:type="dxa"/>
              <w:end w:w="100" w:type="dxa"/>
            </w:tcMar>
          </w:tcPr>
          <w:p>
            <w:r>
              <w:rPr>
                <w:rFonts w:ascii="Times New Roman" w:hAnsi="Times New Roman" w:eastAsia="Times New Roman"/>
                <w:sz w:val="17"/>
              </w:rPr>
              <w:t>anlaşılmaktadır</w:t>
            </w:r>
          </w:p>
        </w:tc>
        <w:tc>
          <w:tcPr>
            <w:tcW w:type="dxa" w:w="1881"/>
            <w:tcMar>
              <w:top w:w="80" w:type="dxa"/>
              <w:start w:w="100" w:type="dxa"/>
              <w:bottom w:w="80" w:type="dxa"/>
              <w:end w:w="100" w:type="dxa"/>
            </w:tcMar>
          </w:tcPr>
          <w:p>
            <w:r>
              <w:rPr>
                <w:rFonts w:ascii="Times New Roman" w:hAnsi="Times New Roman" w:eastAsia="Times New Roman"/>
                <w:sz w:val="17"/>
              </w:rPr>
              <w:t>29</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29 kullanım; çıkarımın öznesini belirsizleştirdiği yerlerde somutlaştırılmalı.</w:t>
            </w:r>
          </w:p>
        </w:tc>
      </w:tr>
      <w:tr>
        <w:tc>
          <w:tcPr>
            <w:tcW w:type="dxa" w:w="1881"/>
            <w:tcMar>
              <w:top w:w="80" w:type="dxa"/>
              <w:start w:w="100" w:type="dxa"/>
              <w:bottom w:w="80" w:type="dxa"/>
              <w:end w:w="100" w:type="dxa"/>
            </w:tcMar>
          </w:tcPr>
          <w:p>
            <w:r>
              <w:rPr>
                <w:rFonts w:ascii="Times New Roman" w:hAnsi="Times New Roman" w:eastAsia="Times New Roman"/>
                <w:sz w:val="17"/>
              </w:rPr>
              <w:t>görülmektedir</w:t>
            </w:r>
          </w:p>
        </w:tc>
        <w:tc>
          <w:tcPr>
            <w:tcW w:type="dxa" w:w="1881"/>
            <w:tcMar>
              <w:top w:w="80" w:type="dxa"/>
              <w:start w:w="100" w:type="dxa"/>
              <w:bottom w:w="80" w:type="dxa"/>
              <w:end w:w="100" w:type="dxa"/>
            </w:tcMar>
          </w:tcPr>
          <w:p>
            <w:r>
              <w:rPr>
                <w:rFonts w:ascii="Times New Roman" w:hAnsi="Times New Roman" w:eastAsia="Times New Roman"/>
                <w:sz w:val="17"/>
              </w:rPr>
              <w:t>31</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31 kullanım; çoğu akademik olarak doğal, fakat kümelenen yerlerde çeşitlendirilebilir.</w:t>
            </w:r>
          </w:p>
        </w:tc>
      </w:tr>
      <w:tr>
        <w:tc>
          <w:tcPr>
            <w:tcW w:type="dxa" w:w="1881"/>
            <w:tcMar>
              <w:top w:w="80" w:type="dxa"/>
              <w:start w:w="100" w:type="dxa"/>
              <w:bottom w:w="80" w:type="dxa"/>
              <w:end w:w="100" w:type="dxa"/>
            </w:tcMar>
          </w:tcPr>
          <w:p>
            <w:r>
              <w:rPr>
                <w:rFonts w:ascii="Times New Roman" w:hAnsi="Times New Roman" w:eastAsia="Times New Roman"/>
                <w:sz w:val="17"/>
              </w:rPr>
              <w:t>değerlendirilmektedir</w:t>
            </w:r>
          </w:p>
        </w:tc>
        <w:tc>
          <w:tcPr>
            <w:tcW w:type="dxa" w:w="1881"/>
            <w:tcMar>
              <w:top w:w="80" w:type="dxa"/>
              <w:start w:w="100" w:type="dxa"/>
              <w:bottom w:w="80" w:type="dxa"/>
              <w:end w:w="100" w:type="dxa"/>
            </w:tcMar>
          </w:tcPr>
          <w:p>
            <w:r>
              <w:rPr>
                <w:rFonts w:ascii="Times New Roman" w:hAnsi="Times New Roman" w:eastAsia="Times New Roman"/>
                <w:sz w:val="17"/>
              </w:rPr>
              <w:t>7</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7 kullanım; düşük sıklık, toplu sorun değil.</w:t>
            </w:r>
          </w:p>
        </w:tc>
      </w:tr>
      <w:tr>
        <w:tc>
          <w:tcPr>
            <w:tcW w:type="dxa" w:w="1881"/>
            <w:tcMar>
              <w:top w:w="80" w:type="dxa"/>
              <w:start w:w="100" w:type="dxa"/>
              <w:bottom w:w="80" w:type="dxa"/>
              <w:end w:w="100" w:type="dxa"/>
            </w:tcMar>
          </w:tcPr>
          <w:p>
            <w:r>
              <w:rPr>
                <w:rFonts w:ascii="Times New Roman" w:hAnsi="Times New Roman" w:eastAsia="Times New Roman"/>
                <w:sz w:val="17"/>
              </w:rPr>
              <w:t>değil</w:t>
            </w:r>
          </w:p>
        </w:tc>
        <w:tc>
          <w:tcPr>
            <w:tcW w:type="dxa" w:w="1881"/>
            <w:tcMar>
              <w:top w:w="80" w:type="dxa"/>
              <w:start w:w="100" w:type="dxa"/>
              <w:bottom w:w="80" w:type="dxa"/>
              <w:end w:w="100" w:type="dxa"/>
            </w:tcMar>
          </w:tcPr>
          <w:p>
            <w:r>
              <w:rPr>
                <w:rFonts w:ascii="Times New Roman" w:hAnsi="Times New Roman" w:eastAsia="Times New Roman"/>
                <w:sz w:val="17"/>
              </w:rPr>
              <w:t>207</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207 dizi-eşleşmesi; her kullanım sorun değil, negatif tanım kümeleri özellikle Giriş, 2. bölüm ve 4. bölümde azaltılmalı.</w:t>
            </w:r>
          </w:p>
        </w:tc>
      </w:tr>
      <w:tr>
        <w:tc>
          <w:tcPr>
            <w:tcW w:type="dxa" w:w="1881"/>
            <w:tcMar>
              <w:top w:w="80" w:type="dxa"/>
              <w:start w:w="100" w:type="dxa"/>
              <w:bottom w:w="80" w:type="dxa"/>
              <w:end w:w="100" w:type="dxa"/>
            </w:tcMar>
          </w:tcPr>
          <w:p>
            <w:r>
              <w:rPr>
                <w:rFonts w:ascii="Times New Roman" w:hAnsi="Times New Roman" w:eastAsia="Times New Roman"/>
                <w:sz w:val="17"/>
              </w:rPr>
              <w:t>değildir</w:t>
            </w:r>
          </w:p>
        </w:tc>
        <w:tc>
          <w:tcPr>
            <w:tcW w:type="dxa" w:w="1881"/>
            <w:tcMar>
              <w:top w:w="80" w:type="dxa"/>
              <w:start w:w="100" w:type="dxa"/>
              <w:bottom w:w="80" w:type="dxa"/>
              <w:end w:w="100" w:type="dxa"/>
            </w:tcMar>
          </w:tcPr>
          <w:p>
            <w:r>
              <w:rPr>
                <w:rFonts w:ascii="Times New Roman" w:hAnsi="Times New Roman" w:eastAsia="Times New Roman"/>
                <w:sz w:val="17"/>
              </w:rPr>
              <w:t>62</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62 kullanım; tanım paragraflarında olumlu tanıma geçilebilecek yerler var.</w:t>
            </w:r>
          </w:p>
        </w:tc>
      </w:tr>
      <w:tr>
        <w:tc>
          <w:tcPr>
            <w:tcW w:type="dxa" w:w="1881"/>
            <w:tcMar>
              <w:top w:w="80" w:type="dxa"/>
              <w:start w:w="100" w:type="dxa"/>
              <w:bottom w:w="80" w:type="dxa"/>
              <w:end w:w="100" w:type="dxa"/>
            </w:tcMar>
          </w:tcPr>
          <w:p>
            <w:r>
              <w:rPr>
                <w:rFonts w:ascii="Times New Roman" w:hAnsi="Times New Roman" w:eastAsia="Times New Roman"/>
                <w:sz w:val="17"/>
              </w:rPr>
              <w:t>klasik</w:t>
            </w:r>
          </w:p>
        </w:tc>
        <w:tc>
          <w:tcPr>
            <w:tcW w:type="dxa" w:w="1881"/>
            <w:tcMar>
              <w:top w:w="80" w:type="dxa"/>
              <w:start w:w="100" w:type="dxa"/>
              <w:bottom w:w="80" w:type="dxa"/>
              <w:end w:w="100" w:type="dxa"/>
            </w:tcMar>
          </w:tcPr>
          <w:p>
            <w:r>
              <w:rPr>
                <w:rFonts w:ascii="Times New Roman" w:hAnsi="Times New Roman" w:eastAsia="Times New Roman"/>
                <w:sz w:val="17"/>
              </w:rPr>
              <w:t>44</w:t>
            </w:r>
          </w:p>
        </w:tc>
        <w:tc>
          <w:tcPr>
            <w:tcW w:type="dxa" w:w="1881"/>
            <w:tcMar>
              <w:top w:w="80" w:type="dxa"/>
              <w:start w:w="100" w:type="dxa"/>
              <w:bottom w:w="80" w:type="dxa"/>
              <w:end w:w="100" w:type="dxa"/>
            </w:tcMar>
          </w:tcPr>
          <w:p>
            <w:r>
              <w:rPr>
                <w:rFonts w:ascii="Times New Roman" w:hAnsi="Times New Roman" w:eastAsia="Times New Roman"/>
                <w:sz w:val="17"/>
              </w:rPr>
              <w:t>1</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44 kullanım; “klasik kaynaklar” yerine mümkün olduğunda kaynak grubu daha kesin adlandırılmalı.</w:t>
            </w:r>
          </w:p>
        </w:tc>
      </w:tr>
      <w:tr>
        <w:tc>
          <w:tcPr>
            <w:tcW w:type="dxa" w:w="1881"/>
            <w:tcMar>
              <w:top w:w="80" w:type="dxa"/>
              <w:start w:w="100" w:type="dxa"/>
              <w:bottom w:w="80" w:type="dxa"/>
              <w:end w:w="100" w:type="dxa"/>
            </w:tcMar>
          </w:tcPr>
          <w:p>
            <w:r>
              <w:rPr>
                <w:rFonts w:ascii="Times New Roman" w:hAnsi="Times New Roman" w:eastAsia="Times New Roman"/>
                <w:sz w:val="17"/>
              </w:rPr>
              <w:t>tarîk</w:t>
            </w:r>
          </w:p>
        </w:tc>
        <w:tc>
          <w:tcPr>
            <w:tcW w:type="dxa" w:w="1881"/>
            <w:tcMar>
              <w:top w:w="80" w:type="dxa"/>
              <w:start w:w="100" w:type="dxa"/>
              <w:bottom w:w="80" w:type="dxa"/>
              <w:end w:w="100" w:type="dxa"/>
            </w:tcMar>
          </w:tcPr>
          <w:p>
            <w:r>
              <w:rPr>
                <w:rFonts w:ascii="Times New Roman" w:hAnsi="Times New Roman" w:eastAsia="Times New Roman"/>
                <w:sz w:val="17"/>
              </w:rPr>
              <w:t>10</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10 kullanım; “tarik” kaçak kullanım tespit edilmedi.</w:t>
            </w:r>
          </w:p>
        </w:tc>
      </w:tr>
      <w:tr>
        <w:tc>
          <w:tcPr>
            <w:tcW w:type="dxa" w:w="1881"/>
            <w:tcMar>
              <w:top w:w="80" w:type="dxa"/>
              <w:start w:w="100" w:type="dxa"/>
              <w:bottom w:w="80" w:type="dxa"/>
              <w:end w:w="100" w:type="dxa"/>
            </w:tcMar>
          </w:tcPr>
          <w:p>
            <w:r>
              <w:rPr>
                <w:rFonts w:ascii="Times New Roman" w:hAnsi="Times New Roman" w:eastAsia="Times New Roman"/>
                <w:sz w:val="17"/>
              </w:rPr>
              <w:t>Kur’ân</w:t>
            </w:r>
          </w:p>
        </w:tc>
        <w:tc>
          <w:tcPr>
            <w:tcW w:type="dxa" w:w="1881"/>
            <w:tcMar>
              <w:top w:w="80" w:type="dxa"/>
              <w:start w:w="100" w:type="dxa"/>
              <w:bottom w:w="80" w:type="dxa"/>
              <w:end w:w="100" w:type="dxa"/>
            </w:tcMar>
          </w:tcPr>
          <w:p>
            <w:r>
              <w:rPr>
                <w:rFonts w:ascii="Times New Roman" w:hAnsi="Times New Roman" w:eastAsia="Times New Roman"/>
                <w:sz w:val="17"/>
              </w:rPr>
              <w:t>8</w:t>
            </w:r>
          </w:p>
        </w:tc>
        <w:tc>
          <w:tcPr>
            <w:tcW w:type="dxa" w:w="1881"/>
            <w:tcMar>
              <w:top w:w="80" w:type="dxa"/>
              <w:start w:w="100" w:type="dxa"/>
              <w:bottom w:w="80" w:type="dxa"/>
              <w:end w:w="100" w:type="dxa"/>
            </w:tcMar>
          </w:tcPr>
          <w:p>
            <w:r>
              <w:rPr>
                <w:rFonts w:ascii="Times New Roman" w:hAnsi="Times New Roman" w:eastAsia="Times New Roman"/>
                <w:sz w:val="17"/>
              </w:rPr>
              <w:t>0</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Ana metinde 8 kaçak kullanım kaldı; eser adı/doğrudan alıntı ise ayrı değerlendirilmelidir.</w:t>
            </w:r>
          </w:p>
        </w:tc>
      </w:tr>
      <w:tr>
        <w:tc>
          <w:tcPr>
            <w:tcW w:type="dxa" w:w="1881"/>
            <w:tcMar>
              <w:top w:w="80" w:type="dxa"/>
              <w:start w:w="100" w:type="dxa"/>
              <w:bottom w:w="80" w:type="dxa"/>
              <w:end w:w="100" w:type="dxa"/>
            </w:tcMar>
          </w:tcPr>
          <w:p>
            <w:r>
              <w:rPr>
                <w:rFonts w:ascii="Times New Roman" w:hAnsi="Times New Roman" w:eastAsia="Times New Roman"/>
                <w:sz w:val="17"/>
              </w:rPr>
              <w:t>Kur’an</w:t>
            </w:r>
          </w:p>
        </w:tc>
        <w:tc>
          <w:tcPr>
            <w:tcW w:type="dxa" w:w="1881"/>
            <w:tcMar>
              <w:top w:w="80" w:type="dxa"/>
              <w:start w:w="100" w:type="dxa"/>
              <w:bottom w:w="80" w:type="dxa"/>
              <w:end w:w="100" w:type="dxa"/>
            </w:tcMar>
          </w:tcPr>
          <w:p>
            <w:r>
              <w:rPr>
                <w:rFonts w:ascii="Times New Roman" w:hAnsi="Times New Roman" w:eastAsia="Times New Roman"/>
                <w:sz w:val="17"/>
              </w:rPr>
              <w:t>264</w:t>
            </w:r>
          </w:p>
        </w:tc>
        <w:tc>
          <w:tcPr>
            <w:tcW w:type="dxa" w:w="1881"/>
            <w:tcMar>
              <w:top w:w="80" w:type="dxa"/>
              <w:start w:w="100" w:type="dxa"/>
              <w:bottom w:w="80" w:type="dxa"/>
              <w:end w:w="100" w:type="dxa"/>
            </w:tcMar>
          </w:tcPr>
          <w:p>
            <w:r>
              <w:rPr>
                <w:rFonts w:ascii="Times New Roman" w:hAnsi="Times New Roman" w:eastAsia="Times New Roman"/>
                <w:sz w:val="17"/>
              </w:rPr>
              <w:t>12</w:t>
            </w:r>
          </w:p>
        </w:tc>
        <w:tc>
          <w:tcPr>
            <w:tcW w:type="dxa" w:w="1881"/>
            <w:tcMar>
              <w:top w:w="80" w:type="dxa"/>
              <w:start w:w="100" w:type="dxa"/>
              <w:bottom w:w="80" w:type="dxa"/>
              <w:end w:w="100" w:type="dxa"/>
            </w:tcMar>
          </w:tcPr>
          <w:p>
            <w:r>
              <w:rPr>
                <w:rFonts w:ascii="Times New Roman" w:hAnsi="Times New Roman" w:eastAsia="Times New Roman"/>
                <w:sz w:val="17"/>
              </w:rPr>
              <w:t>Bağlama göre</w:t>
            </w:r>
          </w:p>
        </w:tc>
        <w:tc>
          <w:tcPr>
            <w:tcW w:type="dxa" w:w="1881"/>
            <w:tcMar>
              <w:top w:w="80" w:type="dxa"/>
              <w:start w:w="100" w:type="dxa"/>
              <w:bottom w:w="80" w:type="dxa"/>
              <w:end w:w="100" w:type="dxa"/>
            </w:tcMar>
          </w:tcPr>
          <w:p>
            <w:r>
              <w:rPr>
                <w:rFonts w:ascii="Times New Roman" w:hAnsi="Times New Roman" w:eastAsia="Times New Roman"/>
                <w:sz w:val="17"/>
              </w:rPr>
              <w:t>264 kullanım; proje tercihinin baskın biçimi.</w:t>
            </w:r>
          </w:p>
        </w:tc>
      </w:tr>
    </w:tbl>
    <w:p>
      <w:r>
        <w:t>Not: “maktadır” ve “mektedir” dizileri gövde metninde sırasıyla 267 ve 415 kez geçmektedir. Bu sayım morfolojik bir dizi sayımıdır; her örneği ayrı bir ek veya hata kabul etmek doğru değildir. Asıl sorun aynı paragrafta art arda edilgen ve soyut yüklemler oluşturmasıdır.</w:t>
      </w:r>
    </w:p>
    <w:p>
      <w:pPr>
        <w:pStyle w:val="Heading2"/>
        <w:keepNext/>
      </w:pPr>
      <w:r>
        <w:t>14. Paragraf Açılış ve Kapanışlarındaki Tekrarlar</w:t>
      </w:r>
    </w:p>
    <w:p>
      <w:r>
        <w:t>Açılışlarda en belirgin örüntü, bağlayıcı sözcüklerin düşünce ilişkisini açıklamak yerine paragrafı mekanik biçimde başlatmasıdır. “Bu çerçevede” 10 paragrafı, “Nitekim” 11 paragrafı, “Bu noktada” 4 paragrafı doğrudan başlatmaktadır. Bu sayılar tek başına hata değildir; ancak özellikle 3. ve 4. bölümlerde ardışık paragrafların aynı retorik ritme girmesine yol açmaktadır.</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AF7"/>
          </w:tcPr>
          <w:p>
            <w:r>
              <w:rPr>
                <w:rFonts w:ascii="Times New Roman" w:hAnsi="Times New Roman" w:eastAsia="Times New Roman"/>
                <w:sz w:val="17"/>
              </w:rPr>
              <w:t>Paragraf sonu kalıbı</w:t>
            </w:r>
          </w:p>
        </w:tc>
        <w:tc>
          <w:tcPr>
            <w:tcW w:type="dxa" w:w="3135"/>
            <w:shd w:fill="D9EAF7"/>
          </w:tcPr>
          <w:p>
            <w:r>
              <w:rPr>
                <w:rFonts w:ascii="Times New Roman" w:hAnsi="Times New Roman" w:eastAsia="Times New Roman"/>
                <w:sz w:val="17"/>
              </w:rPr>
              <w:t>Yaklaşık/tespit edilen sayı</w:t>
            </w:r>
          </w:p>
        </w:tc>
        <w:tc>
          <w:tcPr>
            <w:tcW w:type="dxa" w:w="3135"/>
            <w:shd w:fill="D9EAF7"/>
          </w:tcPr>
          <w:p>
            <w:r>
              <w:rPr>
                <w:rFonts w:ascii="Times New Roman" w:hAnsi="Times New Roman" w:eastAsia="Times New Roman"/>
                <w:sz w:val="17"/>
              </w:rPr>
              <w:t>Editoryal karar</w:t>
            </w:r>
          </w:p>
        </w:tc>
      </w:tr>
      <w:tr>
        <w:tc>
          <w:tcPr>
            <w:tcW w:type="dxa" w:w="3135"/>
            <w:tcMar>
              <w:top w:w="80" w:type="dxa"/>
              <w:start w:w="100" w:type="dxa"/>
              <w:bottom w:w="80" w:type="dxa"/>
              <w:end w:w="100" w:type="dxa"/>
            </w:tcMar>
          </w:tcPr>
          <w:p>
            <w:r>
              <w:rPr>
                <w:rFonts w:ascii="Times New Roman" w:hAnsi="Times New Roman" w:eastAsia="Times New Roman"/>
                <w:sz w:val="17"/>
              </w:rPr>
              <w:t>göstermektedir.</w:t>
            </w:r>
          </w:p>
        </w:tc>
        <w:tc>
          <w:tcPr>
            <w:tcW w:type="dxa" w:w="3135"/>
            <w:tcMar>
              <w:top w:w="80" w:type="dxa"/>
              <w:start w:w="100" w:type="dxa"/>
              <w:bottom w:w="80" w:type="dxa"/>
              <w:end w:w="100" w:type="dxa"/>
            </w:tcMar>
          </w:tcPr>
          <w:p>
            <w:r>
              <w:rPr>
                <w:rFonts w:ascii="Times New Roman" w:hAnsi="Times New Roman" w:eastAsia="Times New Roman"/>
                <w:sz w:val="17"/>
              </w:rPr>
              <w:t>33</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r>
        <w:tc>
          <w:tcPr>
            <w:tcW w:type="dxa" w:w="3135"/>
            <w:tcMar>
              <w:top w:w="80" w:type="dxa"/>
              <w:start w:w="100" w:type="dxa"/>
              <w:bottom w:w="80" w:type="dxa"/>
              <w:end w:w="100" w:type="dxa"/>
            </w:tcMar>
          </w:tcPr>
          <w:p>
            <w:r>
              <w:rPr>
                <w:rFonts w:ascii="Times New Roman" w:hAnsi="Times New Roman" w:eastAsia="Times New Roman"/>
                <w:sz w:val="17"/>
              </w:rPr>
              <w:t>ortaya koymaktadır.</w:t>
            </w:r>
          </w:p>
        </w:tc>
        <w:tc>
          <w:tcPr>
            <w:tcW w:type="dxa" w:w="3135"/>
            <w:tcMar>
              <w:top w:w="80" w:type="dxa"/>
              <w:start w:w="100" w:type="dxa"/>
              <w:bottom w:w="80" w:type="dxa"/>
              <w:end w:w="100" w:type="dxa"/>
            </w:tcMar>
          </w:tcPr>
          <w:p>
            <w:r>
              <w:rPr>
                <w:rFonts w:ascii="Times New Roman" w:hAnsi="Times New Roman" w:eastAsia="Times New Roman"/>
                <w:sz w:val="17"/>
              </w:rPr>
              <w:t>11</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r>
        <w:tc>
          <w:tcPr>
            <w:tcW w:type="dxa" w:w="3135"/>
            <w:tcMar>
              <w:top w:w="80" w:type="dxa"/>
              <w:start w:w="100" w:type="dxa"/>
              <w:bottom w:w="80" w:type="dxa"/>
              <w:end w:w="100" w:type="dxa"/>
            </w:tcMar>
          </w:tcPr>
          <w:p>
            <w:r>
              <w:rPr>
                <w:rFonts w:ascii="Times New Roman" w:hAnsi="Times New Roman" w:eastAsia="Times New Roman"/>
                <w:sz w:val="17"/>
              </w:rPr>
              <w:t>anlaşılmaktadır.</w:t>
            </w:r>
          </w:p>
        </w:tc>
        <w:tc>
          <w:tcPr>
            <w:tcW w:type="dxa" w:w="3135"/>
            <w:tcMar>
              <w:top w:w="80" w:type="dxa"/>
              <w:start w:w="100" w:type="dxa"/>
              <w:bottom w:w="80" w:type="dxa"/>
              <w:end w:w="100" w:type="dxa"/>
            </w:tcMar>
          </w:tcPr>
          <w:p>
            <w:r>
              <w:rPr>
                <w:rFonts w:ascii="Times New Roman" w:hAnsi="Times New Roman" w:eastAsia="Times New Roman"/>
                <w:sz w:val="17"/>
              </w:rPr>
              <w:t>8</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r>
        <w:tc>
          <w:tcPr>
            <w:tcW w:type="dxa" w:w="3135"/>
            <w:tcMar>
              <w:top w:w="80" w:type="dxa"/>
              <w:start w:w="100" w:type="dxa"/>
              <w:bottom w:w="80" w:type="dxa"/>
              <w:end w:w="100" w:type="dxa"/>
            </w:tcMar>
          </w:tcPr>
          <w:p>
            <w:r>
              <w:rPr>
                <w:rFonts w:ascii="Times New Roman" w:hAnsi="Times New Roman" w:eastAsia="Times New Roman"/>
                <w:sz w:val="17"/>
              </w:rPr>
              <w:t>görülmektedir.</w:t>
            </w:r>
          </w:p>
        </w:tc>
        <w:tc>
          <w:tcPr>
            <w:tcW w:type="dxa" w:w="3135"/>
            <w:tcMar>
              <w:top w:w="80" w:type="dxa"/>
              <w:start w:w="100" w:type="dxa"/>
              <w:bottom w:w="80" w:type="dxa"/>
              <w:end w:w="100" w:type="dxa"/>
            </w:tcMar>
          </w:tcPr>
          <w:p>
            <w:r>
              <w:rPr>
                <w:rFonts w:ascii="Times New Roman" w:hAnsi="Times New Roman" w:eastAsia="Times New Roman"/>
                <w:sz w:val="17"/>
              </w:rPr>
              <w:t>5</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r>
        <w:tc>
          <w:tcPr>
            <w:tcW w:type="dxa" w:w="3135"/>
            <w:tcMar>
              <w:top w:w="80" w:type="dxa"/>
              <w:start w:w="100" w:type="dxa"/>
              <w:bottom w:w="80" w:type="dxa"/>
              <w:end w:w="100" w:type="dxa"/>
            </w:tcMar>
          </w:tcPr>
          <w:p>
            <w:r>
              <w:rPr>
                <w:rFonts w:ascii="Times New Roman" w:hAnsi="Times New Roman" w:eastAsia="Times New Roman"/>
                <w:sz w:val="17"/>
              </w:rPr>
              <w:t>değerlendirilmektedir.</w:t>
            </w:r>
          </w:p>
        </w:tc>
        <w:tc>
          <w:tcPr>
            <w:tcW w:type="dxa" w:w="3135"/>
            <w:tcMar>
              <w:top w:w="80" w:type="dxa"/>
              <w:start w:w="100" w:type="dxa"/>
              <w:bottom w:w="80" w:type="dxa"/>
              <w:end w:w="100" w:type="dxa"/>
            </w:tcMar>
          </w:tcPr>
          <w:p>
            <w:r>
              <w:rPr>
                <w:rFonts w:ascii="Times New Roman" w:hAnsi="Times New Roman" w:eastAsia="Times New Roman"/>
                <w:sz w:val="17"/>
              </w:rPr>
              <w:t>4</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r>
        <w:tc>
          <w:tcPr>
            <w:tcW w:type="dxa" w:w="3135"/>
            <w:tcMar>
              <w:top w:w="80" w:type="dxa"/>
              <w:start w:w="100" w:type="dxa"/>
              <w:bottom w:w="80" w:type="dxa"/>
              <w:end w:w="100" w:type="dxa"/>
            </w:tcMar>
          </w:tcPr>
          <w:p>
            <w:r>
              <w:rPr>
                <w:rFonts w:ascii="Times New Roman" w:hAnsi="Times New Roman" w:eastAsia="Times New Roman"/>
                <w:sz w:val="17"/>
              </w:rPr>
              <w:t>önem taşımaktadır.</w:t>
            </w:r>
          </w:p>
        </w:tc>
        <w:tc>
          <w:tcPr>
            <w:tcW w:type="dxa" w:w="3135"/>
            <w:tcMar>
              <w:top w:w="80" w:type="dxa"/>
              <w:start w:w="100" w:type="dxa"/>
              <w:bottom w:w="80" w:type="dxa"/>
              <w:end w:w="100" w:type="dxa"/>
            </w:tcMar>
          </w:tcPr>
          <w:p>
            <w:r>
              <w:rPr>
                <w:rFonts w:ascii="Times New Roman" w:hAnsi="Times New Roman" w:eastAsia="Times New Roman"/>
                <w:sz w:val="17"/>
              </w:rPr>
              <w:t>2</w:t>
            </w:r>
          </w:p>
        </w:tc>
        <w:tc>
          <w:tcPr>
            <w:tcW w:type="dxa" w:w="3135"/>
            <w:tcMar>
              <w:top w:w="80" w:type="dxa"/>
              <w:start w:w="100" w:type="dxa"/>
              <w:bottom w:w="80" w:type="dxa"/>
              <w:end w:w="100" w:type="dxa"/>
            </w:tcMar>
          </w:tcPr>
          <w:p>
            <w:r>
              <w:rPr>
                <w:rFonts w:ascii="Times New Roman" w:hAnsi="Times New Roman" w:eastAsia="Times New Roman"/>
                <w:sz w:val="17"/>
              </w:rPr>
              <w:t>Toplu değişiklik yapma; aynı alt başlıkta birkaç kez ardışık geliyorsa son cümlelerden birini sil, somut özne kullan veya çıkarımı kaynağa nispet et.</w:t>
            </w:r>
          </w:p>
        </w:tc>
      </w:tr>
    </w:tbl>
    <w:p>
      <w:r>
        <w:t>Özellikle 1.7, 1.9.2, 1.10, 2.4, 3.4–3.12 ve 4.1–4.7’de “örnek + bu durum ... göstermektedir” şablonu bir paragraf kurma alışkanlığı hâline gelmiştir. En doğal çözüm eş anlamlı fiil aramak değil, bazı sonuç cümlelerini tamamen kaldırmak ve örneğin kendi analitik işlevini önceki cümle içinde göstermek olacaktır.</w:t>
      </w:r>
    </w:p>
    <w:p>
      <w:pPr>
        <w:pStyle w:val="Heading2"/>
        <w:keepNext/>
      </w:pPr>
      <w:r>
        <w:t>15. Bölümler Arası Tekrar ve Akış Sorunları</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F5597"/>
          </w:tcPr>
          <w:p>
            <w:r>
              <w:rPr>
                <w:rFonts w:ascii="Times New Roman" w:hAnsi="Times New Roman" w:eastAsia="Times New Roman"/>
                <w:sz w:val="17"/>
              </w:rPr>
              <w:t>Tekrarlanan tema</w:t>
            </w:r>
          </w:p>
        </w:tc>
        <w:tc>
          <w:tcPr>
            <w:tcW w:type="dxa" w:w="3135"/>
            <w:shd w:fill="2F5597"/>
          </w:tcPr>
          <w:p>
            <w:r>
              <w:rPr>
                <w:rFonts w:ascii="Times New Roman" w:hAnsi="Times New Roman" w:eastAsia="Times New Roman"/>
                <w:sz w:val="17"/>
              </w:rPr>
              <w:t>Yerler</w:t>
            </w:r>
          </w:p>
        </w:tc>
        <w:tc>
          <w:tcPr>
            <w:tcW w:type="dxa" w:w="3135"/>
            <w:shd w:fill="2F5597"/>
          </w:tcPr>
          <w:p>
            <w:r>
              <w:rPr>
                <w:rFonts w:ascii="Times New Roman" w:hAnsi="Times New Roman" w:eastAsia="Times New Roman"/>
                <w:sz w:val="17"/>
              </w:rPr>
              <w:t>Asıl yer / çözüm</w:t>
            </w:r>
          </w:p>
        </w:tc>
      </w:tr>
      <w:tr>
        <w:tc>
          <w:tcPr>
            <w:tcW w:type="dxa" w:w="3135"/>
            <w:tcMar>
              <w:top w:w="80" w:type="dxa"/>
              <w:start w:w="100" w:type="dxa"/>
              <w:bottom w:w="80" w:type="dxa"/>
              <w:end w:w="100" w:type="dxa"/>
            </w:tcMar>
          </w:tcPr>
          <w:p>
            <w:r>
              <w:rPr>
                <w:rFonts w:ascii="Times New Roman" w:hAnsi="Times New Roman" w:eastAsia="Times New Roman"/>
                <w:sz w:val="17"/>
              </w:rPr>
              <w:t>Yazı–söz tamamlayıcılığı</w:t>
            </w:r>
          </w:p>
        </w:tc>
        <w:tc>
          <w:tcPr>
            <w:tcW w:type="dxa" w:w="3135"/>
            <w:tcMar>
              <w:top w:w="80" w:type="dxa"/>
              <w:start w:w="100" w:type="dxa"/>
              <w:bottom w:w="80" w:type="dxa"/>
              <w:end w:w="100" w:type="dxa"/>
            </w:tcMar>
          </w:tcPr>
          <w:p>
            <w:r>
              <w:rPr>
                <w:rFonts w:ascii="Times New Roman" w:hAnsi="Times New Roman" w:eastAsia="Times New Roman"/>
                <w:sz w:val="17"/>
              </w:rPr>
              <w:t>Önsöz, Giriş, 1.2, 2.1–2.2, 3.10, 4.1, Sonuç</w:t>
            </w:r>
          </w:p>
        </w:tc>
        <w:tc>
          <w:tcPr>
            <w:tcW w:type="dxa" w:w="3135"/>
            <w:tcMar>
              <w:top w:w="80" w:type="dxa"/>
              <w:start w:w="100" w:type="dxa"/>
              <w:bottom w:w="80" w:type="dxa"/>
              <w:end w:w="100" w:type="dxa"/>
            </w:tcMar>
          </w:tcPr>
          <w:p>
            <w:r>
              <w:rPr>
                <w:rFonts w:ascii="Times New Roman" w:hAnsi="Times New Roman" w:eastAsia="Times New Roman"/>
                <w:sz w:val="17"/>
              </w:rPr>
              <w:t>Ana tez bir kez güçlü kurulmalı; sonraki bölümlerde yalnız o bölümün özgül sonucu kadar hatırlatılmalı.</w:t>
            </w:r>
          </w:p>
        </w:tc>
      </w:tr>
      <w:tr>
        <w:tc>
          <w:tcPr>
            <w:tcW w:type="dxa" w:w="3135"/>
            <w:tcMar>
              <w:top w:w="80" w:type="dxa"/>
              <w:start w:w="100" w:type="dxa"/>
              <w:bottom w:w="80" w:type="dxa"/>
              <w:end w:w="100" w:type="dxa"/>
            </w:tcMar>
          </w:tcPr>
          <w:p>
            <w:r>
              <w:rPr>
                <w:rFonts w:ascii="Times New Roman" w:hAnsi="Times New Roman" w:eastAsia="Times New Roman"/>
                <w:sz w:val="17"/>
              </w:rPr>
              <w:t>Yedi harf – Osmânî istinsah ilişkisi</w:t>
            </w:r>
          </w:p>
        </w:tc>
        <w:tc>
          <w:tcPr>
            <w:tcW w:type="dxa" w:w="3135"/>
            <w:tcMar>
              <w:top w:w="80" w:type="dxa"/>
              <w:start w:w="100" w:type="dxa"/>
              <w:bottom w:w="80" w:type="dxa"/>
              <w:end w:w="100" w:type="dxa"/>
            </w:tcMar>
          </w:tcPr>
          <w:p>
            <w:r>
              <w:rPr>
                <w:rFonts w:ascii="Times New Roman" w:hAnsi="Times New Roman" w:eastAsia="Times New Roman"/>
                <w:sz w:val="17"/>
              </w:rPr>
              <w:t>Giriş, 1.3, 1.4, 2.3, Sonuç</w:t>
            </w:r>
          </w:p>
        </w:tc>
        <w:tc>
          <w:tcPr>
            <w:tcW w:type="dxa" w:w="3135"/>
            <w:tcMar>
              <w:top w:w="80" w:type="dxa"/>
              <w:start w:w="100" w:type="dxa"/>
              <w:bottom w:w="80" w:type="dxa"/>
              <w:end w:w="100" w:type="dxa"/>
            </w:tcMar>
          </w:tcPr>
          <w:p>
            <w:r>
              <w:rPr>
                <w:rFonts w:ascii="Times New Roman" w:hAnsi="Times New Roman" w:eastAsia="Times New Roman"/>
                <w:sz w:val="17"/>
              </w:rPr>
              <w:t>Tarihsel anlatının asıl yeri 1.4; teorik görüş ayrımının asıl yeri 2.3 olmalı. Giriş ve Sonuçta kısa çerçeve yeterli.</w:t>
            </w:r>
          </w:p>
        </w:tc>
      </w:tr>
      <w:tr>
        <w:tc>
          <w:tcPr>
            <w:tcW w:type="dxa" w:w="3135"/>
            <w:tcMar>
              <w:top w:w="80" w:type="dxa"/>
              <w:start w:w="100" w:type="dxa"/>
              <w:bottom w:w="80" w:type="dxa"/>
              <w:end w:w="100" w:type="dxa"/>
            </w:tcMar>
          </w:tcPr>
          <w:p>
            <w:r>
              <w:rPr>
                <w:rFonts w:ascii="Times New Roman" w:hAnsi="Times New Roman" w:eastAsia="Times New Roman"/>
                <w:sz w:val="17"/>
              </w:rPr>
              <w:t>Resm kabul ölçüsüdür, kaynak değildir</w:t>
            </w:r>
          </w:p>
        </w:tc>
        <w:tc>
          <w:tcPr>
            <w:tcW w:type="dxa" w:w="3135"/>
            <w:tcMar>
              <w:top w:w="80" w:type="dxa"/>
              <w:start w:w="100" w:type="dxa"/>
              <w:bottom w:w="80" w:type="dxa"/>
              <w:end w:w="100" w:type="dxa"/>
            </w:tcMar>
          </w:tcPr>
          <w:p>
            <w:r>
              <w:rPr>
                <w:rFonts w:ascii="Times New Roman" w:hAnsi="Times New Roman" w:eastAsia="Times New Roman"/>
                <w:sz w:val="17"/>
              </w:rPr>
              <w:t>Giriş, 1.10, 2.4, 4.1, 4.3, Sonuç</w:t>
            </w:r>
          </w:p>
        </w:tc>
        <w:tc>
          <w:tcPr>
            <w:tcW w:type="dxa" w:w="3135"/>
            <w:tcMar>
              <w:top w:w="80" w:type="dxa"/>
              <w:start w:w="100" w:type="dxa"/>
              <w:bottom w:w="80" w:type="dxa"/>
              <w:end w:w="100" w:type="dxa"/>
            </w:tcMar>
          </w:tcPr>
          <w:p>
            <w:r>
              <w:rPr>
                <w:rFonts w:ascii="Times New Roman" w:hAnsi="Times New Roman" w:eastAsia="Times New Roman"/>
                <w:sz w:val="17"/>
              </w:rPr>
              <w:t>Giriş ve 4.1’de açık formül; diğer yerlerde yeniden tanımlamak yerine somut uygulamaya geç.</w:t>
            </w:r>
          </w:p>
        </w:tc>
      </w:tr>
      <w:tr>
        <w:tc>
          <w:tcPr>
            <w:tcW w:type="dxa" w:w="3135"/>
            <w:tcMar>
              <w:top w:w="80" w:type="dxa"/>
              <w:start w:w="100" w:type="dxa"/>
              <w:bottom w:w="80" w:type="dxa"/>
              <w:end w:w="100" w:type="dxa"/>
            </w:tcMar>
          </w:tcPr>
          <w:p>
            <w:r>
              <w:rPr>
                <w:rFonts w:ascii="Times New Roman" w:hAnsi="Times New Roman" w:eastAsia="Times New Roman"/>
                <w:sz w:val="17"/>
              </w:rPr>
              <w:t>Sahâbe mushaflarının tarihsel değeri / normatif sınırı</w:t>
            </w:r>
          </w:p>
        </w:tc>
        <w:tc>
          <w:tcPr>
            <w:tcW w:type="dxa" w:w="3135"/>
            <w:tcMar>
              <w:top w:w="80" w:type="dxa"/>
              <w:start w:w="100" w:type="dxa"/>
              <w:bottom w:w="80" w:type="dxa"/>
              <w:end w:w="100" w:type="dxa"/>
            </w:tcMar>
          </w:tcPr>
          <w:p>
            <w:r>
              <w:rPr>
                <w:rFonts w:ascii="Times New Roman" w:hAnsi="Times New Roman" w:eastAsia="Times New Roman"/>
                <w:sz w:val="17"/>
              </w:rPr>
              <w:t>1.4, 4.2, Sonuç</w:t>
            </w:r>
          </w:p>
        </w:tc>
        <w:tc>
          <w:tcPr>
            <w:tcW w:type="dxa" w:w="3135"/>
            <w:tcMar>
              <w:top w:w="80" w:type="dxa"/>
              <w:start w:w="100" w:type="dxa"/>
              <w:bottom w:w="80" w:type="dxa"/>
              <w:end w:w="100" w:type="dxa"/>
            </w:tcMar>
          </w:tcPr>
          <w:p>
            <w:r>
              <w:rPr>
                <w:rFonts w:ascii="Times New Roman" w:hAnsi="Times New Roman" w:eastAsia="Times New Roman"/>
                <w:sz w:val="17"/>
              </w:rPr>
              <w:t>1.4 tarihsel süreç; 4.2 analitik değerlendirme; Sonuç tek paragraf. 4.2 içinde aynı ayrımı her örnekten sonra tekrarlama.</w:t>
            </w:r>
          </w:p>
        </w:tc>
      </w:tr>
      <w:tr>
        <w:tc>
          <w:tcPr>
            <w:tcW w:type="dxa" w:w="3135"/>
            <w:tcMar>
              <w:top w:w="80" w:type="dxa"/>
              <w:start w:w="100" w:type="dxa"/>
              <w:bottom w:w="80" w:type="dxa"/>
              <w:end w:w="100" w:type="dxa"/>
            </w:tcMar>
          </w:tcPr>
          <w:p>
            <w:r>
              <w:rPr>
                <w:rFonts w:ascii="Times New Roman" w:hAnsi="Times New Roman" w:eastAsia="Times New Roman"/>
                <w:sz w:val="17"/>
              </w:rPr>
              <w:t>Resme bağlılığın gerekçeleri</w:t>
            </w:r>
          </w:p>
        </w:tc>
        <w:tc>
          <w:tcPr>
            <w:tcW w:type="dxa" w:w="3135"/>
            <w:tcMar>
              <w:top w:w="80" w:type="dxa"/>
              <w:start w:w="100" w:type="dxa"/>
              <w:bottom w:w="80" w:type="dxa"/>
              <w:end w:w="100" w:type="dxa"/>
            </w:tcMar>
          </w:tcPr>
          <w:p>
            <w:r>
              <w:rPr>
                <w:rFonts w:ascii="Times New Roman" w:hAnsi="Times New Roman" w:eastAsia="Times New Roman"/>
                <w:sz w:val="17"/>
              </w:rPr>
              <w:t>1.8, 3.6–3.12, 4.6</w:t>
            </w:r>
          </w:p>
        </w:tc>
        <w:tc>
          <w:tcPr>
            <w:tcW w:type="dxa" w:w="3135"/>
            <w:tcMar>
              <w:top w:w="80" w:type="dxa"/>
              <w:start w:w="100" w:type="dxa"/>
              <w:bottom w:w="80" w:type="dxa"/>
              <w:end w:w="100" w:type="dxa"/>
            </w:tcMar>
          </w:tcPr>
          <w:p>
            <w:r>
              <w:rPr>
                <w:rFonts w:ascii="Times New Roman" w:hAnsi="Times New Roman" w:eastAsia="Times New Roman"/>
                <w:sz w:val="17"/>
              </w:rPr>
              <w:t>1.8 tevkîfîlik; 3.6 normatif/yorum düzeyleri; 3.7–3.12 pratik gerekçeler; 4.6 modern neşir. Başlıkların işlevini bu şekilde ayır.</w:t>
            </w:r>
          </w:p>
        </w:tc>
      </w:tr>
      <w:tr>
        <w:tc>
          <w:tcPr>
            <w:tcW w:type="dxa" w:w="3135"/>
            <w:tcMar>
              <w:top w:w="80" w:type="dxa"/>
              <w:start w:w="100" w:type="dxa"/>
              <w:bottom w:w="80" w:type="dxa"/>
              <w:end w:w="100" w:type="dxa"/>
            </w:tcMar>
          </w:tcPr>
          <w:p>
            <w:r>
              <w:rPr>
                <w:rFonts w:ascii="Times New Roman" w:hAnsi="Times New Roman" w:eastAsia="Times New Roman"/>
                <w:sz w:val="17"/>
              </w:rPr>
              <w:t>Klasik resm kaynakları → modern neşir</w:t>
            </w:r>
          </w:p>
        </w:tc>
        <w:tc>
          <w:tcPr>
            <w:tcW w:type="dxa" w:w="3135"/>
            <w:tcMar>
              <w:top w:w="80" w:type="dxa"/>
              <w:start w:w="100" w:type="dxa"/>
              <w:bottom w:w="80" w:type="dxa"/>
              <w:end w:w="100" w:type="dxa"/>
            </w:tcMar>
          </w:tcPr>
          <w:p>
            <w:r>
              <w:rPr>
                <w:rFonts w:ascii="Times New Roman" w:hAnsi="Times New Roman" w:eastAsia="Times New Roman"/>
                <w:sz w:val="17"/>
              </w:rPr>
              <w:t>3.11–3.12, 4.6–4.7</w:t>
            </w:r>
          </w:p>
        </w:tc>
        <w:tc>
          <w:tcPr>
            <w:tcW w:type="dxa" w:w="3135"/>
            <w:tcMar>
              <w:top w:w="80" w:type="dxa"/>
              <w:start w:w="100" w:type="dxa"/>
              <w:bottom w:w="80" w:type="dxa"/>
              <w:end w:w="100" w:type="dxa"/>
            </w:tcMar>
          </w:tcPr>
          <w:p>
            <w:r>
              <w:rPr>
                <w:rFonts w:ascii="Times New Roman" w:hAnsi="Times New Roman" w:eastAsia="Times New Roman"/>
                <w:sz w:val="17"/>
              </w:rPr>
              <w:t>Modern neşir ayrıntısını 4.6–4.7’de tut; 3. bölümde yalnız gerekçenin kavramsal yönü kalsın.</w:t>
            </w:r>
          </w:p>
        </w:tc>
      </w:tr>
      <w:tr>
        <w:tc>
          <w:tcPr>
            <w:tcW w:type="dxa" w:w="3135"/>
            <w:tcMar>
              <w:top w:w="80" w:type="dxa"/>
              <w:start w:w="100" w:type="dxa"/>
              <w:bottom w:w="80" w:type="dxa"/>
              <w:end w:w="100" w:type="dxa"/>
            </w:tcMar>
          </w:tcPr>
          <w:p>
            <w:r>
              <w:rPr>
                <w:rFonts w:ascii="Times New Roman" w:hAnsi="Times New Roman" w:eastAsia="Times New Roman"/>
                <w:sz w:val="17"/>
              </w:rPr>
              <w:t>Ümmet birliği</w:t>
            </w:r>
          </w:p>
        </w:tc>
        <w:tc>
          <w:tcPr>
            <w:tcW w:type="dxa" w:w="3135"/>
            <w:tcMar>
              <w:top w:w="80" w:type="dxa"/>
              <w:start w:w="100" w:type="dxa"/>
              <w:bottom w:w="80" w:type="dxa"/>
              <w:end w:w="100" w:type="dxa"/>
            </w:tcMar>
          </w:tcPr>
          <w:p>
            <w:r>
              <w:rPr>
                <w:rFonts w:ascii="Times New Roman" w:hAnsi="Times New Roman" w:eastAsia="Times New Roman"/>
                <w:sz w:val="17"/>
              </w:rPr>
              <w:t>1.4, 2.4, 3.12, 4.2, Sonuç</w:t>
            </w:r>
          </w:p>
        </w:tc>
        <w:tc>
          <w:tcPr>
            <w:tcW w:type="dxa" w:w="3135"/>
            <w:tcMar>
              <w:top w:w="80" w:type="dxa"/>
              <w:start w:w="100" w:type="dxa"/>
              <w:bottom w:w="80" w:type="dxa"/>
              <w:end w:w="100" w:type="dxa"/>
            </w:tcMar>
          </w:tcPr>
          <w:p>
            <w:r>
              <w:rPr>
                <w:rFonts w:ascii="Times New Roman" w:hAnsi="Times New Roman" w:eastAsia="Times New Roman"/>
                <w:sz w:val="17"/>
              </w:rPr>
              <w:t>Her yerde aynı normatif slogan gibi kullanılmamalı. 1.4 tarihsel ihtilaf, 3.12 yorum/işlev, 4.2 mushaf otoritesi bağlamında sınırlandırılmalı.</w:t>
            </w:r>
          </w:p>
        </w:tc>
      </w:tr>
    </w:tbl>
    <w:p>
      <w:pPr>
        <w:pStyle w:val="Heading2"/>
        <w:keepNext/>
      </w:pPr>
      <w:r>
        <w:t>16. Önceki Kapsamlı Raporda Bulunmayan Yeni Akış, Geçiş ve Üslup Sorunları</w:t>
      </w:r>
    </w:p>
    <w:p>
      <w:pPr>
        <w:pStyle w:val="ListBullet"/>
      </w:pPr>
      <w:r>
        <w:t>Girişte Dördüncü Bölüm ön izlemesinin yöntem ve kaynak paragraflarından önce gelmesi ve bölüm planının iki kez kurulması.</w:t>
      </w:r>
    </w:p>
    <w:p>
      <w:pPr>
        <w:pStyle w:val="ListBullet"/>
      </w:pPr>
      <w:r>
        <w:t>1.1’de ilk sentez ve İslâm dönemine geçişten sonra yeniden İslâm öncesi kanıtlara dönülmesi.</w:t>
      </w:r>
    </w:p>
    <w:p>
      <w:pPr>
        <w:pStyle w:val="ListBullet"/>
      </w:pPr>
      <w:r>
        <w:t>1.2’de somut rivâyetlerden önce üç genel çerçeve paragrafının art arda gelmesi.</w:t>
      </w:r>
    </w:p>
    <w:p>
      <w:pPr>
        <w:pStyle w:val="ListBullet"/>
      </w:pPr>
      <w:r>
        <w:t>1.3’ün yedi harf/arza-i âhire tartışmasıyla 1.4 ve 2.3’ün alanına taşması.</w:t>
      </w:r>
    </w:p>
    <w:p>
      <w:pPr>
        <w:pStyle w:val="ListBullet"/>
      </w:pPr>
      <w:r>
        <w:t>1.4’te istinsah gerekçeleri anlatıldıktan sonra aynı gerekçelerin “asıl üzerinde durulması gereken” diye yeniden başlatılması.</w:t>
      </w:r>
    </w:p>
    <w:p>
      <w:pPr>
        <w:pStyle w:val="ListBullet"/>
      </w:pPr>
      <w:r>
        <w:t>1.5’te ara sonuç + çağdaş literatür + iki son sentezden oluşan üçlü kapanış yapısı.</w:t>
      </w:r>
    </w:p>
    <w:p>
      <w:pPr>
        <w:pStyle w:val="ListBullet"/>
      </w:pPr>
      <w:r>
        <w:t>1.6’da üç meta-giriş paragrafı ve 1.6.1’den 1.6.2’ye lügat bilgisinin yeniden başlaması.</w:t>
      </w:r>
    </w:p>
    <w:p>
      <w:pPr>
        <w:pStyle w:val="ListBullet"/>
      </w:pPr>
      <w:r>
        <w:t>1.7’de aynı alt başlığın 140, 145 ve 151. paragraflarda üç kez “Sonuç olarak”la kapatılması.</w:t>
      </w:r>
    </w:p>
    <w:p>
      <w:pPr>
        <w:pStyle w:val="ListBullet"/>
      </w:pPr>
      <w:r>
        <w:t>1.9.2’de 199–201 arasında aynı sistem/koruma sonucunun üç ardışık sentezle tekrarlanması.</w:t>
      </w:r>
    </w:p>
    <w:p>
      <w:pPr>
        <w:pStyle w:val="ListBullet"/>
      </w:pPr>
      <w:r>
        <w:t>1.10’da kabul ölçülerinin 205–218 arasında kronolojik hat yerine döngüsel tekrarlarla ilerlemesi.</w:t>
      </w:r>
    </w:p>
    <w:p>
      <w:pPr>
        <w:pStyle w:val="ListBullet"/>
      </w:pPr>
      <w:r>
        <w:t>2.1’in rivâyet ve sened açıklamalarını 2.2’den önce tüketmesi; 2.2.1–2.2.3 açılışlarının aynı negatif tanım kalıbını kullanması.</w:t>
      </w:r>
    </w:p>
    <w:p>
      <w:pPr>
        <w:pStyle w:val="ListBullet"/>
      </w:pPr>
      <w:r>
        <w:t>2.4’ten 3. Bölüme somut resm–lafız–mana incelemesine geçiş köprüsünün eksikliği.</w:t>
      </w:r>
    </w:p>
    <w:p>
      <w:pPr>
        <w:pStyle w:val="ListBullet"/>
      </w:pPr>
      <w:r>
        <w:t>3.3’ün sonunda mana/hikmet alanına kayılarak 3.4’ün işlevinin önceden tüketilmesi.</w:t>
      </w:r>
    </w:p>
    <w:p>
      <w:pPr>
        <w:pStyle w:val="ListBullet"/>
      </w:pPr>
      <w:r>
        <w:t>3.4’te genel sonucun örnek dizisi tamamlanmadan gelmesi; 3.5’te çift sonuç paragrafı.</w:t>
      </w:r>
    </w:p>
    <w:p>
      <w:pPr>
        <w:pStyle w:val="ListBullet"/>
      </w:pPr>
      <w:r>
        <w:t>3.7’deki 327–330. paragrafların içerik bakımından 3.6’daki bağlayıcılık tartışmasına ait olması.</w:t>
      </w:r>
    </w:p>
    <w:p>
      <w:pPr>
        <w:pStyle w:val="ListBullet"/>
      </w:pPr>
      <w:r>
        <w:t>3.12’nin son üç paragrafının ardışık sentezler oluşturması ve 4. Bölüme ana probleme dönüş köprüsünün zayıflığı.</w:t>
      </w:r>
    </w:p>
    <w:p>
      <w:pPr>
        <w:pStyle w:val="ListBullet"/>
      </w:pPr>
      <w:r>
        <w:t>4.1’de ana tezin uygulama örnekleri arasında dört kez yeniden kurulması.</w:t>
      </w:r>
    </w:p>
    <w:p>
      <w:pPr>
        <w:pStyle w:val="ListBullet"/>
      </w:pPr>
      <w:r>
        <w:t>4.4 içinde tercih, tevcîh ve vakıf blokları arasında mikro-geçişlerin görünür olmaması.</w:t>
      </w:r>
    </w:p>
    <w:p>
      <w:pPr>
        <w:pStyle w:val="ListBullet"/>
      </w:pPr>
      <w:r>
        <w:t>4.5’te “Bu çerçevede denilebilir ki” genel hükmünün üçlü tasniften önce sonuç gibi gelmesi.</w:t>
      </w:r>
    </w:p>
    <w:p>
      <w:pPr>
        <w:pStyle w:val="ListBullet"/>
      </w:pPr>
      <w:r>
        <w:t>4.6’da 445, 446, 454 ve 455. paragrafların modern neşir–klasik resm ilişkisini dört kez sonuçlandırması.</w:t>
      </w:r>
    </w:p>
    <w:p>
      <w:pPr>
        <w:pStyle w:val="ListBullet"/>
      </w:pPr>
      <w:r>
        <w:t>4.7’nin gerçek konusuna mevcut 459. paragrafta başlaması; ilk iki paragrafın genel hat tarihine geri dönerek başlık akışını geciktirmesi.</w:t>
      </w:r>
    </w:p>
    <w:p>
      <w:pPr>
        <w:pStyle w:val="ListBullet"/>
      </w:pPr>
      <w:r>
        <w:t>4.7’de 471. paragrafın Türkiye örneğinden önce bölümü erken sonuçlandırması ve 475’te ikinci sonuç oluşması.</w:t>
      </w:r>
    </w:p>
    <w:p>
      <w:pPr>
        <w:pStyle w:val="ListBullet"/>
      </w:pPr>
      <w:r>
        <w:t>Formülaik ifade sıklıklarının sayısal olarak belirlenmesi: “göstermektedir” 120, “Nitekim” 91, “Böylece” 86, “Dolayısıyla” 54, “ortaya koymaktadır” 42 vb.</w:t>
      </w:r>
    </w:p>
    <w:p>
      <w:pPr>
        <w:pStyle w:val="ListBullet"/>
      </w:pPr>
      <w:r>
        <w:t>Sonuç bölümü dışındaki 14 “Sonuç olarak” kullanımının işlevlerine göre A–E sınıflandırması ve 11’inin doğrudan editoryal müdahale gerektirdiğinin belirlenmesi.</w:t>
      </w:r>
    </w:p>
    <w:p>
      <w:r>
        <w:t>Not: Önceki raporda 3.7–3.12’nin yapısal olarak birleştirilmesi, 3.6’daki “üç ana çizgi” hatası ve 4.6–4.7’deki bazı bilimsel/nedensellik sorunları zaten bulunuyordu. Bu raporda bu maddeler “yeni bulgu” sayılmamış; yalnız yeni akış ayrıntıları ayrıca gösterilmiştir.</w:t>
      </w:r>
    </w:p>
    <w:p>
      <w:pPr>
        <w:pStyle w:val="Heading2"/>
        <w:keepNext/>
      </w:pPr>
      <w:r>
        <w:t>17. Doğrudan Uygulanabilecek Öncelikli Düzeltme Planı</w:t>
      </w:r>
    </w:p>
    <w:p>
      <w:pPr>
        <w:pStyle w:val="Heading3"/>
        <w:keepNext/>
      </w:pPr>
      <w:r>
        <w:t>A. Yapısal olarak mutlaka düzeltilmesi gerekenler</w:t>
      </w:r>
    </w:p>
    <w:p>
      <w:pPr>
        <w:pStyle w:val="ListNumber"/>
      </w:pPr>
      <w:r>
        <w:t>Girişin ikinci yarısını problem/tez → kavramlar → kapsam → yöntem/kaynak → katkı → kısa bölüm planı sırasına getir.</w:t>
      </w:r>
    </w:p>
    <w:p>
      <w:pPr>
        <w:pStyle w:val="ListNumber"/>
      </w:pPr>
      <w:r>
        <w:t>1.1’de 49–50’nin erken sentez ve ileri sıçramasını gider.</w:t>
      </w:r>
    </w:p>
    <w:p>
      <w:pPr>
        <w:pStyle w:val="ListNumber"/>
      </w:pPr>
      <w:r>
        <w:t>1.3’te yedi harf/arza ayrıntısını 2.3’e taşı veya tek köprü cümlesine indir.</w:t>
      </w:r>
    </w:p>
    <w:p>
      <w:pPr>
        <w:pStyle w:val="ListNumber"/>
      </w:pPr>
      <w:r>
        <w:t>1.4’te 96–98 tekrar bloğunu önceki paragraflara yedir.</w:t>
      </w:r>
    </w:p>
    <w:p>
      <w:pPr>
        <w:pStyle w:val="ListNumber"/>
      </w:pPr>
      <w:r>
        <w:t>1.5’te 108 ve 115–116 arasındaki çoklu sonuç yapısını tek senteze indir.</w:t>
      </w:r>
    </w:p>
    <w:p>
      <w:pPr>
        <w:pStyle w:val="ListNumber"/>
      </w:pPr>
      <w:r>
        <w:t>1.8’de 158–163’ün geri dönüşünü gider.</w:t>
      </w:r>
    </w:p>
    <w:p>
      <w:pPr>
        <w:pStyle w:val="ListNumber"/>
      </w:pPr>
      <w:r>
        <w:t>1.10’u erken pratik → İbn Mücâhid → İbnü’l-Cezerî → sonraki kabul şeklinde yeniden sırala.</w:t>
      </w:r>
    </w:p>
    <w:p>
      <w:pPr>
        <w:pStyle w:val="ListNumber"/>
      </w:pPr>
      <w:r>
        <w:t>3.6–3.12’de bağlayıcılık ve gerekçe katmanlarını ayır; 327–330’u 3.6’ya taşı.</w:t>
      </w:r>
    </w:p>
    <w:p>
      <w:pPr>
        <w:pStyle w:val="ListNumber"/>
      </w:pPr>
      <w:r>
        <w:t>4.7’yi mevcut 459. paragrafla başlat; 457–458’i taşı/kısalt.</w:t>
      </w:r>
    </w:p>
    <w:p>
      <w:pPr>
        <w:pStyle w:val="ListNumber"/>
      </w:pPr>
      <w:r>
        <w:t>471’i Türkiye örneğine geçişe dönüştür; nihai sentezi gerçek sona bırak.</w:t>
      </w:r>
    </w:p>
    <w:p>
      <w:pPr>
        <w:pStyle w:val="Heading3"/>
        <w:keepNext/>
      </w:pPr>
      <w:r>
        <w:t>B. Güçlü biçimde önerilen geçiş ve tekrar düzeltmeleri</w:t>
      </w:r>
    </w:p>
    <w:p>
      <w:pPr>
        <w:pStyle w:val="ListNumber"/>
      </w:pPr>
      <w:r>
        <w:t>1.5→1.6, 2.4→3, 3.12→4 ve 4.5→4.6 geçişlerini tek cümlelik köprülerle görünür kıl.</w:t>
      </w:r>
    </w:p>
    <w:p>
      <w:pPr>
        <w:pStyle w:val="ListNumber"/>
      </w:pPr>
      <w:r>
        <w:t>2.1 ile 2.2 arasındaki rivâyet/sened tekrarını kaldır.</w:t>
      </w:r>
    </w:p>
    <w:p>
      <w:pPr>
        <w:pStyle w:val="ListNumber"/>
      </w:pPr>
      <w:r>
        <w:t>3.3’teki mana merkezli kısmı 3.4’e taşı.</w:t>
      </w:r>
    </w:p>
    <w:p>
      <w:pPr>
        <w:pStyle w:val="ListNumber"/>
      </w:pPr>
      <w:r>
        <w:t>3.4 ve 3.5’te erken/çift sonuç paragraflarını tek senteze indir.</w:t>
      </w:r>
    </w:p>
    <w:p>
      <w:pPr>
        <w:pStyle w:val="ListNumber"/>
      </w:pPr>
      <w:r>
        <w:t>4.4 içinde tercih, tevcîh ve vakıf için kısa iç geçiş cümleleri kullan.</w:t>
      </w:r>
    </w:p>
    <w:p>
      <w:pPr>
        <w:pStyle w:val="ListNumber"/>
      </w:pPr>
      <w:r>
        <w:t>4.6’daki 445/446 ve 454/455 çift sentezlerini birleştir.</w:t>
      </w:r>
    </w:p>
    <w:p>
      <w:pPr>
        <w:pStyle w:val="Heading3"/>
        <w:keepNext/>
      </w:pPr>
      <w:r>
        <w:t>C. Formülaik anlatımı azaltacak editoryal değişiklikler</w:t>
      </w:r>
    </w:p>
    <w:p>
      <w:pPr>
        <w:pStyle w:val="ListNumber"/>
      </w:pPr>
      <w:r>
        <w:t>Sonuç bölümü dışındaki 14 “Sonuç olarak” kullanımından yalnız gerçek analitik sonuç işlevi taşıyanları koru.</w:t>
      </w:r>
    </w:p>
    <w:p>
      <w:pPr>
        <w:pStyle w:val="ListNumber"/>
      </w:pPr>
      <w:r>
        <w:t>“Bütün bu veriler...” 56, 454 ve 471’i kaldır/dönüştür; 415’i kısalt.</w:t>
      </w:r>
    </w:p>
    <w:p>
      <w:pPr>
        <w:pStyle w:val="ListNumber"/>
      </w:pPr>
      <w:r>
        <w:t>“göstermektedir / ortaya koymaktadır / anlaşılmaktadır” fiillerini eş anlamlılarla mekanik olarak değiştirmek yerine gereksiz sonuç cümlelerini sil.</w:t>
      </w:r>
    </w:p>
    <w:p>
      <w:pPr>
        <w:pStyle w:val="ListNumber"/>
      </w:pPr>
      <w:r>
        <w:t>“Bu çerçevede / Nitekim / Dolayısıyla / Böylece” bağlaçlarını yalnız mantıksal ilişkiyi gerçekten açıkladıkları yerlerde bırak.</w:t>
      </w:r>
    </w:p>
    <w:p>
      <w:pPr>
        <w:pStyle w:val="ListNumber"/>
      </w:pPr>
      <w:r>
        <w:t>Negatif tanım dizilerini özellikle Giriş, 2. bölüm ve 4. bölümde olumlu tanımla dengele.</w:t>
      </w:r>
    </w:p>
    <w:p>
      <w:pPr>
        <w:pStyle w:val="Heading3"/>
        <w:keepNext/>
      </w:pPr>
      <w:r>
        <w:t>D. İsteğe bağlı son üslup cilası</w:t>
      </w:r>
    </w:p>
    <w:p>
      <w:pPr>
        <w:pStyle w:val="ListNumber"/>
      </w:pPr>
      <w:r>
        <w:t>Önsözün son metodoloji cümlelerini kısalt.</w:t>
      </w:r>
    </w:p>
    <w:p>
      <w:pPr>
        <w:pStyle w:val="ListNumber"/>
      </w:pPr>
      <w:r>
        <w:t>Girişte bölüm tanıtımlarını bölüm başına bir cümleye indir.</w:t>
      </w:r>
    </w:p>
    <w:p>
      <w:pPr>
        <w:pStyle w:val="ListNumber"/>
      </w:pPr>
      <w:r>
        <w:t>Sonuçta 480–482 arasındaki “resm tek başına yeterli değildir” uyarısını bir kez söyle.</w:t>
      </w:r>
    </w:p>
    <w:p>
      <w:pPr>
        <w:pStyle w:val="ListNumber"/>
      </w:pPr>
      <w:r>
        <w:t>489’un sonundaki ileri araştırma listesini çıkar veya tek cümleye indir.</w:t>
      </w:r>
    </w:p>
    <w:p>
      <w:pPr>
        <w:pStyle w:val="ListNumber"/>
      </w:pPr>
      <w:r>
        <w:t>“klasik” kelimesini her yerde değil, belirsiz kaldığı yerlerde “resm literatürü / kırâat kaynakları / sonraki müellifler” gibi daha kesin adlarla değiştir.</w:t>
      </w:r>
    </w:p>
    <w:p>
      <w:pPr>
        <w:pStyle w:val="Heading2"/>
        <w:keepNext/>
      </w:pPr>
      <w:r>
        <w:t>18. Nihai Değerlendirme</w:t>
      </w:r>
    </w:p>
    <w:p>
      <w:r>
        <w:t>Bu ikinci tarama, önceki kapsamlı bilimsel denetimin ötesinde belirgin yeni editoryal bulgular ortaya koymuştur. Kitabın ana tezi ve genel dört bölümlü mimarisi korunabilir; sorun, çoğunlukla yeni bölüm eklemekten çok mevcut malzemenin sırasını, paragraf işlevlerini ve kapanış yoğunluğunu düzeltme ihtiyacıdır.</w:t>
      </w:r>
    </w:p>
    <w:p>
      <w:r>
        <w:t>En önemli sonuç şudur: metin birçok yerde bilimsel olarak gerekli ihtiyatı artık ifade ediyor, fakat aynı ihtiyat ve ana tez gereğinden fazla yeniden açıklandığı için anlatım mekanikleşiyor. Bu nedenle son redaksiyon “eş anlamlı kelime bulma” düzeyinde yapılmamalıdır. Özellikle “Sonuç olarak”, “Bütün bu veriler”, “göstermektedir” gibi kalıpları başka kalıplarla değiştirmek tek başına çözüm değildir. Asıl kazanç; gereksiz sonuç cümlelerini çıkarmak, erken sentezleri gerçek sona taşımak, bir sonraki başlığın konusunu önceki başlıkta tüketmemek ve bölüm geçişlerini tek işlevli cümlelerle kurmaktan gelecektir.</w:t>
      </w:r>
    </w:p>
    <w:p>
      <w:r>
        <w:t>Bu akış ve üslup düzeltmeleri, önceki kapsamlı rapordaki bilimsel ve kaynak temelli düzeltmelerden sonra uygulanmalıdır. Bilimsel içerik değişirken paragraf akışının yeniden bozulmaması için en verimli sıra: önce bilimsel/kaynak düzeltmeleri, ardından bu rapordaki yapısal taşıma ve kısaltmalar, son olarak formülaik dil ve cümle düzeyi cilasıdır.</w:t>
      </w:r>
    </w:p>
    <w:p>
      <w:r>
        <w:rPr>
          <w:b/>
        </w:rPr>
        <w:t xml:space="preserve">Editoryal karar: </w:t>
      </w:r>
      <w:r>
        <w:t>Kitap, akış ve yazar sesi bakımından yayımlanabilir düzeye yaklaşmıştır; ancak özellikle 1. Bölümün ikinci yarısı, 3.6–3.12 ve 4.5–4.7’de yapısal kısaltma ve geçiş redaksiyonu tamamlanmadan yalnız kelime/cümle cilasına geçilmesi önerilmez.</w:t>
      </w:r>
    </w:p>
    <w:p/>
    <w:p>
      <w:pPr>
        <w:jc w:val="center"/>
      </w:pPr>
      <w:r>
        <w:rPr>
          <w:i/>
          <w:sz w:val="18"/>
        </w:rPr>
        <w:t>Denetim notu: Bu raporda dış kaynak kullanılmamış; bütün örnekler güncel kitap nüshası, “düzeltilecekler” listesi ve önceki kapsamlı son denetim raporu üzerinden hazırlanmıştır.</w:t>
      </w:r>
    </w:p>
    <w:p>
      <w:pPr>
        <w:pStyle w:val="Heading1"/>
        <w:keepNext/>
        <w:pageBreakBefore/>
      </w:pPr>
      <w:r>
        <w:t>ÜÇÜNCÜ KISIM — Kalan Düzeltmeler, Eksikler ve Nihai Uygulama Kontrolü</w:t>
      </w:r>
    </w:p>
    <w:p>
      <w:pPr>
        <w:spacing w:after="200"/>
      </w:pPr>
      <w:r>
        <w:rPr>
          <w:rFonts w:ascii="Aptos" w:hAnsi="Aptos" w:cs="Aptos" w:eastAsia="Aptos"/>
          <w:i/>
          <w:sz w:val="21"/>
        </w:rPr>
        <w:t>Üçüncü raporun kapatma matrisi, redaktör işaretlerinin envanteri, kalan bilimsel/editoryal işler ve yayın öncesi kontrol listeleri.</w:t>
      </w:r>
    </w:p>
    <w:p>
      <w:pPr>
        <w:pStyle w:val="Heading2"/>
        <w:keepNext/>
      </w:pPr>
      <w:r>
        <w:t>1. Raporun Amacı ve Önceki İki Raporla İlişkisi</w:t>
      </w:r>
    </w:p>
    <w:p>
      <w:r>
        <w:t>Bu üçüncü rapor, önceki iki denetimi yeniden anlatmak için değil, güncel manuscript üzerinde henüz uygulanmamış veya yalnız genel düzeyde işaretlenmiş bütün önemli işleri görünür bir kapatma listesine dönüştürmek için hazırlanmıştır. Birinci rapor bilimsel, kavramsal, kaynak, dipnot ve teknik sorunları; ikinci rapor ise akış, geçiş, tekrar ve formülaik anlatım sorunlarını ayrıntılı biçimde belirlemişti. Bu raporun işlevi, özellikle redaktörün kırmızı işaretlerle bıraktığı kelime ve cümleler gibi önceki raporlarda yalnız toplu değerlendirilmiş alanları tek tek envanterlemek ve yayıma kadar yapılacak işi tek yerde toplamaktır.</w:t>
      </w:r>
    </w:p>
    <w:p>
      <w:r>
        <w:t>Kitap dosyası bu rapor hazırlanırken değiştirilmemiştir. Dolayısıyla önceki raporlarda “öneri”, “yapılmalı”, “yeniden yazılmalı”, “kaynak kontrolü gerekli” veya “yazar kararı gerekir” biçiminde belirtilen hususlar, manuscript üzerinde ayrıca uygulanmadıkça çözülmüş sayılmamıştır.</w:t>
      </w:r>
    </w:p>
    <w:p>
      <w:r>
        <w:t>Bu rapor da dış literatür kullanmaz. Tarih, kişi kimliği, baskı bilgisi veya kaynak içeriği proje dosyalarıyla doğrulanamıyorsa kesin düzeltme üretmek yerine “kaynak kontrolü gerekli” statüsü korunmuştur.</w:t>
      </w:r>
    </w:p>
    <w:p>
      <w:pPr>
        <w:pStyle w:val="Heading2"/>
        <w:keepNext/>
      </w:pPr>
      <w:r>
        <w:t>2. Yönetici Özeti: Yayın Öncesinde Kalan İşler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814"/>
            <w:shd w:fill="D9EAF7"/>
          </w:tcPr>
          <w:p>
            <w:r>
              <w:rPr>
                <w:b/>
                <w:sz w:val="15"/>
              </w:rPr>
              <w:t>Alan</w:t>
            </w:r>
          </w:p>
        </w:tc>
        <w:tc>
          <w:tcPr>
            <w:tcW w:type="dxa" w:w="1134"/>
            <w:shd w:fill="D9EAF7"/>
          </w:tcPr>
          <w:p>
            <w:r>
              <w:rPr>
                <w:b/>
                <w:sz w:val="15"/>
              </w:rPr>
              <w:t>Öncelik</w:t>
            </w:r>
          </w:p>
        </w:tc>
        <w:tc>
          <w:tcPr>
            <w:tcW w:type="dxa" w:w="3515"/>
            <w:shd w:fill="D9EAF7"/>
          </w:tcPr>
          <w:p>
            <w:r>
              <w:rPr>
                <w:b/>
                <w:sz w:val="15"/>
              </w:rPr>
              <w:t>Güncel durum</w:t>
            </w:r>
          </w:p>
        </w:tc>
        <w:tc>
          <w:tcPr>
            <w:tcW w:type="dxa" w:w="3402"/>
            <w:shd w:fill="D9EAF7"/>
          </w:tcPr>
          <w:p>
            <w:r>
              <w:rPr>
                <w:b/>
                <w:sz w:val="15"/>
              </w:rPr>
              <w:t>Kapanış işlemi</w:t>
            </w:r>
          </w:p>
        </w:tc>
      </w:tr>
      <w:tr>
        <w:trPr>
          <w:cantSplit/>
        </w:trPr>
        <w:tc>
          <w:tcPr>
            <w:tcW w:type="dxa" w:w="1814"/>
            <w:vAlign w:val="top"/>
            <w:tcMar>
              <w:top w:w="70" w:type="dxa"/>
              <w:start w:w="85" w:type="dxa"/>
              <w:bottom w:w="70" w:type="dxa"/>
              <w:end w:w="85" w:type="dxa"/>
            </w:tcMar>
          </w:tcPr>
          <w:p>
            <w:pPr>
              <w:spacing w:after="0"/>
            </w:pPr>
            <w:r>
              <w:rPr>
                <w:sz w:val="15"/>
              </w:rPr>
              <w:t>Kırmızı redaktör işaretleri</w:t>
            </w:r>
          </w:p>
        </w:tc>
        <w:tc>
          <w:tcPr>
            <w:tcW w:type="dxa" w:w="1134"/>
            <w:vAlign w:val="top"/>
            <w:tcMar>
              <w:top w:w="70" w:type="dxa"/>
              <w:start w:w="85" w:type="dxa"/>
              <w:bottom w:w="70" w:type="dxa"/>
              <w:end w:w="85" w:type="dxa"/>
            </w:tcMar>
          </w:tcPr>
          <w:p>
            <w:pPr>
              <w:spacing w:after="0"/>
            </w:pPr>
            <w:r>
              <w:rPr>
                <w:sz w:val="15"/>
              </w:rPr>
              <w:t>Kritik</w:t>
            </w:r>
          </w:p>
        </w:tc>
        <w:tc>
          <w:tcPr>
            <w:tcW w:type="dxa" w:w="3515"/>
            <w:vAlign w:val="top"/>
            <w:tcMar>
              <w:top w:w="70" w:type="dxa"/>
              <w:start w:w="85" w:type="dxa"/>
              <w:bottom w:w="70" w:type="dxa"/>
              <w:end w:w="85" w:type="dxa"/>
            </w:tcMar>
          </w:tcPr>
          <w:p>
            <w:pPr>
              <w:spacing w:after="0"/>
            </w:pPr>
            <w:r>
              <w:rPr>
                <w:sz w:val="15"/>
              </w:rPr>
              <w:t>183 metin taşıyan paragrafta 420 kırmızı run hâlâ ana metnin parçası. Bunların bir kısmı kelime önerisi, bir kısmı çalışma notu, bir kısmı uzun cümle işaretidir.</w:t>
            </w:r>
          </w:p>
        </w:tc>
        <w:tc>
          <w:tcPr>
            <w:tcW w:type="dxa" w:w="3402"/>
            <w:vAlign w:val="top"/>
            <w:tcMar>
              <w:top w:w="70" w:type="dxa"/>
              <w:start w:w="85" w:type="dxa"/>
              <w:bottom w:w="70" w:type="dxa"/>
              <w:end w:w="85" w:type="dxa"/>
            </w:tcMar>
          </w:tcPr>
          <w:p>
            <w:pPr>
              <w:spacing w:after="0"/>
            </w:pPr>
            <w:r>
              <w:rPr>
                <w:sz w:val="15"/>
              </w:rPr>
              <w:t>Yayıma girmeden tüm kırmızı işaretler kabul/reddet/sil kararıyla kapatılmalı.</w:t>
            </w:r>
          </w:p>
        </w:tc>
      </w:tr>
      <w:tr>
        <w:trPr>
          <w:cantSplit/>
        </w:trPr>
        <w:tc>
          <w:tcPr>
            <w:tcW w:type="dxa" w:w="1814"/>
            <w:vAlign w:val="top"/>
            <w:tcMar>
              <w:top w:w="70" w:type="dxa"/>
              <w:start w:w="85" w:type="dxa"/>
              <w:bottom w:w="70" w:type="dxa"/>
              <w:end w:w="85" w:type="dxa"/>
            </w:tcMar>
          </w:tcPr>
          <w:p>
            <w:pPr>
              <w:spacing w:after="0"/>
            </w:pPr>
            <w:r>
              <w:rPr>
                <w:sz w:val="15"/>
              </w:rPr>
              <w:t>“değil/değildir” ailesi</w:t>
            </w:r>
          </w:p>
        </w:tc>
        <w:tc>
          <w:tcPr>
            <w:tcW w:type="dxa" w:w="1134"/>
            <w:vAlign w:val="top"/>
            <w:tcMar>
              <w:top w:w="70" w:type="dxa"/>
              <w:start w:w="85" w:type="dxa"/>
              <w:bottom w:w="70" w:type="dxa"/>
              <w:end w:w="85" w:type="dxa"/>
            </w:tcMar>
          </w:tcPr>
          <w:p>
            <w:pPr>
              <w:spacing w:after="0"/>
            </w:pPr>
            <w:r>
              <w:rPr>
                <w:sz w:val="15"/>
              </w:rPr>
              <w:t>Yüksek</w:t>
            </w:r>
          </w:p>
        </w:tc>
        <w:tc>
          <w:tcPr>
            <w:tcW w:type="dxa" w:w="3515"/>
            <w:vAlign w:val="top"/>
            <w:tcMar>
              <w:top w:w="70" w:type="dxa"/>
              <w:start w:w="85" w:type="dxa"/>
              <w:bottom w:w="70" w:type="dxa"/>
              <w:end w:w="85" w:type="dxa"/>
            </w:tcMar>
          </w:tcPr>
          <w:p>
            <w:pPr>
              <w:spacing w:after="0"/>
            </w:pPr>
            <w:r>
              <w:rPr>
                <w:sz w:val="15"/>
              </w:rPr>
              <w:t>Kırmızı olarak işaretli “değil” içeren 130 run + sözcüğün iki parçaya ayrıldığı 2 ek run, toplam 96 paragrafta bulunuyor.</w:t>
            </w:r>
          </w:p>
        </w:tc>
        <w:tc>
          <w:tcPr>
            <w:tcW w:type="dxa" w:w="3402"/>
            <w:vAlign w:val="top"/>
            <w:tcMar>
              <w:top w:w="70" w:type="dxa"/>
              <w:start w:w="85" w:type="dxa"/>
              <w:bottom w:w="70" w:type="dxa"/>
              <w:end w:w="85" w:type="dxa"/>
            </w:tcMar>
          </w:tcPr>
          <w:p>
            <w:pPr>
              <w:spacing w:after="0"/>
            </w:pPr>
            <w:r>
              <w:rPr>
                <w:sz w:val="15"/>
              </w:rPr>
              <w:t>Ek A’daki tam envanter üzerinden yazar kararıyla olumlu formülasyona geçilecek yerler seçilmeli; zorunlu karşıtlıklar korunmalı.</w:t>
            </w:r>
          </w:p>
        </w:tc>
      </w:tr>
      <w:tr>
        <w:trPr>
          <w:cantSplit/>
        </w:trPr>
        <w:tc>
          <w:tcPr>
            <w:tcW w:type="dxa" w:w="1814"/>
            <w:vAlign w:val="top"/>
            <w:tcMar>
              <w:top w:w="70" w:type="dxa"/>
              <w:start w:w="85" w:type="dxa"/>
              <w:bottom w:w="70" w:type="dxa"/>
              <w:end w:w="85" w:type="dxa"/>
            </w:tcMar>
          </w:tcPr>
          <w:p>
            <w:pPr>
              <w:spacing w:after="0"/>
            </w:pPr>
            <w:r>
              <w:rPr>
                <w:sz w:val="15"/>
              </w:rPr>
              <w:t>Formülaik ara sonuçlar</w:t>
            </w:r>
          </w:p>
        </w:tc>
        <w:tc>
          <w:tcPr>
            <w:tcW w:type="dxa" w:w="1134"/>
            <w:vAlign w:val="top"/>
            <w:tcMar>
              <w:top w:w="70" w:type="dxa"/>
              <w:start w:w="85" w:type="dxa"/>
              <w:bottom w:w="70" w:type="dxa"/>
              <w:end w:w="85" w:type="dxa"/>
            </w:tcMar>
          </w:tcPr>
          <w:p>
            <w:pPr>
              <w:spacing w:after="0"/>
            </w:pPr>
            <w:r>
              <w:rPr>
                <w:sz w:val="15"/>
              </w:rPr>
              <w:t>Yüksek</w:t>
            </w:r>
          </w:p>
        </w:tc>
        <w:tc>
          <w:tcPr>
            <w:tcW w:type="dxa" w:w="3515"/>
            <w:vAlign w:val="top"/>
            <w:tcMar>
              <w:top w:w="70" w:type="dxa"/>
              <w:start w:w="85" w:type="dxa"/>
              <w:bottom w:w="70" w:type="dxa"/>
              <w:end w:w="85" w:type="dxa"/>
            </w:tcMar>
          </w:tcPr>
          <w:p>
            <w:pPr>
              <w:spacing w:after="0"/>
            </w:pPr>
            <w:r>
              <w:rPr>
                <w:sz w:val="15"/>
              </w:rPr>
              <w:t>Sonuç bölümü dışında 14 “Sonuç olarak”, 4 “Bütün bu veriler…”, 7 “açıkça ortaya koymaktadır” kullanımı var.</w:t>
            </w:r>
          </w:p>
        </w:tc>
        <w:tc>
          <w:tcPr>
            <w:tcW w:type="dxa" w:w="3402"/>
            <w:vAlign w:val="top"/>
            <w:tcMar>
              <w:top w:w="70" w:type="dxa"/>
              <w:start w:w="85" w:type="dxa"/>
              <w:bottom w:w="70" w:type="dxa"/>
              <w:end w:w="85" w:type="dxa"/>
            </w:tcMar>
          </w:tcPr>
          <w:p>
            <w:pPr>
              <w:spacing w:after="0"/>
            </w:pPr>
            <w:r>
              <w:rPr>
                <w:sz w:val="15"/>
              </w:rPr>
              <w:t>İkinci rapordaki bağlam sınıflandırmasına göre silme/birleştirme/geçişe dönüştürme uygulanmalı.</w:t>
            </w:r>
          </w:p>
        </w:tc>
      </w:tr>
      <w:tr>
        <w:trPr>
          <w:cantSplit/>
        </w:trPr>
        <w:tc>
          <w:tcPr>
            <w:tcW w:type="dxa" w:w="1814"/>
            <w:vAlign w:val="top"/>
            <w:tcMar>
              <w:top w:w="70" w:type="dxa"/>
              <w:start w:w="85" w:type="dxa"/>
              <w:bottom w:w="70" w:type="dxa"/>
              <w:end w:w="85" w:type="dxa"/>
            </w:tcMar>
          </w:tcPr>
          <w:p>
            <w:pPr>
              <w:spacing w:after="0"/>
            </w:pPr>
            <w:r>
              <w:rPr>
                <w:sz w:val="15"/>
              </w:rPr>
              <w:t>Çalışma notları ve belirsiz işaretler</w:t>
            </w:r>
          </w:p>
        </w:tc>
        <w:tc>
          <w:tcPr>
            <w:tcW w:type="dxa" w:w="1134"/>
            <w:vAlign w:val="top"/>
            <w:tcMar>
              <w:top w:w="70" w:type="dxa"/>
              <w:start w:w="85" w:type="dxa"/>
              <w:bottom w:w="70" w:type="dxa"/>
              <w:end w:w="85" w:type="dxa"/>
            </w:tcMar>
          </w:tcPr>
          <w:p>
            <w:pPr>
              <w:spacing w:after="0"/>
            </w:pPr>
            <w:r>
              <w:rPr>
                <w:sz w:val="15"/>
              </w:rPr>
              <w:t>Kritik</w:t>
            </w:r>
          </w:p>
        </w:tc>
        <w:tc>
          <w:tcPr>
            <w:tcW w:type="dxa" w:w="3515"/>
            <w:vAlign w:val="top"/>
            <w:tcMar>
              <w:top w:w="70" w:type="dxa"/>
              <w:start w:w="85" w:type="dxa"/>
              <w:bottom w:w="70" w:type="dxa"/>
              <w:end w:w="85" w:type="dxa"/>
            </w:tcMar>
          </w:tcPr>
          <w:p>
            <w:pPr>
              <w:spacing w:after="0"/>
            </w:pPr>
            <w:r>
              <w:rPr>
                <w:sz w:val="15"/>
              </w:rPr>
              <w:t>14 paragrafta doğrudan ana metin içinde çalışma notu, “daha önce geçti mi”, “silinsin”, “(?)” veya benzeri artıklar saptandı.</w:t>
            </w:r>
          </w:p>
        </w:tc>
        <w:tc>
          <w:tcPr>
            <w:tcW w:type="dxa" w:w="3402"/>
            <w:vAlign w:val="top"/>
            <w:tcMar>
              <w:top w:w="70" w:type="dxa"/>
              <w:start w:w="85" w:type="dxa"/>
              <w:bottom w:w="70" w:type="dxa"/>
              <w:end w:w="85" w:type="dxa"/>
            </w:tcMar>
          </w:tcPr>
          <w:p>
            <w:pPr>
              <w:spacing w:after="0"/>
            </w:pPr>
            <w:r>
              <w:rPr>
                <w:sz w:val="15"/>
              </w:rPr>
              <w:t>Yazar kararı ve kaynak kontrolü sonrası notlar metinden tamamen çıkarılmalı.</w:t>
            </w:r>
          </w:p>
        </w:tc>
      </w:tr>
      <w:tr>
        <w:trPr>
          <w:cantSplit/>
        </w:trPr>
        <w:tc>
          <w:tcPr>
            <w:tcW w:type="dxa" w:w="1814"/>
            <w:vAlign w:val="top"/>
            <w:tcMar>
              <w:top w:w="70" w:type="dxa"/>
              <w:start w:w="85" w:type="dxa"/>
              <w:bottom w:w="70" w:type="dxa"/>
              <w:end w:w="85" w:type="dxa"/>
            </w:tcMar>
          </w:tcPr>
          <w:p>
            <w:pPr>
              <w:spacing w:after="0"/>
            </w:pPr>
            <w:r>
              <w:rPr>
                <w:sz w:val="15"/>
              </w:rPr>
              <w:t>Bilimsel/kavramsal düzeltmeler</w:t>
            </w:r>
          </w:p>
        </w:tc>
        <w:tc>
          <w:tcPr>
            <w:tcW w:type="dxa" w:w="1134"/>
            <w:vAlign w:val="top"/>
            <w:tcMar>
              <w:top w:w="70" w:type="dxa"/>
              <w:start w:w="85" w:type="dxa"/>
              <w:bottom w:w="70" w:type="dxa"/>
              <w:end w:w="85" w:type="dxa"/>
            </w:tcMar>
          </w:tcPr>
          <w:p>
            <w:pPr>
              <w:spacing w:after="0"/>
            </w:pPr>
            <w:r>
              <w:rPr>
                <w:sz w:val="15"/>
              </w:rPr>
              <w:t>Kritik</w:t>
            </w:r>
          </w:p>
        </w:tc>
        <w:tc>
          <w:tcPr>
            <w:tcW w:type="dxa" w:w="3515"/>
            <w:vAlign w:val="top"/>
            <w:tcMar>
              <w:top w:w="70" w:type="dxa"/>
              <w:start w:w="85" w:type="dxa"/>
              <w:bottom w:w="70" w:type="dxa"/>
              <w:end w:w="85" w:type="dxa"/>
            </w:tcMar>
          </w:tcPr>
          <w:p>
            <w:pPr>
              <w:spacing w:after="0"/>
            </w:pPr>
            <w:r>
              <w:rPr>
                <w:sz w:val="15"/>
              </w:rPr>
              <w:t>Birinci raporda yayıma etkisi olan 84 kritik/yüksek/orta bulgu hâlâ uygulanacak iş olarak duruyor.</w:t>
            </w:r>
          </w:p>
        </w:tc>
        <w:tc>
          <w:tcPr>
            <w:tcW w:type="dxa" w:w="3402"/>
            <w:vAlign w:val="top"/>
            <w:tcMar>
              <w:top w:w="70" w:type="dxa"/>
              <w:start w:w="85" w:type="dxa"/>
              <w:bottom w:w="70" w:type="dxa"/>
              <w:end w:w="85" w:type="dxa"/>
            </w:tcMar>
          </w:tcPr>
          <w:p>
            <w:pPr>
              <w:spacing w:after="0"/>
            </w:pPr>
            <w:r>
              <w:rPr>
                <w:sz w:val="15"/>
              </w:rPr>
              <w:t>Önce bilimsel/kavramsal sorunlar çözülmeli; üslup cilası bunlardan sonra yapılmalı.</w:t>
            </w:r>
          </w:p>
        </w:tc>
      </w:tr>
      <w:tr>
        <w:trPr>
          <w:cantSplit/>
        </w:trPr>
        <w:tc>
          <w:tcPr>
            <w:tcW w:type="dxa" w:w="1814"/>
            <w:vAlign w:val="top"/>
            <w:tcMar>
              <w:top w:w="70" w:type="dxa"/>
              <w:start w:w="85" w:type="dxa"/>
              <w:bottom w:w="70" w:type="dxa"/>
              <w:end w:w="85" w:type="dxa"/>
            </w:tcMar>
          </w:tcPr>
          <w:p>
            <w:pPr>
              <w:spacing w:after="0"/>
            </w:pPr>
            <w:r>
              <w:rPr>
                <w:sz w:val="15"/>
              </w:rPr>
              <w:t>Akış ve yapı düzeltmeleri</w:t>
            </w:r>
          </w:p>
        </w:tc>
        <w:tc>
          <w:tcPr>
            <w:tcW w:type="dxa" w:w="1134"/>
            <w:vAlign w:val="top"/>
            <w:tcMar>
              <w:top w:w="70" w:type="dxa"/>
              <w:start w:w="85" w:type="dxa"/>
              <w:bottom w:w="70" w:type="dxa"/>
              <w:end w:w="85" w:type="dxa"/>
            </w:tcMar>
          </w:tcPr>
          <w:p>
            <w:pPr>
              <w:spacing w:after="0"/>
            </w:pPr>
            <w:r>
              <w:rPr>
                <w:sz w:val="15"/>
              </w:rPr>
              <w:t>Yüksek</w:t>
            </w:r>
          </w:p>
        </w:tc>
        <w:tc>
          <w:tcPr>
            <w:tcW w:type="dxa" w:w="3515"/>
            <w:vAlign w:val="top"/>
            <w:tcMar>
              <w:top w:w="70" w:type="dxa"/>
              <w:start w:w="85" w:type="dxa"/>
              <w:bottom w:w="70" w:type="dxa"/>
              <w:end w:w="85" w:type="dxa"/>
            </w:tcMar>
          </w:tcPr>
          <w:p>
            <w:pPr>
              <w:spacing w:after="0"/>
            </w:pPr>
            <w:r>
              <w:rPr>
                <w:sz w:val="15"/>
              </w:rPr>
              <w:t>İkinci raporda 58 yüksek/orta akış ve yapı bulgusu ile 26 somut geçiş noktası listelendi.</w:t>
            </w:r>
          </w:p>
        </w:tc>
        <w:tc>
          <w:tcPr>
            <w:tcW w:type="dxa" w:w="3402"/>
            <w:vAlign w:val="top"/>
            <w:tcMar>
              <w:top w:w="70" w:type="dxa"/>
              <w:start w:w="85" w:type="dxa"/>
              <w:bottom w:w="70" w:type="dxa"/>
              <w:end w:w="85" w:type="dxa"/>
            </w:tcMar>
          </w:tcPr>
          <w:p>
            <w:pPr>
              <w:spacing w:after="0"/>
            </w:pPr>
            <w:r>
              <w:rPr>
                <w:sz w:val="15"/>
              </w:rPr>
              <w:t>Bölüm/paragraf sıralaması ve gereksiz mini-sonuçlar manuscript üzerinde uygulanmalı.</w:t>
            </w:r>
          </w:p>
        </w:tc>
      </w:tr>
      <w:tr>
        <w:trPr>
          <w:cantSplit/>
        </w:trPr>
        <w:tc>
          <w:tcPr>
            <w:tcW w:type="dxa" w:w="1814"/>
            <w:vAlign w:val="top"/>
            <w:tcMar>
              <w:top w:w="70" w:type="dxa"/>
              <w:start w:w="85" w:type="dxa"/>
              <w:bottom w:w="70" w:type="dxa"/>
              <w:end w:w="85" w:type="dxa"/>
            </w:tcMar>
          </w:tcPr>
          <w:p>
            <w:pPr>
              <w:spacing w:after="0"/>
            </w:pPr>
            <w:r>
              <w:rPr>
                <w:sz w:val="15"/>
              </w:rPr>
              <w:t>Arapça ve dipnot yönü</w:t>
            </w:r>
          </w:p>
        </w:tc>
        <w:tc>
          <w:tcPr>
            <w:tcW w:type="dxa" w:w="1134"/>
            <w:vAlign w:val="top"/>
            <w:tcMar>
              <w:top w:w="70" w:type="dxa"/>
              <w:start w:w="85" w:type="dxa"/>
              <w:bottom w:w="70" w:type="dxa"/>
              <w:end w:w="85" w:type="dxa"/>
            </w:tcMar>
          </w:tcPr>
          <w:p>
            <w:pPr>
              <w:spacing w:after="0"/>
            </w:pPr>
            <w:r>
              <w:rPr>
                <w:sz w:val="15"/>
              </w:rPr>
              <w:t>Kritik</w:t>
            </w:r>
          </w:p>
        </w:tc>
        <w:tc>
          <w:tcPr>
            <w:tcW w:type="dxa" w:w="3515"/>
            <w:vAlign w:val="top"/>
            <w:tcMar>
              <w:top w:w="70" w:type="dxa"/>
              <w:start w:w="85" w:type="dxa"/>
              <w:bottom w:w="70" w:type="dxa"/>
              <w:end w:w="85" w:type="dxa"/>
            </w:tcMar>
          </w:tcPr>
          <w:p>
            <w:pPr>
              <w:spacing w:after="0"/>
            </w:pPr>
            <w:r>
              <w:rPr>
                <w:sz w:val="15"/>
              </w:rPr>
              <w:t>53 Arapça + dipnot referanslı paragrafın yalnız 1 tanesinde referans run’ı RTL işaretli.</w:t>
            </w:r>
          </w:p>
        </w:tc>
        <w:tc>
          <w:tcPr>
            <w:tcW w:type="dxa" w:w="3402"/>
            <w:vAlign w:val="top"/>
            <w:tcMar>
              <w:top w:w="70" w:type="dxa"/>
              <w:start w:w="85" w:type="dxa"/>
              <w:bottom w:w="70" w:type="dxa"/>
              <w:end w:w="85" w:type="dxa"/>
            </w:tcMar>
          </w:tcPr>
          <w:p>
            <w:pPr>
              <w:spacing w:after="0"/>
            </w:pPr>
            <w:r>
              <w:rPr>
                <w:sz w:val="15"/>
              </w:rPr>
              <w:t>Arapça/RTL stili uygulanmalı ve nihai PDF’de her örnek görsel kontrol edilmeli.</w:t>
            </w:r>
          </w:p>
        </w:tc>
      </w:tr>
      <w:tr>
        <w:trPr>
          <w:cantSplit/>
        </w:trPr>
        <w:tc>
          <w:tcPr>
            <w:tcW w:type="dxa" w:w="1814"/>
            <w:vAlign w:val="top"/>
            <w:tcMar>
              <w:top w:w="70" w:type="dxa"/>
              <w:start w:w="85" w:type="dxa"/>
              <w:bottom w:w="70" w:type="dxa"/>
              <w:end w:w="85" w:type="dxa"/>
            </w:tcMar>
          </w:tcPr>
          <w:p>
            <w:pPr>
              <w:spacing w:after="0"/>
            </w:pPr>
            <w:r>
              <w:rPr>
                <w:sz w:val="15"/>
              </w:rPr>
              <w:t>Word başlık yapısı</w:t>
            </w:r>
          </w:p>
        </w:tc>
        <w:tc>
          <w:tcPr>
            <w:tcW w:type="dxa" w:w="1134"/>
            <w:vAlign w:val="top"/>
            <w:tcMar>
              <w:top w:w="70" w:type="dxa"/>
              <w:start w:w="85" w:type="dxa"/>
              <w:bottom w:w="70" w:type="dxa"/>
              <w:end w:w="85" w:type="dxa"/>
            </w:tcMar>
          </w:tcPr>
          <w:p>
            <w:pPr>
              <w:spacing w:after="0"/>
            </w:pPr>
            <w:r>
              <w:rPr>
                <w:sz w:val="15"/>
              </w:rPr>
              <w:t>Kritik</w:t>
            </w:r>
          </w:p>
        </w:tc>
        <w:tc>
          <w:tcPr>
            <w:tcW w:type="dxa" w:w="3515"/>
            <w:vAlign w:val="top"/>
            <w:tcMar>
              <w:top w:w="70" w:type="dxa"/>
              <w:start w:w="85" w:type="dxa"/>
              <w:bottom w:w="70" w:type="dxa"/>
              <w:end w:w="85" w:type="dxa"/>
            </w:tcMar>
          </w:tcPr>
          <w:p>
            <w:pPr>
              <w:spacing w:after="0"/>
            </w:pPr>
            <w:r>
              <w:rPr>
                <w:sz w:val="15"/>
              </w:rPr>
              <w:t>Gövde başlıkları gerçek Heading hiyerarşisine güvenilir biçimde bağlı değil; içerik tablosu ve numaralandırma kırılgan.</w:t>
            </w:r>
          </w:p>
        </w:tc>
        <w:tc>
          <w:tcPr>
            <w:tcW w:type="dxa" w:w="3402"/>
            <w:vAlign w:val="top"/>
            <w:tcMar>
              <w:top w:w="70" w:type="dxa"/>
              <w:start w:w="85" w:type="dxa"/>
              <w:bottom w:w="70" w:type="dxa"/>
              <w:end w:w="85" w:type="dxa"/>
            </w:tcMar>
          </w:tcPr>
          <w:p>
            <w:pPr>
              <w:spacing w:after="0"/>
            </w:pPr>
            <w:r>
              <w:rPr>
                <w:sz w:val="15"/>
              </w:rPr>
              <w:t>Gerçek Heading 1/2/3 + çok düzeyli numaralandırma kurulmalı.</w:t>
            </w:r>
          </w:p>
        </w:tc>
      </w:tr>
      <w:tr>
        <w:trPr>
          <w:cantSplit/>
        </w:trPr>
        <w:tc>
          <w:tcPr>
            <w:tcW w:type="dxa" w:w="1814"/>
            <w:vAlign w:val="top"/>
            <w:tcMar>
              <w:top w:w="70" w:type="dxa"/>
              <w:start w:w="85" w:type="dxa"/>
              <w:bottom w:w="70" w:type="dxa"/>
              <w:end w:w="85" w:type="dxa"/>
            </w:tcMar>
          </w:tcPr>
          <w:p>
            <w:pPr>
              <w:spacing w:after="0"/>
            </w:pPr>
            <w:r>
              <w:rPr>
                <w:sz w:val="15"/>
              </w:rPr>
              <w:t>Kaynakça ve DOI</w:t>
            </w:r>
          </w:p>
        </w:tc>
        <w:tc>
          <w:tcPr>
            <w:tcW w:type="dxa" w:w="1134"/>
            <w:vAlign w:val="top"/>
            <w:tcMar>
              <w:top w:w="70" w:type="dxa"/>
              <w:start w:w="85" w:type="dxa"/>
              <w:bottom w:w="70" w:type="dxa"/>
              <w:end w:w="85" w:type="dxa"/>
            </w:tcMar>
          </w:tcPr>
          <w:p>
            <w:pPr>
              <w:spacing w:after="0"/>
            </w:pPr>
            <w:r>
              <w:rPr>
                <w:sz w:val="15"/>
              </w:rPr>
              <w:t>Yüksek</w:t>
            </w:r>
          </w:p>
        </w:tc>
        <w:tc>
          <w:tcPr>
            <w:tcW w:type="dxa" w:w="3515"/>
            <w:vAlign w:val="top"/>
            <w:tcMar>
              <w:top w:w="70" w:type="dxa"/>
              <w:start w:w="85" w:type="dxa"/>
              <w:bottom w:w="70" w:type="dxa"/>
              <w:end w:w="85" w:type="dxa"/>
            </w:tcMar>
          </w:tcPr>
          <w:p>
            <w:pPr>
              <w:spacing w:after="0"/>
            </w:pPr>
            <w:r>
              <w:rPr>
                <w:sz w:val="15"/>
              </w:rPr>
              <w:t>2 bozuk DOI yapısı ve kaynakça standardizasyon sorunları devam ediyor.</w:t>
            </w:r>
          </w:p>
        </w:tc>
        <w:tc>
          <w:tcPr>
            <w:tcW w:type="dxa" w:w="3402"/>
            <w:vAlign w:val="top"/>
            <w:tcMar>
              <w:top w:w="70" w:type="dxa"/>
              <w:start w:w="85" w:type="dxa"/>
              <w:bottom w:w="70" w:type="dxa"/>
              <w:end w:w="85" w:type="dxa"/>
            </w:tcMar>
          </w:tcPr>
          <w:p>
            <w:pPr>
              <w:spacing w:after="0"/>
            </w:pPr>
            <w:r>
              <w:rPr>
                <w:sz w:val="15"/>
              </w:rPr>
              <w:t>DOI ve künye alanları kaynak kontrolüyle düzeltilmeli; Zotero verisi ile nihai kaynakça çapraz denetlenmeli.</w:t>
            </w:r>
          </w:p>
        </w:tc>
      </w:tr>
    </w:tbl>
    <w:p>
      <w:pPr>
        <w:pStyle w:val="Heading2"/>
        <w:keepNext/>
      </w:pPr>
      <w:r>
        <w:t>3. “Düzeltilecekler” Dosyası: Nihai Kapatma Matrisi</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324"/>
            <w:shd w:fill="D9EAF7"/>
          </w:tcPr>
          <w:p>
            <w:r>
              <w:rPr>
                <w:b/>
                <w:sz w:val="15"/>
              </w:rPr>
              <w:t>Madde</w:t>
            </w:r>
          </w:p>
        </w:tc>
        <w:tc>
          <w:tcPr>
            <w:tcW w:type="dxa" w:w="1701"/>
            <w:shd w:fill="D9EAF7"/>
          </w:tcPr>
          <w:p>
            <w:r>
              <w:rPr>
                <w:b/>
                <w:sz w:val="15"/>
              </w:rPr>
              <w:t>Durum</w:t>
            </w:r>
          </w:p>
        </w:tc>
        <w:tc>
          <w:tcPr>
            <w:tcW w:type="dxa" w:w="3061"/>
            <w:shd w:fill="D9EAF7"/>
          </w:tcPr>
          <w:p>
            <w:r>
              <w:rPr>
                <w:b/>
                <w:sz w:val="15"/>
              </w:rPr>
              <w:t>Kalan mesele</w:t>
            </w:r>
          </w:p>
        </w:tc>
        <w:tc>
          <w:tcPr>
            <w:tcW w:type="dxa" w:w="2948"/>
            <w:shd w:fill="D9EAF7"/>
          </w:tcPr>
          <w:p>
            <w:r>
              <w:rPr>
                <w:b/>
                <w:sz w:val="15"/>
              </w:rPr>
              <w:t>Yapılacak</w:t>
            </w:r>
          </w:p>
        </w:tc>
      </w:tr>
      <w:tr>
        <w:trPr>
          <w:cantSplit/>
        </w:trPr>
        <w:tc>
          <w:tcPr>
            <w:tcW w:type="dxa" w:w="2324"/>
            <w:vAlign w:val="top"/>
            <w:tcMar>
              <w:top w:w="70" w:type="dxa"/>
              <w:start w:w="85" w:type="dxa"/>
              <w:bottom w:w="70" w:type="dxa"/>
              <w:end w:w="85" w:type="dxa"/>
            </w:tcMar>
          </w:tcPr>
          <w:p>
            <w:pPr>
              <w:spacing w:after="0"/>
            </w:pPr>
            <w:r>
              <w:rPr>
                <w:sz w:val="15"/>
              </w:rPr>
              <w:t>1. İşaretli “değil” kullanımları</w:t>
            </w:r>
          </w:p>
        </w:tc>
        <w:tc>
          <w:tcPr>
            <w:tcW w:type="dxa" w:w="1701"/>
            <w:vAlign w:val="top"/>
            <w:tcMar>
              <w:top w:w="70" w:type="dxa"/>
              <w:start w:w="85" w:type="dxa"/>
              <w:bottom w:w="70" w:type="dxa"/>
              <w:end w:w="85" w:type="dxa"/>
            </w:tcMar>
          </w:tcPr>
          <w:p>
            <w:pPr>
              <w:spacing w:after="0"/>
            </w:pPr>
            <w:r>
              <w:rPr>
                <w:sz w:val="15"/>
              </w:rPr>
              <w:t>Tamamlanmadı</w:t>
            </w:r>
          </w:p>
        </w:tc>
        <w:tc>
          <w:tcPr>
            <w:tcW w:type="dxa" w:w="3061"/>
            <w:vAlign w:val="top"/>
            <w:tcMar>
              <w:top w:w="70" w:type="dxa"/>
              <w:start w:w="85" w:type="dxa"/>
              <w:bottom w:w="70" w:type="dxa"/>
              <w:end w:w="85" w:type="dxa"/>
            </w:tcMar>
          </w:tcPr>
          <w:p>
            <w:pPr>
              <w:spacing w:after="0"/>
            </w:pPr>
            <w:r>
              <w:rPr>
                <w:sz w:val="15"/>
              </w:rPr>
              <w:t>96 paragrafta kırmızı işaretli negatif yapı var.</w:t>
            </w:r>
          </w:p>
        </w:tc>
        <w:tc>
          <w:tcPr>
            <w:tcW w:type="dxa" w:w="2948"/>
            <w:vAlign w:val="top"/>
            <w:tcMar>
              <w:top w:w="70" w:type="dxa"/>
              <w:start w:w="85" w:type="dxa"/>
              <w:bottom w:w="70" w:type="dxa"/>
              <w:end w:w="85" w:type="dxa"/>
            </w:tcMar>
          </w:tcPr>
          <w:p>
            <w:pPr>
              <w:spacing w:after="0"/>
            </w:pPr>
            <w:r>
              <w:rPr>
                <w:sz w:val="15"/>
              </w:rPr>
              <w:t>Ek A üzerinden tek tek yazar kararı. Yakın tekrarlar olumlu tanımla yeniden kurulmalı; mantıksal karşıtlık için zorunlu olanlar korunabilir.</w:t>
            </w:r>
          </w:p>
        </w:tc>
      </w:tr>
      <w:tr>
        <w:trPr>
          <w:cantSplit/>
        </w:trPr>
        <w:tc>
          <w:tcPr>
            <w:tcW w:type="dxa" w:w="2324"/>
            <w:vAlign w:val="top"/>
            <w:tcMar>
              <w:top w:w="70" w:type="dxa"/>
              <w:start w:w="85" w:type="dxa"/>
              <w:bottom w:w="70" w:type="dxa"/>
              <w:end w:w="85" w:type="dxa"/>
            </w:tcMar>
          </w:tcPr>
          <w:p>
            <w:pPr>
              <w:spacing w:after="0"/>
            </w:pPr>
            <w:r>
              <w:rPr>
                <w:sz w:val="15"/>
              </w:rPr>
              <w:t>2. tarîk</w:t>
            </w:r>
          </w:p>
        </w:tc>
        <w:tc>
          <w:tcPr>
            <w:tcW w:type="dxa" w:w="1701"/>
            <w:vAlign w:val="top"/>
            <w:tcMar>
              <w:top w:w="70" w:type="dxa"/>
              <w:start w:w="85" w:type="dxa"/>
              <w:bottom w:w="70" w:type="dxa"/>
              <w:end w:w="85" w:type="dxa"/>
            </w:tcMar>
          </w:tcPr>
          <w:p>
            <w:pPr>
              <w:spacing w:after="0"/>
            </w:pPr>
            <w:r>
              <w:rPr>
                <w:sz w:val="15"/>
              </w:rPr>
              <w:t>Büyük ölçüde tamamlandı</w:t>
            </w:r>
          </w:p>
        </w:tc>
        <w:tc>
          <w:tcPr>
            <w:tcW w:type="dxa" w:w="3061"/>
            <w:vAlign w:val="top"/>
            <w:tcMar>
              <w:top w:w="70" w:type="dxa"/>
              <w:start w:w="85" w:type="dxa"/>
              <w:bottom w:w="70" w:type="dxa"/>
              <w:end w:w="85" w:type="dxa"/>
            </w:tcMar>
          </w:tcPr>
          <w:p>
            <w:pPr>
              <w:spacing w:after="0"/>
            </w:pPr>
            <w:r>
              <w:rPr>
                <w:sz w:val="15"/>
              </w:rPr>
              <w:t>Ana gövdede “tarîk” biçimi yerleşik; otomatik son tarama gerekir.</w:t>
            </w:r>
          </w:p>
        </w:tc>
        <w:tc>
          <w:tcPr>
            <w:tcW w:type="dxa" w:w="2948"/>
            <w:vAlign w:val="top"/>
            <w:tcMar>
              <w:top w:w="70" w:type="dxa"/>
              <w:start w:w="85" w:type="dxa"/>
              <w:bottom w:w="70" w:type="dxa"/>
              <w:end w:w="85" w:type="dxa"/>
            </w:tcMar>
          </w:tcPr>
          <w:p>
            <w:pPr>
              <w:spacing w:after="0"/>
            </w:pPr>
            <w:r>
              <w:rPr>
                <w:sz w:val="15"/>
              </w:rPr>
              <w:t>Bibliyografik eser adı ve doğrudan alıntıyı değiştirmeden son kontrol.</w:t>
            </w:r>
          </w:p>
        </w:tc>
      </w:tr>
      <w:tr>
        <w:trPr>
          <w:cantSplit/>
        </w:trPr>
        <w:tc>
          <w:tcPr>
            <w:tcW w:type="dxa" w:w="2324"/>
            <w:vAlign w:val="top"/>
            <w:tcMar>
              <w:top w:w="70" w:type="dxa"/>
              <w:start w:w="85" w:type="dxa"/>
              <w:bottom w:w="70" w:type="dxa"/>
              <w:end w:w="85" w:type="dxa"/>
            </w:tcMar>
          </w:tcPr>
          <w:p>
            <w:pPr>
              <w:spacing w:after="0"/>
            </w:pPr>
            <w:r>
              <w:rPr>
                <w:sz w:val="15"/>
              </w:rPr>
              <w:t>3. “Sonuç olarak” / “Bütün bu veriler…”</w:t>
            </w:r>
          </w:p>
        </w:tc>
        <w:tc>
          <w:tcPr>
            <w:tcW w:type="dxa" w:w="1701"/>
            <w:vAlign w:val="top"/>
            <w:tcMar>
              <w:top w:w="70" w:type="dxa"/>
              <w:start w:w="85" w:type="dxa"/>
              <w:bottom w:w="70" w:type="dxa"/>
              <w:end w:w="85" w:type="dxa"/>
            </w:tcMar>
          </w:tcPr>
          <w:p>
            <w:pPr>
              <w:spacing w:after="0"/>
            </w:pPr>
            <w:r>
              <w:rPr>
                <w:sz w:val="15"/>
              </w:rPr>
              <w:t>Kısmen tamamlandı</w:t>
            </w:r>
          </w:p>
        </w:tc>
        <w:tc>
          <w:tcPr>
            <w:tcW w:type="dxa" w:w="3061"/>
            <w:vAlign w:val="top"/>
            <w:tcMar>
              <w:top w:w="70" w:type="dxa"/>
              <w:start w:w="85" w:type="dxa"/>
              <w:bottom w:w="70" w:type="dxa"/>
              <w:end w:w="85" w:type="dxa"/>
            </w:tcMar>
          </w:tcPr>
          <w:p>
            <w:pPr>
              <w:spacing w:after="0"/>
            </w:pPr>
            <w:r>
              <w:rPr>
                <w:sz w:val="15"/>
              </w:rPr>
              <w:t>Sonuç dışında 14 + 4 kullanım bulunuyor.</w:t>
            </w:r>
          </w:p>
        </w:tc>
        <w:tc>
          <w:tcPr>
            <w:tcW w:type="dxa" w:w="2948"/>
            <w:vAlign w:val="top"/>
            <w:tcMar>
              <w:top w:w="70" w:type="dxa"/>
              <w:start w:w="85" w:type="dxa"/>
              <w:bottom w:w="70" w:type="dxa"/>
              <w:end w:w="85" w:type="dxa"/>
            </w:tcMar>
          </w:tcPr>
          <w:p>
            <w:pPr>
              <w:spacing w:after="0"/>
            </w:pPr>
            <w:r>
              <w:rPr>
                <w:sz w:val="15"/>
              </w:rPr>
              <w:t>İkinci raporun sınıflandırmasına göre 11 güçlü/orta müdahale; gereksiz mini-sonuçları sil/birleştir.</w:t>
            </w:r>
          </w:p>
        </w:tc>
      </w:tr>
      <w:tr>
        <w:trPr>
          <w:cantSplit/>
        </w:trPr>
        <w:tc>
          <w:tcPr>
            <w:tcW w:type="dxa" w:w="2324"/>
            <w:vAlign w:val="top"/>
            <w:tcMar>
              <w:top w:w="70" w:type="dxa"/>
              <w:start w:w="85" w:type="dxa"/>
              <w:bottom w:w="70" w:type="dxa"/>
              <w:end w:w="85" w:type="dxa"/>
            </w:tcMar>
          </w:tcPr>
          <w:p>
            <w:pPr>
              <w:spacing w:after="0"/>
            </w:pPr>
            <w:r>
              <w:rPr>
                <w:sz w:val="15"/>
              </w:rPr>
              <w:t>4. Dipnot müellif adlarında el-/ez-/eş-/en-</w:t>
            </w:r>
          </w:p>
        </w:tc>
        <w:tc>
          <w:tcPr>
            <w:tcW w:type="dxa" w:w="1701"/>
            <w:vAlign w:val="top"/>
            <w:tcMar>
              <w:top w:w="70" w:type="dxa"/>
              <w:start w:w="85" w:type="dxa"/>
              <w:bottom w:w="70" w:type="dxa"/>
              <w:end w:w="85" w:type="dxa"/>
            </w:tcMar>
          </w:tcPr>
          <w:p>
            <w:pPr>
              <w:spacing w:after="0"/>
            </w:pPr>
            <w:r>
              <w:rPr>
                <w:sz w:val="15"/>
              </w:rPr>
              <w:t>Tamamlanmadı / politika kararı</w:t>
            </w:r>
          </w:p>
        </w:tc>
        <w:tc>
          <w:tcPr>
            <w:tcW w:type="dxa" w:w="3061"/>
            <w:vAlign w:val="top"/>
            <w:tcMar>
              <w:top w:w="70" w:type="dxa"/>
              <w:start w:w="85" w:type="dxa"/>
              <w:bottom w:w="70" w:type="dxa"/>
              <w:end w:w="85" w:type="dxa"/>
            </w:tcMar>
          </w:tcPr>
          <w:p>
            <w:pPr>
              <w:spacing w:after="0"/>
            </w:pPr>
            <w:r>
              <w:rPr>
                <w:sz w:val="15"/>
              </w:rPr>
              <w:t>Dipnotlarda bu biçimler hâlâ yaygın.</w:t>
            </w:r>
          </w:p>
        </w:tc>
        <w:tc>
          <w:tcPr>
            <w:tcW w:type="dxa" w:w="2948"/>
            <w:vAlign w:val="top"/>
            <w:tcMar>
              <w:top w:w="70" w:type="dxa"/>
              <w:start w:w="85" w:type="dxa"/>
              <w:bottom w:w="70" w:type="dxa"/>
              <w:end w:w="85" w:type="dxa"/>
            </w:tcMar>
          </w:tcPr>
          <w:p>
            <w:pPr>
              <w:spacing w:after="0"/>
            </w:pPr>
            <w:r>
              <w:rPr>
                <w:sz w:val="15"/>
              </w:rPr>
              <w:t>İSNAD 2 ile proje ev stili arasındaki tercih yazarca kesinleştirilmeli; sonra Zotero author alanından toplu ve kontrollü normalizasyon.</w:t>
            </w:r>
          </w:p>
        </w:tc>
      </w:tr>
      <w:tr>
        <w:trPr>
          <w:cantSplit/>
        </w:trPr>
        <w:tc>
          <w:tcPr>
            <w:tcW w:type="dxa" w:w="2324"/>
            <w:vAlign w:val="top"/>
            <w:tcMar>
              <w:top w:w="70" w:type="dxa"/>
              <w:start w:w="85" w:type="dxa"/>
              <w:bottom w:w="70" w:type="dxa"/>
              <w:end w:w="85" w:type="dxa"/>
            </w:tcMar>
          </w:tcPr>
          <w:p>
            <w:pPr>
              <w:spacing w:after="0"/>
            </w:pPr>
            <w:r>
              <w:rPr>
                <w:sz w:val="15"/>
              </w:rPr>
              <w:t>5. Başlık numaraları</w:t>
            </w:r>
          </w:p>
        </w:tc>
        <w:tc>
          <w:tcPr>
            <w:tcW w:type="dxa" w:w="1701"/>
            <w:vAlign w:val="top"/>
            <w:tcMar>
              <w:top w:w="70" w:type="dxa"/>
              <w:start w:w="85" w:type="dxa"/>
              <w:bottom w:w="70" w:type="dxa"/>
              <w:end w:w="85" w:type="dxa"/>
            </w:tcMar>
          </w:tcPr>
          <w:p>
            <w:pPr>
              <w:spacing w:after="0"/>
            </w:pPr>
            <w:r>
              <w:rPr>
                <w:sz w:val="15"/>
              </w:rPr>
              <w:t>Tamamlanmadı</w:t>
            </w:r>
          </w:p>
        </w:tc>
        <w:tc>
          <w:tcPr>
            <w:tcW w:type="dxa" w:w="3061"/>
            <w:vAlign w:val="top"/>
            <w:tcMar>
              <w:top w:w="70" w:type="dxa"/>
              <w:start w:w="85" w:type="dxa"/>
              <w:bottom w:w="70" w:type="dxa"/>
              <w:end w:w="85" w:type="dxa"/>
            </w:tcMar>
          </w:tcPr>
          <w:p>
            <w:pPr>
              <w:spacing w:after="0"/>
            </w:pPr>
            <w:r>
              <w:rPr>
                <w:sz w:val="15"/>
              </w:rPr>
              <w:t>Gövde başlıkları numarasız ve Heading hiyerarşisi güvenilir değil.</w:t>
            </w:r>
          </w:p>
        </w:tc>
        <w:tc>
          <w:tcPr>
            <w:tcW w:type="dxa" w:w="2948"/>
            <w:vAlign w:val="top"/>
            <w:tcMar>
              <w:top w:w="70" w:type="dxa"/>
              <w:start w:w="85" w:type="dxa"/>
              <w:bottom w:w="70" w:type="dxa"/>
              <w:end w:w="85" w:type="dxa"/>
            </w:tcMar>
          </w:tcPr>
          <w:p>
            <w:pPr>
              <w:spacing w:after="0"/>
            </w:pPr>
            <w:r>
              <w:rPr>
                <w:sz w:val="15"/>
              </w:rPr>
              <w:t>Heading 1/2/3 ve çok düzeyli numaralandırma kurulmalı; İçindekiler yeniden üretilmeli.</w:t>
            </w:r>
          </w:p>
        </w:tc>
      </w:tr>
      <w:tr>
        <w:trPr>
          <w:cantSplit/>
        </w:trPr>
        <w:tc>
          <w:tcPr>
            <w:tcW w:type="dxa" w:w="2324"/>
            <w:vAlign w:val="top"/>
            <w:tcMar>
              <w:top w:w="70" w:type="dxa"/>
              <w:start w:w="85" w:type="dxa"/>
              <w:bottom w:w="70" w:type="dxa"/>
              <w:end w:w="85" w:type="dxa"/>
            </w:tcMar>
          </w:tcPr>
          <w:p>
            <w:pPr>
              <w:spacing w:after="0"/>
            </w:pPr>
            <w:r>
              <w:rPr>
                <w:sz w:val="15"/>
              </w:rPr>
              <w:t>6. Ölüm tarihleri</w:t>
            </w:r>
          </w:p>
        </w:tc>
        <w:tc>
          <w:tcPr>
            <w:tcW w:type="dxa" w:w="1701"/>
            <w:vAlign w:val="top"/>
            <w:tcMar>
              <w:top w:w="70" w:type="dxa"/>
              <w:start w:w="85" w:type="dxa"/>
              <w:bottom w:w="70" w:type="dxa"/>
              <w:end w:w="85" w:type="dxa"/>
            </w:tcMar>
          </w:tcPr>
          <w:p>
            <w:pPr>
              <w:spacing w:after="0"/>
            </w:pPr>
            <w:r>
              <w:rPr>
                <w:sz w:val="15"/>
              </w:rPr>
              <w:t>Tamamlanmadı</w:t>
            </w:r>
          </w:p>
        </w:tc>
        <w:tc>
          <w:tcPr>
            <w:tcW w:type="dxa" w:w="3061"/>
            <w:vAlign w:val="top"/>
            <w:tcMar>
              <w:top w:w="70" w:type="dxa"/>
              <w:start w:w="85" w:type="dxa"/>
              <w:bottom w:w="70" w:type="dxa"/>
              <w:end w:w="85" w:type="dxa"/>
            </w:tcMar>
          </w:tcPr>
          <w:p>
            <w:pPr>
              <w:spacing w:after="0"/>
            </w:pPr>
            <w:r>
              <w:rPr>
                <w:sz w:val="15"/>
              </w:rPr>
              <w:t>Tekrar notları, soru işaretleri, bozuk tarihler ve iç çelişkiler var.</w:t>
            </w:r>
          </w:p>
        </w:tc>
        <w:tc>
          <w:tcPr>
            <w:tcW w:type="dxa" w:w="2948"/>
            <w:vAlign w:val="top"/>
            <w:tcMar>
              <w:top w:w="70" w:type="dxa"/>
              <w:start w:w="85" w:type="dxa"/>
              <w:bottom w:w="70" w:type="dxa"/>
              <w:end w:w="85" w:type="dxa"/>
            </w:tcMar>
          </w:tcPr>
          <w:p>
            <w:pPr>
              <w:spacing w:after="0"/>
            </w:pPr>
            <w:r>
              <w:rPr>
                <w:sz w:val="15"/>
              </w:rPr>
              <w:t>İlk anlamlı kullanımda tarih; sonraki kullanımlarda gereksiz tekrar silinsin. Bozuk/çelişkili tarihler kaynaktan doğrulansın.</w:t>
            </w:r>
          </w:p>
        </w:tc>
      </w:tr>
      <w:tr>
        <w:trPr>
          <w:cantSplit/>
        </w:trPr>
        <w:tc>
          <w:tcPr>
            <w:tcW w:type="dxa" w:w="2324"/>
            <w:vAlign w:val="top"/>
            <w:tcMar>
              <w:top w:w="70" w:type="dxa"/>
              <w:start w:w="85" w:type="dxa"/>
              <w:bottom w:w="70" w:type="dxa"/>
              <w:end w:w="85" w:type="dxa"/>
            </w:tcMar>
          </w:tcPr>
          <w:p>
            <w:pPr>
              <w:spacing w:after="0"/>
            </w:pPr>
            <w:r>
              <w:rPr>
                <w:sz w:val="15"/>
              </w:rPr>
              <w:t>7. Kur’an</w:t>
            </w:r>
          </w:p>
        </w:tc>
        <w:tc>
          <w:tcPr>
            <w:tcW w:type="dxa" w:w="1701"/>
            <w:vAlign w:val="top"/>
            <w:tcMar>
              <w:top w:w="70" w:type="dxa"/>
              <w:start w:w="85" w:type="dxa"/>
              <w:bottom w:w="70" w:type="dxa"/>
              <w:end w:w="85" w:type="dxa"/>
            </w:tcMar>
          </w:tcPr>
          <w:p>
            <w:pPr>
              <w:spacing w:after="0"/>
            </w:pPr>
            <w:r>
              <w:rPr>
                <w:sz w:val="15"/>
              </w:rPr>
              <w:t>Büyük ölçüde tamamlandı</w:t>
            </w:r>
          </w:p>
        </w:tc>
        <w:tc>
          <w:tcPr>
            <w:tcW w:type="dxa" w:w="3061"/>
            <w:vAlign w:val="top"/>
            <w:tcMar>
              <w:top w:w="70" w:type="dxa"/>
              <w:start w:w="85" w:type="dxa"/>
              <w:bottom w:w="70" w:type="dxa"/>
              <w:end w:w="85" w:type="dxa"/>
            </w:tcMar>
          </w:tcPr>
          <w:p>
            <w:pPr>
              <w:spacing w:after="0"/>
            </w:pPr>
            <w:r>
              <w:rPr>
                <w:sz w:val="15"/>
              </w:rPr>
              <w:t>Sonuç öncesi ana gövdede 7 “Kur’ân” ve 1 “Kur'an” kaçağı var.</w:t>
            </w:r>
          </w:p>
        </w:tc>
        <w:tc>
          <w:tcPr>
            <w:tcW w:type="dxa" w:w="2948"/>
            <w:vAlign w:val="top"/>
            <w:tcMar>
              <w:top w:w="70" w:type="dxa"/>
              <w:start w:w="85" w:type="dxa"/>
              <w:bottom w:w="70" w:type="dxa"/>
              <w:end w:w="85" w:type="dxa"/>
            </w:tcMar>
          </w:tcPr>
          <w:p>
            <w:pPr>
              <w:spacing w:after="0"/>
            </w:pPr>
            <w:r>
              <w:rPr>
                <w:sz w:val="15"/>
              </w:rPr>
              <w:t>Ana gövdede Kur’an biçimine tekleştir; bibliyografik eser başlıklarını olduğu gibi bırak.</w:t>
            </w:r>
          </w:p>
        </w:tc>
      </w:tr>
      <w:tr>
        <w:trPr>
          <w:cantSplit/>
        </w:trPr>
        <w:tc>
          <w:tcPr>
            <w:tcW w:type="dxa" w:w="2324"/>
            <w:vAlign w:val="top"/>
            <w:tcMar>
              <w:top w:w="70" w:type="dxa"/>
              <w:start w:w="85" w:type="dxa"/>
              <w:bottom w:w="70" w:type="dxa"/>
              <w:end w:w="85" w:type="dxa"/>
            </w:tcMar>
          </w:tcPr>
          <w:p>
            <w:pPr>
              <w:spacing w:after="0"/>
            </w:pPr>
            <w:r>
              <w:rPr>
                <w:sz w:val="15"/>
              </w:rPr>
              <w:t>8. Arapça örneklerde dipnot rakamı</w:t>
            </w:r>
          </w:p>
        </w:tc>
        <w:tc>
          <w:tcPr>
            <w:tcW w:type="dxa" w:w="1701"/>
            <w:vAlign w:val="top"/>
            <w:tcMar>
              <w:top w:w="70" w:type="dxa"/>
              <w:start w:w="85" w:type="dxa"/>
              <w:bottom w:w="70" w:type="dxa"/>
              <w:end w:w="85" w:type="dxa"/>
            </w:tcMar>
          </w:tcPr>
          <w:p>
            <w:pPr>
              <w:spacing w:after="0"/>
            </w:pPr>
            <w:r>
              <w:rPr>
                <w:sz w:val="15"/>
              </w:rPr>
              <w:t>Tamamlanmadı / teknik</w:t>
            </w:r>
          </w:p>
        </w:tc>
        <w:tc>
          <w:tcPr>
            <w:tcW w:type="dxa" w:w="3061"/>
            <w:vAlign w:val="top"/>
            <w:tcMar>
              <w:top w:w="70" w:type="dxa"/>
              <w:start w:w="85" w:type="dxa"/>
              <w:bottom w:w="70" w:type="dxa"/>
              <w:end w:w="85" w:type="dxa"/>
            </w:tcMar>
          </w:tcPr>
          <w:p>
            <w:pPr>
              <w:spacing w:after="0"/>
            </w:pPr>
            <w:r>
              <w:rPr>
                <w:sz w:val="15"/>
              </w:rPr>
              <w:t>53 Arapça+dipnot paragrafı; yalnız 1 RTL referans.</w:t>
            </w:r>
          </w:p>
        </w:tc>
        <w:tc>
          <w:tcPr>
            <w:tcW w:type="dxa" w:w="2948"/>
            <w:vAlign w:val="top"/>
            <w:tcMar>
              <w:top w:w="70" w:type="dxa"/>
              <w:start w:w="85" w:type="dxa"/>
              <w:bottom w:w="70" w:type="dxa"/>
              <w:end w:w="85" w:type="dxa"/>
            </w:tcMar>
          </w:tcPr>
          <w:p>
            <w:pPr>
              <w:spacing w:after="0"/>
            </w:pPr>
            <w:r>
              <w:rPr>
                <w:sz w:val="15"/>
              </w:rPr>
              <w:t>Arapça run + dipnot referansını aynı RTL grubunda tut; PDF provasına bağla.</w:t>
            </w:r>
          </w:p>
        </w:tc>
      </w:tr>
      <w:tr>
        <w:trPr>
          <w:cantSplit/>
        </w:trPr>
        <w:tc>
          <w:tcPr>
            <w:tcW w:type="dxa" w:w="2324"/>
            <w:vAlign w:val="top"/>
            <w:tcMar>
              <w:top w:w="70" w:type="dxa"/>
              <w:start w:w="85" w:type="dxa"/>
              <w:bottom w:w="70" w:type="dxa"/>
              <w:end w:w="85" w:type="dxa"/>
            </w:tcMar>
          </w:tcPr>
          <w:p>
            <w:pPr>
              <w:spacing w:after="0"/>
            </w:pPr>
            <w:r>
              <w:rPr>
                <w:sz w:val="15"/>
              </w:rPr>
              <w:t>9. “değildir” tekrarları</w:t>
            </w:r>
          </w:p>
        </w:tc>
        <w:tc>
          <w:tcPr>
            <w:tcW w:type="dxa" w:w="1701"/>
            <w:vAlign w:val="top"/>
            <w:tcMar>
              <w:top w:w="70" w:type="dxa"/>
              <w:start w:w="85" w:type="dxa"/>
              <w:bottom w:w="70" w:type="dxa"/>
              <w:end w:w="85" w:type="dxa"/>
            </w:tcMar>
          </w:tcPr>
          <w:p>
            <w:pPr>
              <w:spacing w:after="0"/>
            </w:pPr>
            <w:r>
              <w:rPr>
                <w:sz w:val="15"/>
              </w:rPr>
              <w:t>Kısmen tamamlandı</w:t>
            </w:r>
          </w:p>
        </w:tc>
        <w:tc>
          <w:tcPr>
            <w:tcW w:type="dxa" w:w="3061"/>
            <w:vAlign w:val="top"/>
            <w:tcMar>
              <w:top w:w="70" w:type="dxa"/>
              <w:start w:w="85" w:type="dxa"/>
              <w:bottom w:w="70" w:type="dxa"/>
              <w:end w:w="85" w:type="dxa"/>
            </w:tcMar>
          </w:tcPr>
          <w:p>
            <w:pPr>
              <w:spacing w:after="0"/>
            </w:pPr>
            <w:r>
              <w:rPr>
                <w:sz w:val="15"/>
              </w:rPr>
              <w:t>Tanım ve sınır cümlelerinde negatif kalıp sürüyor; bazıları redaktörce işaretlenmiş.</w:t>
            </w:r>
          </w:p>
        </w:tc>
        <w:tc>
          <w:tcPr>
            <w:tcW w:type="dxa" w:w="2948"/>
            <w:vAlign w:val="top"/>
            <w:tcMar>
              <w:top w:w="70" w:type="dxa"/>
              <w:start w:w="85" w:type="dxa"/>
              <w:bottom w:w="70" w:type="dxa"/>
              <w:end w:w="85" w:type="dxa"/>
            </w:tcMar>
          </w:tcPr>
          <w:p>
            <w:pPr>
              <w:spacing w:after="0"/>
            </w:pPr>
            <w:r>
              <w:rPr>
                <w:sz w:val="15"/>
              </w:rPr>
              <w:t>Olumlu tanımı mümkün olan yerde öne al; her “değildir”i mekanik biçimde değiştirme.</w:t>
            </w:r>
          </w:p>
        </w:tc>
      </w:tr>
      <w:tr>
        <w:trPr>
          <w:cantSplit/>
        </w:trPr>
        <w:tc>
          <w:tcPr>
            <w:tcW w:type="dxa" w:w="2324"/>
            <w:vAlign w:val="top"/>
            <w:tcMar>
              <w:top w:w="70" w:type="dxa"/>
              <w:start w:w="85" w:type="dxa"/>
              <w:bottom w:w="70" w:type="dxa"/>
              <w:end w:w="85" w:type="dxa"/>
            </w:tcMar>
          </w:tcPr>
          <w:p>
            <w:pPr>
              <w:spacing w:after="0"/>
            </w:pPr>
            <w:r>
              <w:rPr>
                <w:sz w:val="15"/>
              </w:rPr>
              <w:t>10. Dipnotlarda sûre adlarına artikel</w:t>
            </w:r>
          </w:p>
        </w:tc>
        <w:tc>
          <w:tcPr>
            <w:tcW w:type="dxa" w:w="1701"/>
            <w:vAlign w:val="top"/>
            <w:tcMar>
              <w:top w:w="70" w:type="dxa"/>
              <w:start w:w="85" w:type="dxa"/>
              <w:bottom w:w="70" w:type="dxa"/>
              <w:end w:w="85" w:type="dxa"/>
            </w:tcMar>
          </w:tcPr>
          <w:p>
            <w:pPr>
              <w:spacing w:after="0"/>
            </w:pPr>
            <w:r>
              <w:rPr>
                <w:sz w:val="15"/>
              </w:rPr>
              <w:t>Kısmen tamamlandı</w:t>
            </w:r>
          </w:p>
        </w:tc>
        <w:tc>
          <w:tcPr>
            <w:tcW w:type="dxa" w:w="3061"/>
            <w:vAlign w:val="top"/>
            <w:tcMar>
              <w:top w:w="70" w:type="dxa"/>
              <w:start w:w="85" w:type="dxa"/>
              <w:bottom w:w="70" w:type="dxa"/>
              <w:end w:w="85" w:type="dxa"/>
            </w:tcMar>
          </w:tcPr>
          <w:p>
            <w:pPr>
              <w:spacing w:after="0"/>
            </w:pPr>
            <w:r>
              <w:rPr>
                <w:sz w:val="15"/>
              </w:rPr>
              <w:t>Bakara/Kehf/Nisâ/Tevbe/Mâide vb. bare örnekler hâlâ var.</w:t>
            </w:r>
          </w:p>
        </w:tc>
        <w:tc>
          <w:tcPr>
            <w:tcW w:type="dxa" w:w="2948"/>
            <w:vAlign w:val="top"/>
            <w:tcMar>
              <w:top w:w="70" w:type="dxa"/>
              <w:start w:w="85" w:type="dxa"/>
              <w:bottom w:w="70" w:type="dxa"/>
              <w:end w:w="85" w:type="dxa"/>
            </w:tcMar>
          </w:tcPr>
          <w:p>
            <w:pPr>
              <w:spacing w:after="0"/>
            </w:pPr>
            <w:r>
              <w:rPr>
                <w:sz w:val="15"/>
              </w:rPr>
              <w:t>Proje ev stiline göre el-/en-/et-/es- biçimlerini dipnotlarda tekleştir.</w:t>
            </w:r>
          </w:p>
        </w:tc>
      </w:tr>
      <w:tr>
        <w:trPr>
          <w:cantSplit/>
        </w:trPr>
        <w:tc>
          <w:tcPr>
            <w:tcW w:type="dxa" w:w="2324"/>
            <w:vAlign w:val="top"/>
            <w:tcMar>
              <w:top w:w="70" w:type="dxa"/>
              <w:start w:w="85" w:type="dxa"/>
              <w:bottom w:w="70" w:type="dxa"/>
              <w:end w:w="85" w:type="dxa"/>
            </w:tcMar>
          </w:tcPr>
          <w:p>
            <w:pPr>
              <w:spacing w:after="0"/>
            </w:pPr>
            <w:r>
              <w:rPr>
                <w:sz w:val="15"/>
              </w:rPr>
              <w:t>11. “açıkça ortaya koymaktadır”</w:t>
            </w:r>
          </w:p>
        </w:tc>
        <w:tc>
          <w:tcPr>
            <w:tcW w:type="dxa" w:w="1701"/>
            <w:vAlign w:val="top"/>
            <w:tcMar>
              <w:top w:w="70" w:type="dxa"/>
              <w:start w:w="85" w:type="dxa"/>
              <w:bottom w:w="70" w:type="dxa"/>
              <w:end w:w="85" w:type="dxa"/>
            </w:tcMar>
          </w:tcPr>
          <w:p>
            <w:pPr>
              <w:spacing w:after="0"/>
            </w:pPr>
            <w:r>
              <w:rPr>
                <w:sz w:val="15"/>
              </w:rPr>
              <w:t>Kısmen tamamlandı</w:t>
            </w:r>
          </w:p>
        </w:tc>
        <w:tc>
          <w:tcPr>
            <w:tcW w:type="dxa" w:w="3061"/>
            <w:vAlign w:val="top"/>
            <w:tcMar>
              <w:top w:w="70" w:type="dxa"/>
              <w:start w:w="85" w:type="dxa"/>
              <w:bottom w:w="70" w:type="dxa"/>
              <w:end w:w="85" w:type="dxa"/>
            </w:tcMar>
          </w:tcPr>
          <w:p>
            <w:pPr>
              <w:spacing w:after="0"/>
            </w:pPr>
            <w:r>
              <w:rPr>
                <w:sz w:val="15"/>
              </w:rPr>
              <w:t>Sonuç öncesi 7 birebir kullanım var.</w:t>
            </w:r>
          </w:p>
        </w:tc>
        <w:tc>
          <w:tcPr>
            <w:tcW w:type="dxa" w:w="2948"/>
            <w:vAlign w:val="top"/>
            <w:tcMar>
              <w:top w:w="70" w:type="dxa"/>
              <w:start w:w="85" w:type="dxa"/>
              <w:bottom w:w="70" w:type="dxa"/>
              <w:end w:w="85" w:type="dxa"/>
            </w:tcMar>
          </w:tcPr>
          <w:p>
            <w:pPr>
              <w:spacing w:after="0"/>
            </w:pPr>
            <w:r>
              <w:rPr>
                <w:sz w:val="15"/>
              </w:rPr>
              <w:t>Kanıt düzeyine göre “işaret etmektedir / desteklemektedir / kaydetmektedir / düşündürmektedir” gibi bağlama özgü fiiller; gerektiğinde cümleyi tamamen kısalt.</w:t>
            </w:r>
          </w:p>
        </w:tc>
      </w:tr>
      <w:tr>
        <w:trPr>
          <w:cantSplit/>
        </w:trPr>
        <w:tc>
          <w:tcPr>
            <w:tcW w:type="dxa" w:w="2324"/>
            <w:vAlign w:val="top"/>
            <w:tcMar>
              <w:top w:w="70" w:type="dxa"/>
              <w:start w:w="85" w:type="dxa"/>
              <w:bottom w:w="70" w:type="dxa"/>
              <w:end w:w="85" w:type="dxa"/>
            </w:tcMar>
          </w:tcPr>
          <w:p>
            <w:pPr>
              <w:spacing w:after="0"/>
            </w:pPr>
            <w:r>
              <w:rPr>
                <w:sz w:val="15"/>
              </w:rPr>
              <w:t>12. İbn Ebû Dâvud</w:t>
            </w:r>
          </w:p>
        </w:tc>
        <w:tc>
          <w:tcPr>
            <w:tcW w:type="dxa" w:w="1701"/>
            <w:vAlign w:val="top"/>
            <w:tcMar>
              <w:top w:w="70" w:type="dxa"/>
              <w:start w:w="85" w:type="dxa"/>
              <w:bottom w:w="70" w:type="dxa"/>
              <w:end w:w="85" w:type="dxa"/>
            </w:tcMar>
          </w:tcPr>
          <w:p>
            <w:pPr>
              <w:spacing w:after="0"/>
            </w:pPr>
            <w:r>
              <w:rPr>
                <w:sz w:val="15"/>
              </w:rPr>
              <w:t>Tamamlandı</w:t>
            </w:r>
          </w:p>
        </w:tc>
        <w:tc>
          <w:tcPr>
            <w:tcW w:type="dxa" w:w="3061"/>
            <w:vAlign w:val="top"/>
            <w:tcMar>
              <w:top w:w="70" w:type="dxa"/>
              <w:start w:w="85" w:type="dxa"/>
              <w:bottom w:w="70" w:type="dxa"/>
              <w:end w:w="85" w:type="dxa"/>
            </w:tcMar>
          </w:tcPr>
          <w:p>
            <w:pPr>
              <w:spacing w:after="0"/>
            </w:pPr>
            <w:r>
              <w:rPr>
                <w:sz w:val="15"/>
              </w:rPr>
              <w:t>Yanlış “İbn Ebî Dâvud” varyantı önceki taramada kalmamıştı.</w:t>
            </w:r>
          </w:p>
        </w:tc>
        <w:tc>
          <w:tcPr>
            <w:tcW w:type="dxa" w:w="2948"/>
            <w:vAlign w:val="top"/>
            <w:tcMar>
              <w:top w:w="70" w:type="dxa"/>
              <w:start w:w="85" w:type="dxa"/>
              <w:bottom w:w="70" w:type="dxa"/>
              <w:end w:w="85" w:type="dxa"/>
            </w:tcMar>
          </w:tcPr>
          <w:p>
            <w:pPr>
              <w:spacing w:after="0"/>
            </w:pPr>
            <w:r>
              <w:rPr>
                <w:sz w:val="15"/>
              </w:rPr>
              <w:t>Korunmalı; son otomatik tarama yeterli.</w:t>
            </w:r>
          </w:p>
        </w:tc>
      </w:tr>
      <w:tr>
        <w:trPr>
          <w:cantSplit/>
        </w:trPr>
        <w:tc>
          <w:tcPr>
            <w:tcW w:type="dxa" w:w="2324"/>
            <w:vAlign w:val="top"/>
            <w:tcMar>
              <w:top w:w="70" w:type="dxa"/>
              <w:start w:w="85" w:type="dxa"/>
              <w:bottom w:w="70" w:type="dxa"/>
              <w:end w:w="85" w:type="dxa"/>
            </w:tcMar>
          </w:tcPr>
          <w:p>
            <w:pPr>
              <w:spacing w:after="0"/>
            </w:pPr>
            <w:r>
              <w:rPr>
                <w:sz w:val="15"/>
              </w:rPr>
              <w:t>13. Semîru’t-tâlibîn</w:t>
            </w:r>
          </w:p>
        </w:tc>
        <w:tc>
          <w:tcPr>
            <w:tcW w:type="dxa" w:w="1701"/>
            <w:vAlign w:val="top"/>
            <w:tcMar>
              <w:top w:w="70" w:type="dxa"/>
              <w:start w:w="85" w:type="dxa"/>
              <w:bottom w:w="70" w:type="dxa"/>
              <w:end w:w="85" w:type="dxa"/>
            </w:tcMar>
          </w:tcPr>
          <w:p>
            <w:pPr>
              <w:spacing w:after="0"/>
            </w:pPr>
            <w:r>
              <w:rPr>
                <w:sz w:val="15"/>
              </w:rPr>
              <w:t>Tamamlandı</w:t>
            </w:r>
          </w:p>
        </w:tc>
        <w:tc>
          <w:tcPr>
            <w:tcW w:type="dxa" w:w="3061"/>
            <w:vAlign w:val="top"/>
            <w:tcMar>
              <w:top w:w="70" w:type="dxa"/>
              <w:start w:w="85" w:type="dxa"/>
              <w:bottom w:w="70" w:type="dxa"/>
              <w:end w:w="85" w:type="dxa"/>
            </w:tcMar>
          </w:tcPr>
          <w:p>
            <w:pPr>
              <w:spacing w:after="0"/>
            </w:pPr>
            <w:r>
              <w:rPr>
                <w:sz w:val="15"/>
              </w:rPr>
              <w:t>Yanlış Semîre varyantı önceki taramada bulunmadı.</w:t>
            </w:r>
          </w:p>
        </w:tc>
        <w:tc>
          <w:tcPr>
            <w:tcW w:type="dxa" w:w="2948"/>
            <w:vAlign w:val="top"/>
            <w:tcMar>
              <w:top w:w="70" w:type="dxa"/>
              <w:start w:w="85" w:type="dxa"/>
              <w:bottom w:w="70" w:type="dxa"/>
              <w:end w:w="85" w:type="dxa"/>
            </w:tcMar>
          </w:tcPr>
          <w:p>
            <w:pPr>
              <w:spacing w:after="0"/>
            </w:pPr>
            <w:r>
              <w:rPr>
                <w:sz w:val="15"/>
              </w:rPr>
              <w:t>Korunmalı.</w:t>
            </w:r>
          </w:p>
        </w:tc>
      </w:tr>
      <w:tr>
        <w:trPr>
          <w:cantSplit/>
        </w:trPr>
        <w:tc>
          <w:tcPr>
            <w:tcW w:type="dxa" w:w="2324"/>
            <w:vAlign w:val="top"/>
            <w:tcMar>
              <w:top w:w="70" w:type="dxa"/>
              <w:start w:w="85" w:type="dxa"/>
              <w:bottom w:w="70" w:type="dxa"/>
              <w:end w:w="85" w:type="dxa"/>
            </w:tcMar>
          </w:tcPr>
          <w:p>
            <w:pPr>
              <w:spacing w:after="0"/>
            </w:pPr>
            <w:r>
              <w:rPr>
                <w:sz w:val="15"/>
              </w:rPr>
              <w:t>14. Kitâbu’s-seb‘a</w:t>
            </w:r>
          </w:p>
        </w:tc>
        <w:tc>
          <w:tcPr>
            <w:tcW w:type="dxa" w:w="1701"/>
            <w:vAlign w:val="top"/>
            <w:tcMar>
              <w:top w:w="70" w:type="dxa"/>
              <w:start w:w="85" w:type="dxa"/>
              <w:bottom w:w="70" w:type="dxa"/>
              <w:end w:w="85" w:type="dxa"/>
            </w:tcMar>
          </w:tcPr>
          <w:p>
            <w:pPr>
              <w:spacing w:after="0"/>
            </w:pPr>
            <w:r>
              <w:rPr>
                <w:sz w:val="15"/>
              </w:rPr>
              <w:t>Tamamlandı</w:t>
            </w:r>
          </w:p>
        </w:tc>
        <w:tc>
          <w:tcPr>
            <w:tcW w:type="dxa" w:w="3061"/>
            <w:vAlign w:val="top"/>
            <w:tcMar>
              <w:top w:w="70" w:type="dxa"/>
              <w:start w:w="85" w:type="dxa"/>
              <w:bottom w:w="70" w:type="dxa"/>
              <w:end w:w="85" w:type="dxa"/>
            </w:tcMar>
          </w:tcPr>
          <w:p>
            <w:pPr>
              <w:spacing w:after="0"/>
            </w:pPr>
            <w:r>
              <w:rPr>
                <w:sz w:val="15"/>
              </w:rPr>
              <w:t>“seb‘ati” kaçağı önceki taramada bulunmadı.</w:t>
            </w:r>
          </w:p>
        </w:tc>
        <w:tc>
          <w:tcPr>
            <w:tcW w:type="dxa" w:w="2948"/>
            <w:vAlign w:val="top"/>
            <w:tcMar>
              <w:top w:w="70" w:type="dxa"/>
              <w:start w:w="85" w:type="dxa"/>
              <w:bottom w:w="70" w:type="dxa"/>
              <w:end w:w="85" w:type="dxa"/>
            </w:tcMar>
          </w:tcPr>
          <w:p>
            <w:pPr>
              <w:spacing w:after="0"/>
            </w:pPr>
            <w:r>
              <w:rPr>
                <w:sz w:val="15"/>
              </w:rPr>
              <w:t>Korunmalı.</w:t>
            </w:r>
          </w:p>
        </w:tc>
      </w:tr>
      <w:tr>
        <w:trPr>
          <w:cantSplit/>
        </w:trPr>
        <w:tc>
          <w:tcPr>
            <w:tcW w:type="dxa" w:w="2324"/>
            <w:vAlign w:val="top"/>
            <w:tcMar>
              <w:top w:w="70" w:type="dxa"/>
              <w:start w:w="85" w:type="dxa"/>
              <w:bottom w:w="70" w:type="dxa"/>
              <w:end w:w="85" w:type="dxa"/>
            </w:tcMar>
          </w:tcPr>
          <w:p>
            <w:pPr>
              <w:spacing w:after="0"/>
            </w:pPr>
            <w:r>
              <w:rPr>
                <w:sz w:val="15"/>
              </w:rPr>
              <w:t>15. Merrâkuşî</w:t>
            </w:r>
          </w:p>
        </w:tc>
        <w:tc>
          <w:tcPr>
            <w:tcW w:type="dxa" w:w="1701"/>
            <w:vAlign w:val="top"/>
            <w:tcMar>
              <w:top w:w="70" w:type="dxa"/>
              <w:start w:w="85" w:type="dxa"/>
              <w:bottom w:w="70" w:type="dxa"/>
              <w:end w:w="85" w:type="dxa"/>
            </w:tcMar>
          </w:tcPr>
          <w:p>
            <w:pPr>
              <w:spacing w:after="0"/>
            </w:pPr>
            <w:r>
              <w:rPr>
                <w:sz w:val="15"/>
              </w:rPr>
              <w:t>Tamamlandı</w:t>
            </w:r>
          </w:p>
        </w:tc>
        <w:tc>
          <w:tcPr>
            <w:tcW w:type="dxa" w:w="3061"/>
            <w:vAlign w:val="top"/>
            <w:tcMar>
              <w:top w:w="70" w:type="dxa"/>
              <w:start w:w="85" w:type="dxa"/>
              <w:bottom w:w="70" w:type="dxa"/>
              <w:end w:w="85" w:type="dxa"/>
            </w:tcMar>
          </w:tcPr>
          <w:p>
            <w:pPr>
              <w:spacing w:after="0"/>
            </w:pPr>
            <w:r>
              <w:rPr>
                <w:sz w:val="15"/>
              </w:rPr>
              <w:t>Merrâkeşî varyantı önceki taramada bulunmadı.</w:t>
            </w:r>
          </w:p>
        </w:tc>
        <w:tc>
          <w:tcPr>
            <w:tcW w:type="dxa" w:w="2948"/>
            <w:vAlign w:val="top"/>
            <w:tcMar>
              <w:top w:w="70" w:type="dxa"/>
              <w:start w:w="85" w:type="dxa"/>
              <w:bottom w:w="70" w:type="dxa"/>
              <w:end w:w="85" w:type="dxa"/>
            </w:tcMar>
          </w:tcPr>
          <w:p>
            <w:pPr>
              <w:spacing w:after="0"/>
            </w:pPr>
            <w:r>
              <w:rPr>
                <w:sz w:val="15"/>
              </w:rPr>
              <w:t>Korunmalı.</w:t>
            </w:r>
          </w:p>
        </w:tc>
      </w:tr>
      <w:tr>
        <w:trPr>
          <w:cantSplit/>
        </w:trPr>
        <w:tc>
          <w:tcPr>
            <w:tcW w:type="dxa" w:w="2324"/>
            <w:vAlign w:val="top"/>
            <w:tcMar>
              <w:top w:w="70" w:type="dxa"/>
              <w:start w:w="85" w:type="dxa"/>
              <w:bottom w:w="70" w:type="dxa"/>
              <w:end w:w="85" w:type="dxa"/>
            </w:tcMar>
          </w:tcPr>
          <w:p>
            <w:pPr>
              <w:spacing w:after="0"/>
            </w:pPr>
            <w:r>
              <w:rPr>
                <w:sz w:val="15"/>
              </w:rPr>
              <w:t>16. “klasik”</w:t>
            </w:r>
          </w:p>
        </w:tc>
        <w:tc>
          <w:tcPr>
            <w:tcW w:type="dxa" w:w="1701"/>
            <w:vAlign w:val="top"/>
            <w:tcMar>
              <w:top w:w="70" w:type="dxa"/>
              <w:start w:w="85" w:type="dxa"/>
              <w:bottom w:w="70" w:type="dxa"/>
              <w:end w:w="85" w:type="dxa"/>
            </w:tcMar>
          </w:tcPr>
          <w:p>
            <w:pPr>
              <w:spacing w:after="0"/>
            </w:pPr>
            <w:r>
              <w:rPr>
                <w:sz w:val="15"/>
              </w:rPr>
              <w:t>Kısmen tamamlandı</w:t>
            </w:r>
          </w:p>
        </w:tc>
        <w:tc>
          <w:tcPr>
            <w:tcW w:type="dxa" w:w="3061"/>
            <w:vAlign w:val="top"/>
            <w:tcMar>
              <w:top w:w="70" w:type="dxa"/>
              <w:start w:w="85" w:type="dxa"/>
              <w:bottom w:w="70" w:type="dxa"/>
              <w:end w:w="85" w:type="dxa"/>
            </w:tcMar>
          </w:tcPr>
          <w:p>
            <w:pPr>
              <w:spacing w:after="0"/>
            </w:pPr>
            <w:r>
              <w:rPr>
                <w:sz w:val="15"/>
              </w:rPr>
              <w:t>Ana gövde ve rapor taramalarında belirsiz/tekrarlı kullanımlar sürüyor.</w:t>
            </w:r>
          </w:p>
        </w:tc>
        <w:tc>
          <w:tcPr>
            <w:tcW w:type="dxa" w:w="2948"/>
            <w:vAlign w:val="top"/>
            <w:tcMar>
              <w:top w:w="70" w:type="dxa"/>
              <w:start w:w="85" w:type="dxa"/>
              <w:bottom w:w="70" w:type="dxa"/>
              <w:end w:w="85" w:type="dxa"/>
            </w:tcMar>
          </w:tcPr>
          <w:p>
            <w:pPr>
              <w:spacing w:after="0"/>
            </w:pPr>
            <w:r>
              <w:rPr>
                <w:sz w:val="15"/>
              </w:rPr>
              <w:t>“Erken dönem kaynakları / resm literatürü / kırâat âlimleri / sonraki müellifler” gibi gerçekten kastedilen gruba göre daralt.</w:t>
            </w:r>
          </w:p>
        </w:tc>
      </w:tr>
      <w:tr>
        <w:trPr>
          <w:cantSplit/>
        </w:trPr>
        <w:tc>
          <w:tcPr>
            <w:tcW w:type="dxa" w:w="2324"/>
            <w:vAlign w:val="top"/>
            <w:tcMar>
              <w:top w:w="70" w:type="dxa"/>
              <w:start w:w="85" w:type="dxa"/>
              <w:bottom w:w="70" w:type="dxa"/>
              <w:end w:w="85" w:type="dxa"/>
            </w:tcMar>
          </w:tcPr>
          <w:p>
            <w:pPr>
              <w:spacing w:after="0"/>
            </w:pPr>
            <w:r>
              <w:rPr>
                <w:sz w:val="15"/>
              </w:rPr>
              <w:t>17. Kırmızı uzun cümleler</w:t>
            </w:r>
          </w:p>
        </w:tc>
        <w:tc>
          <w:tcPr>
            <w:tcW w:type="dxa" w:w="1701"/>
            <w:vAlign w:val="top"/>
            <w:tcMar>
              <w:top w:w="70" w:type="dxa"/>
              <w:start w:w="85" w:type="dxa"/>
              <w:bottom w:w="70" w:type="dxa"/>
              <w:end w:w="85" w:type="dxa"/>
            </w:tcMar>
          </w:tcPr>
          <w:p>
            <w:pPr>
              <w:spacing w:after="0"/>
            </w:pPr>
            <w:r>
              <w:rPr>
                <w:sz w:val="15"/>
              </w:rPr>
              <w:t>Tamamlanmadı</w:t>
            </w:r>
          </w:p>
        </w:tc>
        <w:tc>
          <w:tcPr>
            <w:tcW w:type="dxa" w:w="3061"/>
            <w:vAlign w:val="top"/>
            <w:tcMar>
              <w:top w:w="70" w:type="dxa"/>
              <w:start w:w="85" w:type="dxa"/>
              <w:bottom w:w="70" w:type="dxa"/>
              <w:end w:w="85" w:type="dxa"/>
            </w:tcMar>
          </w:tcPr>
          <w:p>
            <w:pPr>
              <w:spacing w:after="0"/>
            </w:pPr>
            <w:r>
              <w:rPr>
                <w:sz w:val="15"/>
              </w:rPr>
              <w:t>Kırmızı içeriği 120 karakteri aşan 29 paragraf var.</w:t>
            </w:r>
          </w:p>
        </w:tc>
        <w:tc>
          <w:tcPr>
            <w:tcW w:type="dxa" w:w="2948"/>
            <w:vAlign w:val="top"/>
            <w:tcMar>
              <w:top w:w="70" w:type="dxa"/>
              <w:start w:w="85" w:type="dxa"/>
              <w:bottom w:w="70" w:type="dxa"/>
              <w:end w:w="85" w:type="dxa"/>
            </w:tcMar>
          </w:tcPr>
          <w:p>
            <w:pPr>
              <w:spacing w:after="0"/>
            </w:pPr>
            <w:r>
              <w:rPr>
                <w:sz w:val="15"/>
              </w:rPr>
              <w:t>Ek B’deki tam liste üzerinden: çalışma notuysa sil; gerçek metinse cümle yükünü ve paragraf uyumunu yazar kararıyla düzelt.</w:t>
            </w:r>
          </w:p>
        </w:tc>
      </w:tr>
    </w:tbl>
    <w:p>
      <w:pPr>
        <w:pStyle w:val="Heading2"/>
        <w:keepNext/>
      </w:pPr>
      <w:r>
        <w:t>4. Redaktör İşaretlerinin Tam Kapatılması</w:t>
      </w:r>
    </w:p>
    <w:p>
      <w:r>
        <w:t>Güncel dosyada metin taşıyan 183 paragrafta toplam 420 kırmızı run bulunmaktadır. Önceki kapsamlı raporda “184 kırmızı paragraf” sayısı verilmişti. Bu üçüncü taramada yalnız metin taşıyan kırmızı run’lar esas alındığında sayı 183 olarak doğrulanmıştır. Fark, boş/biçimsel kırmızı run’ın sayılıp sayılmamasından kaynaklanan teknik bir sayım farkı niteliğindedir; asıl sorun değişmemektedir: kırmızı işaretler ana metnin içinde durmaktadır.</w:t>
      </w:r>
    </w:p>
    <w:p>
      <w:pPr>
        <w:pStyle w:val="Heading3"/>
        <w:keepNext/>
      </w:pPr>
      <w:r>
        <w:t>4.1. “değil/değildir” ailesi: önceki raporlarda eksik kalan tam envanter</w:t>
      </w:r>
    </w:p>
    <w:p>
      <w:r>
        <w:t>Redaktörce kırmızı işaretlenmiş “değil” dizisini içeren 130 run vardır. Ayrıca sözcüğün biçimlendirme nedeniyle iki parçaya bölündüğü iki kırmızı “eğil” run’ı saptanmıştır. Bunlar toplam 96 paragrafta kümelenmektedir. Önceki raporlar problemi doğru biçimde teşhis etmiş ancak bu 96 paragrafın tamamını tek tek kapatma listesine dönüştürmemişti. Ek A bu boşluğu giderir.</w:t>
      </w:r>
    </w:p>
    <w:p>
      <w:pPr>
        <w:pStyle w:val="ListBullet"/>
      </w:pPr>
      <w:r>
        <w:t>Bir karşıtlık bilimsel olarak zorunluysa “değil”i sırf tekrar sayısını azaltmak için değiştirme.</w:t>
      </w:r>
    </w:p>
    <w:p>
      <w:pPr>
        <w:pStyle w:val="ListBullet"/>
      </w:pPr>
      <w:r>
        <w:t>Aynı paragrafta iki veya daha fazla “değil” varsa önce cümlenin mantığını olumlu tanımla yeniden kurmayı dene.</w:t>
      </w:r>
    </w:p>
    <w:p>
      <w:pPr>
        <w:pStyle w:val="ListBullet"/>
      </w:pPr>
      <w:r>
        <w:t>“Yalnız/sadece X değil, Y” kalıbı yakın paragraflarda tekrarlanıyorsa “X’in yanı sıra Y”, “X ile birlikte Y”, “X’i aşarak Y” gibi doğal yapılar değerlendirilebilir.</w:t>
      </w:r>
    </w:p>
    <w:p>
      <w:pPr>
        <w:pStyle w:val="ListBullet"/>
      </w:pPr>
      <w:r>
        <w:t>Kırâat, resm, rivâyet, sened ve kabul ölçüsü tanımlarında negatif tanım yerine önce olumlu çekirdek tanımı kurmak tercih edilmelidir.</w:t>
      </w:r>
    </w:p>
    <w:p>
      <w:pPr>
        <w:pStyle w:val="Heading3"/>
        <w:keepNext/>
      </w:pPr>
      <w:r>
        <w:t>4.2. Formülaik kapanışlar ve kanıtı gereksiz kuvvetlendiren fiiller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984"/>
            <w:shd w:fill="D9EAF7"/>
          </w:tcPr>
          <w:p>
            <w:r>
              <w:rPr>
                <w:b/>
                <w:sz w:val="16"/>
              </w:rPr>
              <w:t>Kalıp</w:t>
            </w:r>
          </w:p>
        </w:tc>
        <w:tc>
          <w:tcPr>
            <w:tcW w:type="dxa" w:w="1247"/>
            <w:shd w:fill="D9EAF7"/>
          </w:tcPr>
          <w:p>
            <w:r>
              <w:rPr>
                <w:b/>
                <w:sz w:val="16"/>
              </w:rPr>
              <w:t>Sonuç dışı sayı</w:t>
            </w:r>
          </w:p>
        </w:tc>
        <w:tc>
          <w:tcPr>
            <w:tcW w:type="dxa" w:w="3628"/>
            <w:shd w:fill="D9EAF7"/>
          </w:tcPr>
          <w:p>
            <w:r>
              <w:rPr>
                <w:b/>
                <w:sz w:val="16"/>
              </w:rPr>
              <w:t>Sorun</w:t>
            </w:r>
          </w:p>
        </w:tc>
        <w:tc>
          <w:tcPr>
            <w:tcW w:type="dxa" w:w="3175"/>
            <w:shd w:fill="D9EAF7"/>
          </w:tcPr>
          <w:p>
            <w:r>
              <w:rPr>
                <w:b/>
                <w:sz w:val="16"/>
              </w:rPr>
              <w:t>Kapanış işlemi</w:t>
            </w:r>
          </w:p>
        </w:tc>
      </w:tr>
      <w:tr>
        <w:trPr>
          <w:cantSplit/>
        </w:trPr>
        <w:tc>
          <w:tcPr>
            <w:tcW w:type="dxa" w:w="1984"/>
            <w:vAlign w:val="top"/>
            <w:tcMar>
              <w:top w:w="70" w:type="dxa"/>
              <w:start w:w="85" w:type="dxa"/>
              <w:bottom w:w="70" w:type="dxa"/>
              <w:end w:w="85" w:type="dxa"/>
            </w:tcMar>
          </w:tcPr>
          <w:p>
            <w:pPr>
              <w:spacing w:after="0"/>
            </w:pPr>
            <w:r>
              <w:rPr>
                <w:sz w:val="16"/>
              </w:rPr>
              <w:t>Sonuç olarak</w:t>
            </w:r>
          </w:p>
        </w:tc>
        <w:tc>
          <w:tcPr>
            <w:tcW w:type="dxa" w:w="1247"/>
            <w:vAlign w:val="top"/>
            <w:tcMar>
              <w:top w:w="70" w:type="dxa"/>
              <w:start w:w="85" w:type="dxa"/>
              <w:bottom w:w="70" w:type="dxa"/>
              <w:end w:w="85" w:type="dxa"/>
            </w:tcMar>
          </w:tcPr>
          <w:p>
            <w:pPr>
              <w:spacing w:after="0"/>
            </w:pPr>
            <w:r>
              <w:rPr>
                <w:sz w:val="16"/>
              </w:rPr>
              <w:t>14</w:t>
            </w:r>
          </w:p>
        </w:tc>
        <w:tc>
          <w:tcPr>
            <w:tcW w:type="dxa" w:w="3628"/>
            <w:vAlign w:val="top"/>
            <w:tcMar>
              <w:top w:w="70" w:type="dxa"/>
              <w:start w:w="85" w:type="dxa"/>
              <w:bottom w:w="70" w:type="dxa"/>
              <w:end w:w="85" w:type="dxa"/>
            </w:tcMar>
          </w:tcPr>
          <w:p>
            <w:pPr>
              <w:spacing w:after="0"/>
            </w:pPr>
            <w:r>
              <w:rPr>
                <w:sz w:val="16"/>
              </w:rPr>
              <w:t>İkinci rapor 14 kullanımın 11’ini müdahale gerektiren C/D/E sınıfında değerlendirdi.</w:t>
            </w:r>
          </w:p>
        </w:tc>
        <w:tc>
          <w:tcPr>
            <w:tcW w:type="dxa" w:w="3175"/>
            <w:vAlign w:val="top"/>
            <w:tcMar>
              <w:top w:w="70" w:type="dxa"/>
              <w:start w:w="85" w:type="dxa"/>
              <w:bottom w:w="70" w:type="dxa"/>
              <w:end w:w="85" w:type="dxa"/>
            </w:tcMar>
          </w:tcPr>
          <w:p>
            <w:pPr>
              <w:spacing w:after="0"/>
            </w:pPr>
            <w:r>
              <w:rPr>
                <w:sz w:val="16"/>
              </w:rPr>
              <w:t>Gereksiz mini-sonucu sil/birleştir; gerçek sentezi koru.</w:t>
            </w:r>
          </w:p>
        </w:tc>
      </w:tr>
      <w:tr>
        <w:trPr>
          <w:cantSplit/>
        </w:trPr>
        <w:tc>
          <w:tcPr>
            <w:tcW w:type="dxa" w:w="1984"/>
            <w:vAlign w:val="top"/>
            <w:tcMar>
              <w:top w:w="70" w:type="dxa"/>
              <w:start w:w="85" w:type="dxa"/>
              <w:bottom w:w="70" w:type="dxa"/>
              <w:end w:w="85" w:type="dxa"/>
            </w:tcMar>
          </w:tcPr>
          <w:p>
            <w:pPr>
              <w:spacing w:after="0"/>
            </w:pPr>
            <w:r>
              <w:rPr>
                <w:sz w:val="16"/>
              </w:rPr>
              <w:t>Bütün bu veriler…</w:t>
            </w:r>
          </w:p>
        </w:tc>
        <w:tc>
          <w:tcPr>
            <w:tcW w:type="dxa" w:w="1247"/>
            <w:vAlign w:val="top"/>
            <w:tcMar>
              <w:top w:w="70" w:type="dxa"/>
              <w:start w:w="85" w:type="dxa"/>
              <w:bottom w:w="70" w:type="dxa"/>
              <w:end w:w="85" w:type="dxa"/>
            </w:tcMar>
          </w:tcPr>
          <w:p>
            <w:pPr>
              <w:spacing w:after="0"/>
            </w:pPr>
            <w:r>
              <w:rPr>
                <w:sz w:val="16"/>
              </w:rPr>
              <w:t>4</w:t>
            </w:r>
          </w:p>
        </w:tc>
        <w:tc>
          <w:tcPr>
            <w:tcW w:type="dxa" w:w="3628"/>
            <w:vAlign w:val="top"/>
            <w:tcMar>
              <w:top w:w="70" w:type="dxa"/>
              <w:start w:w="85" w:type="dxa"/>
              <w:bottom w:w="70" w:type="dxa"/>
              <w:end w:w="85" w:type="dxa"/>
            </w:tcMar>
          </w:tcPr>
          <w:p>
            <w:pPr>
              <w:spacing w:after="0"/>
            </w:pPr>
            <w:r>
              <w:rPr>
                <w:sz w:val="16"/>
              </w:rPr>
              <w:t>Aynı bölümde erken/genel sentez işleviyle tekrarlanıyor.</w:t>
            </w:r>
          </w:p>
        </w:tc>
        <w:tc>
          <w:tcPr>
            <w:tcW w:type="dxa" w:w="3175"/>
            <w:vAlign w:val="top"/>
            <w:tcMar>
              <w:top w:w="70" w:type="dxa"/>
              <w:start w:w="85" w:type="dxa"/>
              <w:bottom w:w="70" w:type="dxa"/>
              <w:end w:w="85" w:type="dxa"/>
            </w:tcMar>
          </w:tcPr>
          <w:p>
            <w:pPr>
              <w:spacing w:after="0"/>
            </w:pPr>
            <w:r>
              <w:rPr>
                <w:sz w:val="16"/>
              </w:rPr>
              <w:t>Bir tek sentez noktasında kullan veya somut geçişe dönüştür.</w:t>
            </w:r>
          </w:p>
        </w:tc>
      </w:tr>
      <w:tr>
        <w:trPr>
          <w:cantSplit/>
        </w:trPr>
        <w:tc>
          <w:tcPr>
            <w:tcW w:type="dxa" w:w="1984"/>
            <w:vAlign w:val="top"/>
            <w:tcMar>
              <w:top w:w="70" w:type="dxa"/>
              <w:start w:w="85" w:type="dxa"/>
              <w:bottom w:w="70" w:type="dxa"/>
              <w:end w:w="85" w:type="dxa"/>
            </w:tcMar>
          </w:tcPr>
          <w:p>
            <w:pPr>
              <w:spacing w:after="0"/>
            </w:pPr>
            <w:r>
              <w:rPr>
                <w:sz w:val="16"/>
              </w:rPr>
              <w:t>açıkça ortaya koymaktadır</w:t>
            </w:r>
          </w:p>
        </w:tc>
        <w:tc>
          <w:tcPr>
            <w:tcW w:type="dxa" w:w="1247"/>
            <w:vAlign w:val="top"/>
            <w:tcMar>
              <w:top w:w="70" w:type="dxa"/>
              <w:start w:w="85" w:type="dxa"/>
              <w:bottom w:w="70" w:type="dxa"/>
              <w:end w:w="85" w:type="dxa"/>
            </w:tcMar>
          </w:tcPr>
          <w:p>
            <w:pPr>
              <w:spacing w:after="0"/>
            </w:pPr>
            <w:r>
              <w:rPr>
                <w:sz w:val="16"/>
              </w:rPr>
              <w:t>7</w:t>
            </w:r>
          </w:p>
        </w:tc>
        <w:tc>
          <w:tcPr>
            <w:tcW w:type="dxa" w:w="3628"/>
            <w:vAlign w:val="top"/>
            <w:tcMar>
              <w:top w:w="70" w:type="dxa"/>
              <w:start w:w="85" w:type="dxa"/>
              <w:bottom w:w="70" w:type="dxa"/>
              <w:end w:w="85" w:type="dxa"/>
            </w:tcMar>
          </w:tcPr>
          <w:p>
            <w:pPr>
              <w:spacing w:after="0"/>
            </w:pPr>
            <w:r>
              <w:rPr>
                <w:sz w:val="16"/>
              </w:rPr>
              <w:t>“Açıkça” kanıt düzeyini yükseltiyor; bazı bağlamlarda kaynakların izin verdiğinden güçlü.</w:t>
            </w:r>
          </w:p>
        </w:tc>
        <w:tc>
          <w:tcPr>
            <w:tcW w:type="dxa" w:w="3175"/>
            <w:vAlign w:val="top"/>
            <w:tcMar>
              <w:top w:w="70" w:type="dxa"/>
              <w:start w:w="85" w:type="dxa"/>
              <w:bottom w:w="70" w:type="dxa"/>
              <w:end w:w="85" w:type="dxa"/>
            </w:tcMar>
          </w:tcPr>
          <w:p>
            <w:pPr>
              <w:spacing w:after="0"/>
            </w:pPr>
            <w:r>
              <w:rPr>
                <w:sz w:val="16"/>
              </w:rPr>
              <w:t>Bağlama özgü ve ihtiyatlı fiil veya doğrudan kaynak nispeti.</w:t>
            </w:r>
          </w:p>
        </w:tc>
      </w:tr>
      <w:tr>
        <w:trPr>
          <w:cantSplit/>
        </w:trPr>
        <w:tc>
          <w:tcPr>
            <w:tcW w:type="dxa" w:w="1984"/>
            <w:vAlign w:val="top"/>
            <w:tcMar>
              <w:top w:w="70" w:type="dxa"/>
              <w:start w:w="85" w:type="dxa"/>
              <w:bottom w:w="70" w:type="dxa"/>
              <w:end w:w="85" w:type="dxa"/>
            </w:tcMar>
          </w:tcPr>
          <w:p>
            <w:pPr>
              <w:spacing w:after="0"/>
            </w:pPr>
            <w:r>
              <w:rPr>
                <w:sz w:val="16"/>
              </w:rPr>
              <w:t>Bu çerçevede</w:t>
            </w:r>
          </w:p>
        </w:tc>
        <w:tc>
          <w:tcPr>
            <w:tcW w:type="dxa" w:w="1247"/>
            <w:vAlign w:val="top"/>
            <w:tcMar>
              <w:top w:w="70" w:type="dxa"/>
              <w:start w:w="85" w:type="dxa"/>
              <w:bottom w:w="70" w:type="dxa"/>
              <w:end w:w="85" w:type="dxa"/>
            </w:tcMar>
          </w:tcPr>
          <w:p>
            <w:pPr>
              <w:spacing w:after="0"/>
            </w:pPr>
            <w:r>
              <w:rPr>
                <w:sz w:val="16"/>
              </w:rPr>
              <w:t>31</w:t>
            </w:r>
          </w:p>
        </w:tc>
        <w:tc>
          <w:tcPr>
            <w:tcW w:type="dxa" w:w="3628"/>
            <w:vAlign w:val="top"/>
            <w:tcMar>
              <w:top w:w="70" w:type="dxa"/>
              <w:start w:w="85" w:type="dxa"/>
              <w:bottom w:w="70" w:type="dxa"/>
              <w:end w:w="85" w:type="dxa"/>
            </w:tcMar>
          </w:tcPr>
          <w:p>
            <w:pPr>
              <w:spacing w:after="0"/>
            </w:pPr>
            <w:r>
              <w:rPr>
                <w:sz w:val="16"/>
              </w:rPr>
              <w:t>Yüksek sıklık tek başına hata değil; 31 kullanım mekanik geçiş riski oluşturuyor.</w:t>
            </w:r>
          </w:p>
        </w:tc>
        <w:tc>
          <w:tcPr>
            <w:tcW w:type="dxa" w:w="3175"/>
            <w:vAlign w:val="top"/>
            <w:tcMar>
              <w:top w:w="70" w:type="dxa"/>
              <w:start w:w="85" w:type="dxa"/>
              <w:bottom w:w="70" w:type="dxa"/>
              <w:end w:w="85" w:type="dxa"/>
            </w:tcMar>
          </w:tcPr>
          <w:p>
            <w:pPr>
              <w:spacing w:after="0"/>
            </w:pPr>
            <w:r>
              <w:rPr>
                <w:sz w:val="16"/>
              </w:rPr>
              <w:t>Gerçek mantıksal bağ yoksa kaldır; varsa bağın türünü cümlede açıkla.</w:t>
            </w:r>
          </w:p>
        </w:tc>
      </w:tr>
      <w:tr>
        <w:trPr>
          <w:cantSplit/>
        </w:trPr>
        <w:tc>
          <w:tcPr>
            <w:tcW w:type="dxa" w:w="1984"/>
            <w:vAlign w:val="top"/>
            <w:tcMar>
              <w:top w:w="70" w:type="dxa"/>
              <w:start w:w="85" w:type="dxa"/>
              <w:bottom w:w="70" w:type="dxa"/>
              <w:end w:w="85" w:type="dxa"/>
            </w:tcMar>
          </w:tcPr>
          <w:p>
            <w:pPr>
              <w:spacing w:after="0"/>
            </w:pPr>
            <w:r>
              <w:rPr>
                <w:sz w:val="16"/>
              </w:rPr>
              <w:t>Nitekim</w:t>
            </w:r>
          </w:p>
        </w:tc>
        <w:tc>
          <w:tcPr>
            <w:tcW w:type="dxa" w:w="1247"/>
            <w:vAlign w:val="top"/>
            <w:tcMar>
              <w:top w:w="70" w:type="dxa"/>
              <w:start w:w="85" w:type="dxa"/>
              <w:bottom w:w="70" w:type="dxa"/>
              <w:end w:w="85" w:type="dxa"/>
            </w:tcMar>
          </w:tcPr>
          <w:p>
            <w:pPr>
              <w:spacing w:after="0"/>
            </w:pPr>
            <w:r>
              <w:rPr>
                <w:sz w:val="16"/>
              </w:rPr>
              <w:t>85</w:t>
            </w:r>
          </w:p>
        </w:tc>
        <w:tc>
          <w:tcPr>
            <w:tcW w:type="dxa" w:w="3628"/>
            <w:vAlign w:val="top"/>
            <w:tcMar>
              <w:top w:w="70" w:type="dxa"/>
              <w:start w:w="85" w:type="dxa"/>
              <w:bottom w:w="70" w:type="dxa"/>
              <w:end w:w="85" w:type="dxa"/>
            </w:tcMar>
          </w:tcPr>
          <w:p>
            <w:pPr>
              <w:spacing w:after="0"/>
            </w:pPr>
            <w:r>
              <w:rPr>
                <w:sz w:val="16"/>
              </w:rPr>
              <w:t>Sonuç öncesinde 85 kullanım; özellikle örnekleme zincirlerinde monotonluk oluşturuyor.</w:t>
            </w:r>
          </w:p>
        </w:tc>
        <w:tc>
          <w:tcPr>
            <w:tcW w:type="dxa" w:w="3175"/>
            <w:vAlign w:val="top"/>
            <w:tcMar>
              <w:top w:w="70" w:type="dxa"/>
              <w:start w:w="85" w:type="dxa"/>
              <w:bottom w:w="70" w:type="dxa"/>
              <w:end w:w="85" w:type="dxa"/>
            </w:tcMar>
          </w:tcPr>
          <w:p>
            <w:pPr>
              <w:spacing w:after="0"/>
            </w:pPr>
            <w:r>
              <w:rPr>
                <w:sz w:val="16"/>
              </w:rPr>
              <w:t>Her kullanım değiştirilmeyecek; yakın tekrarlar azaltılacak.</w:t>
            </w:r>
          </w:p>
        </w:tc>
      </w:tr>
      <w:tr>
        <w:trPr>
          <w:cantSplit/>
        </w:trPr>
        <w:tc>
          <w:tcPr>
            <w:tcW w:type="dxa" w:w="1984"/>
            <w:vAlign w:val="top"/>
            <w:tcMar>
              <w:top w:w="70" w:type="dxa"/>
              <w:start w:w="85" w:type="dxa"/>
              <w:bottom w:w="70" w:type="dxa"/>
              <w:end w:w="85" w:type="dxa"/>
            </w:tcMar>
          </w:tcPr>
          <w:p>
            <w:pPr>
              <w:spacing w:after="0"/>
            </w:pPr>
            <w:r>
              <w:rPr>
                <w:sz w:val="16"/>
              </w:rPr>
              <w:t>Dolayısıyla</w:t>
            </w:r>
          </w:p>
        </w:tc>
        <w:tc>
          <w:tcPr>
            <w:tcW w:type="dxa" w:w="1247"/>
            <w:vAlign w:val="top"/>
            <w:tcMar>
              <w:top w:w="70" w:type="dxa"/>
              <w:start w:w="85" w:type="dxa"/>
              <w:bottom w:w="70" w:type="dxa"/>
              <w:end w:w="85" w:type="dxa"/>
            </w:tcMar>
          </w:tcPr>
          <w:p>
            <w:pPr>
              <w:spacing w:after="0"/>
            </w:pPr>
            <w:r>
              <w:rPr>
                <w:sz w:val="16"/>
              </w:rPr>
              <w:t>53</w:t>
            </w:r>
          </w:p>
        </w:tc>
        <w:tc>
          <w:tcPr>
            <w:tcW w:type="dxa" w:w="3628"/>
            <w:vAlign w:val="top"/>
            <w:tcMar>
              <w:top w:w="70" w:type="dxa"/>
              <w:start w:w="85" w:type="dxa"/>
              <w:bottom w:w="70" w:type="dxa"/>
              <w:end w:w="85" w:type="dxa"/>
            </w:tcMar>
          </w:tcPr>
          <w:p>
            <w:pPr>
              <w:spacing w:after="0"/>
            </w:pPr>
            <w:r>
              <w:rPr>
                <w:sz w:val="16"/>
              </w:rPr>
              <w:t>Sonuç öncesinde 53 kullanım; bazı yerlerde nedenselliği gereğinden güçlü kuruyor.</w:t>
            </w:r>
          </w:p>
        </w:tc>
        <w:tc>
          <w:tcPr>
            <w:tcW w:type="dxa" w:w="3175"/>
            <w:vAlign w:val="top"/>
            <w:tcMar>
              <w:top w:w="70" w:type="dxa"/>
              <w:start w:w="85" w:type="dxa"/>
              <w:bottom w:w="70" w:type="dxa"/>
              <w:end w:w="85" w:type="dxa"/>
            </w:tcMar>
          </w:tcPr>
          <w:p>
            <w:pPr>
              <w:spacing w:after="0"/>
            </w:pPr>
            <w:r>
              <w:rPr>
                <w:sz w:val="16"/>
              </w:rPr>
              <w:t>Nedensellik gerçekten gösterilmişse koru; aksi hâlde daha nötr bağ.</w:t>
            </w:r>
          </w:p>
        </w:tc>
      </w:tr>
    </w:tbl>
    <w:p>
      <w:pPr>
        <w:pStyle w:val="Heading3"/>
        <w:keepNext/>
      </w:pPr>
      <w:r>
        <w:t>4.3. Çalışma notları, soru işaretleri ve belirsiz yer tutucular</w:t>
      </w:r>
    </w:p>
    <w:p>
      <w:r>
        <w:t>Aşağıdaki türden ifadeler redaksiyon notu olarak kalmış ve ana metnin bir parçasıymış gibi Word gövdesinde bulunmaktadır. Bunlar yayıma kesinlikle girmemelidir. Tarih veya kişi bilgisi doğrulanmadan notun yerine tahminî bilgi de yazılmamalıdır.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381"/>
            <w:shd w:fill="D9EAF7"/>
          </w:tcPr>
          <w:p>
            <w:r>
              <w:rPr>
                <w:b/>
                <w:sz w:val="15"/>
              </w:rPr>
              <w:t>Yer</w:t>
            </w:r>
          </w:p>
        </w:tc>
        <w:tc>
          <w:tcPr>
            <w:tcW w:type="dxa" w:w="850"/>
            <w:shd w:fill="D9EAF7"/>
          </w:tcPr>
          <w:p>
            <w:r>
              <w:rPr>
                <w:b/>
                <w:sz w:val="15"/>
              </w:rPr>
              <w:t>Paragraf</w:t>
            </w:r>
          </w:p>
        </w:tc>
        <w:tc>
          <w:tcPr>
            <w:tcW w:type="dxa" w:w="4706"/>
            <w:shd w:fill="D9EAF7"/>
          </w:tcPr>
          <w:p>
            <w:r>
              <w:rPr>
                <w:b/>
                <w:sz w:val="15"/>
              </w:rPr>
              <w:t>Mevcut artık</w:t>
            </w:r>
          </w:p>
        </w:tc>
        <w:tc>
          <w:tcPr>
            <w:tcW w:type="dxa" w:w="2268"/>
            <w:shd w:fill="D9EAF7"/>
          </w:tcPr>
          <w:p>
            <w:r>
              <w:rPr>
                <w:b/>
                <w:sz w:val="15"/>
              </w:rPr>
              <w:t>İşlem</w:t>
            </w:r>
          </w:p>
        </w:tc>
      </w:tr>
      <w:tr>
        <w:trPr>
          <w:cantSplit/>
        </w:trPr>
        <w:tc>
          <w:tcPr>
            <w:tcW w:type="dxa" w:w="2381"/>
            <w:vAlign w:val="top"/>
            <w:tcMar>
              <w:top w:w="70" w:type="dxa"/>
              <w:start w:w="85" w:type="dxa"/>
              <w:bottom w:w="70" w:type="dxa"/>
              <w:end w:w="85" w:type="dxa"/>
            </w:tcMar>
          </w:tcPr>
          <w:p>
            <w:pPr>
              <w:spacing w:after="0"/>
            </w:pPr>
            <w:r>
              <w:rPr>
                <w:sz w:val="15"/>
              </w:rPr>
              <w:t>1.1 İslâm’dan Önce Arap Yazısının Durumu</w:t>
            </w:r>
          </w:p>
        </w:tc>
        <w:tc>
          <w:tcPr>
            <w:tcW w:type="dxa" w:w="850"/>
            <w:vAlign w:val="top"/>
            <w:tcMar>
              <w:top w:w="70" w:type="dxa"/>
              <w:start w:w="85" w:type="dxa"/>
              <w:bottom w:w="70" w:type="dxa"/>
              <w:end w:w="85" w:type="dxa"/>
            </w:tcMar>
          </w:tcPr>
          <w:p>
            <w:pPr>
              <w:spacing w:after="0"/>
            </w:pPr>
            <w:r>
              <w:rPr>
                <w:sz w:val="15"/>
              </w:rPr>
              <w:t>P52</w:t>
            </w:r>
          </w:p>
        </w:tc>
        <w:tc>
          <w:tcPr>
            <w:tcW w:type="dxa" w:w="4706"/>
            <w:vAlign w:val="top"/>
            <w:tcMar>
              <w:top w:w="70" w:type="dxa"/>
              <w:start w:w="85" w:type="dxa"/>
              <w:bottom w:w="70" w:type="dxa"/>
              <w:end w:w="85" w:type="dxa"/>
            </w:tcMar>
          </w:tcPr>
          <w:p>
            <w:pPr>
              <w:spacing w:after="0"/>
            </w:pPr>
            <w:r>
              <w:rPr>
                <w:sz w:val="15"/>
              </w:rPr>
              <w:t>Kaynaklar İslâm öncesi dönemde Araplar arasında yazının sınırlı da olsa kullanıldığını ve yazıyı bilen belli bir kesimin bulunduğunu göstermektedir. Bu veriler yazının kurumsal anlamda pratiğinin olmadığını, ancak toplumsal hayatın bazı…</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1.2 Erken Dönemde Kur’an’ın Yazı ile İlişkisi</w:t>
            </w:r>
          </w:p>
        </w:tc>
        <w:tc>
          <w:tcPr>
            <w:tcW w:type="dxa" w:w="850"/>
            <w:vAlign w:val="top"/>
            <w:tcMar>
              <w:top w:w="70" w:type="dxa"/>
              <w:start w:w="85" w:type="dxa"/>
              <w:bottom w:w="70" w:type="dxa"/>
              <w:end w:w="85" w:type="dxa"/>
            </w:tcMar>
          </w:tcPr>
          <w:p>
            <w:pPr>
              <w:spacing w:after="0"/>
            </w:pPr>
            <w:r>
              <w:rPr>
                <w:sz w:val="15"/>
              </w:rPr>
              <w:t>P63</w:t>
            </w:r>
          </w:p>
        </w:tc>
        <w:tc>
          <w:tcPr>
            <w:tcW w:type="dxa" w:w="4706"/>
            <w:vAlign w:val="top"/>
            <w:tcMar>
              <w:top w:w="70" w:type="dxa"/>
              <w:start w:w="85" w:type="dxa"/>
              <w:bottom w:w="70" w:type="dxa"/>
              <w:end w:w="85" w:type="dxa"/>
            </w:tcMar>
          </w:tcPr>
          <w:p>
            <w:pPr>
              <w:spacing w:after="0"/>
            </w:pPr>
            <w:r>
              <w:rPr>
                <w:sz w:val="15"/>
              </w:rPr>
              <w:t>Medine dönemine gelindiğinde ise durum daha farklı bir görünüm arz etmiştir. Bu döneme ilişkin rivâyetler, vahyin yazıya geçirilmesi hususunda çok daha sistemli ve titiz bir uygulamanın bulunduğunu göstermektedir. Nitekim vahiy geldiğinde…</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1.4 Resm-i Mushaf’ı Çoğaltmayı Gerektiren Sebepler</w:t>
            </w:r>
          </w:p>
        </w:tc>
        <w:tc>
          <w:tcPr>
            <w:tcW w:type="dxa" w:w="850"/>
            <w:vAlign w:val="top"/>
            <w:tcMar>
              <w:top w:w="70" w:type="dxa"/>
              <w:start w:w="85" w:type="dxa"/>
              <w:bottom w:w="70" w:type="dxa"/>
              <w:end w:w="85" w:type="dxa"/>
            </w:tcMar>
          </w:tcPr>
          <w:p>
            <w:pPr>
              <w:spacing w:after="0"/>
            </w:pPr>
            <w:r>
              <w:rPr>
                <w:sz w:val="15"/>
              </w:rPr>
              <w:t>P84</w:t>
            </w:r>
          </w:p>
        </w:tc>
        <w:tc>
          <w:tcPr>
            <w:tcW w:type="dxa" w:w="4706"/>
            <w:vAlign w:val="top"/>
            <w:tcMar>
              <w:top w:w="70" w:type="dxa"/>
              <w:start w:w="85" w:type="dxa"/>
              <w:bottom w:w="70" w:type="dxa"/>
              <w:end w:w="85" w:type="dxa"/>
            </w:tcMar>
          </w:tcPr>
          <w:p>
            <w:pPr>
              <w:spacing w:after="0"/>
            </w:pPr>
            <w:r>
              <w:rPr>
                <w:sz w:val="15"/>
              </w:rPr>
              <w:t>Kaynaklarda hem Medine’de hem de Medine dışında birtakım kırâat ihtilaflarının zuhur etmeye başladığı belirtilmektedir. Bu hususla ilgili olarak iki ayrı rivâyet nakledilmiştir. Bunlardan birisi Ebû Kilâbe’den gelen rivâyettir. O, yaptığı…</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5"/>
              </w:rPr>
              <w:t>P106</w:t>
            </w:r>
          </w:p>
        </w:tc>
        <w:tc>
          <w:tcPr>
            <w:tcW w:type="dxa" w:w="4706"/>
            <w:vAlign w:val="top"/>
            <w:tcMar>
              <w:top w:w="70" w:type="dxa"/>
              <w:start w:w="85" w:type="dxa"/>
              <w:bottom w:w="70" w:type="dxa"/>
              <w:end w:w="85" w:type="dxa"/>
            </w:tcMar>
          </w:tcPr>
          <w:p>
            <w:pPr>
              <w:spacing w:after="0"/>
            </w:pPr>
            <w:r>
              <w:rPr>
                <w:sz w:val="15"/>
              </w:rPr>
              <w:t>İbn Hacer (ö. 852/1449 ) ve Suyûtî (ö. 911/1505 bu ölüm tarihi daha önce geçti mi bakılabilir) mushaf sayısının beş olduğu kanaatini “en yaygın görüş” olarak nitelendirirler. Semhûdî (ö. 911/1506) de aynı doğrultuda değerlendirme…</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5"/>
              </w:rPr>
              <w:t>P108</w:t>
            </w:r>
          </w:p>
        </w:tc>
        <w:tc>
          <w:tcPr>
            <w:tcW w:type="dxa" w:w="4706"/>
            <w:vAlign w:val="top"/>
            <w:tcMar>
              <w:top w:w="70" w:type="dxa"/>
              <w:start w:w="85" w:type="dxa"/>
              <w:bottom w:w="70" w:type="dxa"/>
              <w:end w:w="85" w:type="dxa"/>
            </w:tcMar>
          </w:tcPr>
          <w:p>
            <w:pPr>
              <w:spacing w:after="0"/>
            </w:pPr>
            <w:r>
              <w:rPr>
                <w:sz w:val="15"/>
              </w:rPr>
              <w:t>Öte yandan istinsah edilen mushafların yalnız başına gönderilmediği, her biriyle birlikte bir kırâat mualliminin gönderildiği bilinmektedir. Kaynaklara göre Zeyd b. Sâbit Medine’de kalmıştır. Abdullah b. Sâib (ö. 70/689) Mekke’ye, Muğîre…</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1.6.2 Resm Kavramının Istılâhî Çerçevesi</w:t>
            </w:r>
          </w:p>
        </w:tc>
        <w:tc>
          <w:tcPr>
            <w:tcW w:type="dxa" w:w="850"/>
            <w:vAlign w:val="top"/>
            <w:tcMar>
              <w:top w:w="70" w:type="dxa"/>
              <w:start w:w="85" w:type="dxa"/>
              <w:bottom w:w="70" w:type="dxa"/>
              <w:end w:w="85" w:type="dxa"/>
            </w:tcMar>
          </w:tcPr>
          <w:p>
            <w:pPr>
              <w:spacing w:after="0"/>
            </w:pPr>
            <w:r>
              <w:rPr>
                <w:sz w:val="15"/>
              </w:rPr>
              <w:t>P133</w:t>
            </w:r>
          </w:p>
        </w:tc>
        <w:tc>
          <w:tcPr>
            <w:tcW w:type="dxa" w:w="4706"/>
            <w:vAlign w:val="top"/>
            <w:tcMar>
              <w:top w:w="70" w:type="dxa"/>
              <w:start w:w="85" w:type="dxa"/>
              <w:bottom w:w="70" w:type="dxa"/>
              <w:end w:w="85" w:type="dxa"/>
            </w:tcMar>
          </w:tcPr>
          <w:p>
            <w:pPr>
              <w:spacing w:after="0"/>
            </w:pPr>
            <w:r>
              <w:rPr>
                <w:sz w:val="15"/>
              </w:rPr>
              <w:t>Kastallânî (ö. 923/1517 bu tarih daha önce geçtiyse silinsin) ise, meseleyi bir adım daha ileri götürerek teknik bir düzleme taşır ve resmi, “yazının lafza uygunluğu” şeklinde tanımlar. Bu tanımda merkezde artık temsil fikrinden ziyade…</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1.8 Resm-i Osmânî Tevkîfî mi İctihâdi mi?</w:t>
            </w:r>
          </w:p>
        </w:tc>
        <w:tc>
          <w:tcPr>
            <w:tcW w:type="dxa" w:w="850"/>
            <w:vAlign w:val="top"/>
            <w:tcMar>
              <w:top w:w="70" w:type="dxa"/>
              <w:start w:w="85" w:type="dxa"/>
              <w:bottom w:w="70" w:type="dxa"/>
              <w:end w:w="85" w:type="dxa"/>
            </w:tcMar>
          </w:tcPr>
          <w:p>
            <w:pPr>
              <w:spacing w:after="0"/>
            </w:pPr>
            <w:r>
              <w:rPr>
                <w:sz w:val="15"/>
              </w:rPr>
              <w:t>P158</w:t>
            </w:r>
          </w:p>
        </w:tc>
        <w:tc>
          <w:tcPr>
            <w:tcW w:type="dxa" w:w="4706"/>
            <w:vAlign w:val="top"/>
            <w:tcMar>
              <w:top w:w="70" w:type="dxa"/>
              <w:start w:w="85" w:type="dxa"/>
              <w:bottom w:w="70" w:type="dxa"/>
              <w:end w:w="85" w:type="dxa"/>
            </w:tcMar>
          </w:tcPr>
          <w:p>
            <w:pPr>
              <w:spacing w:after="0"/>
            </w:pPr>
            <w:r>
              <w:rPr>
                <w:sz w:val="15"/>
              </w:rPr>
              <w:t>Ancak bu konuda İslâm âlimleri farklı görüşler ortaya koymuşlardır.  Bâkıllânî (ö. 403/10113 daha önce geçtiyse silinsin) ise şöyle demiştir: Vahiy kâtiplerine ve mushafları koruyanlara, belirli bir yazım biçimini zorunlu kılan ve bunun…</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4.2 Sahâbe Mushaflarındaki Kırâat Rivâyetlerine Karşı Resm-i Osmânî’nin Konumu</w:t>
            </w:r>
          </w:p>
        </w:tc>
        <w:tc>
          <w:tcPr>
            <w:tcW w:type="dxa" w:w="850"/>
            <w:vAlign w:val="top"/>
            <w:tcMar>
              <w:top w:w="70" w:type="dxa"/>
              <w:start w:w="85" w:type="dxa"/>
              <w:bottom w:w="70" w:type="dxa"/>
              <w:end w:w="85" w:type="dxa"/>
            </w:tcMar>
          </w:tcPr>
          <w:p>
            <w:pPr>
              <w:spacing w:after="0"/>
            </w:pPr>
            <w:r>
              <w:rPr>
                <w:sz w:val="15"/>
              </w:rPr>
              <w:t>P398</w:t>
            </w:r>
          </w:p>
        </w:tc>
        <w:tc>
          <w:tcPr>
            <w:tcW w:type="dxa" w:w="4706"/>
            <w:vAlign w:val="top"/>
            <w:tcMar>
              <w:top w:w="70" w:type="dxa"/>
              <w:start w:w="85" w:type="dxa"/>
              <w:bottom w:w="70" w:type="dxa"/>
              <w:end w:w="85" w:type="dxa"/>
            </w:tcMar>
          </w:tcPr>
          <w:p>
            <w:pPr>
              <w:spacing w:after="0"/>
            </w:pPr>
            <w:r>
              <w:rPr>
                <w:sz w:val="15"/>
              </w:rPr>
              <w:t>Sahâbe mushaflarında bulunan kırâat rivâyetlerinin bir başka kısmı ise, son arzadan sonra hükmü kalkmış yahut tilâveti neshedilmiş vecihlerle ilgilidir. Kaynaklarda, bazı sahâbîlerin Rasûlullah’tan işittikleri okuyuşları neshedildiğini…</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5"/>
              </w:rPr>
              <w:t>P432</w:t>
            </w:r>
          </w:p>
        </w:tc>
        <w:tc>
          <w:tcPr>
            <w:tcW w:type="dxa" w:w="4706"/>
            <w:vAlign w:val="top"/>
            <w:tcMar>
              <w:top w:w="70" w:type="dxa"/>
              <w:start w:w="85" w:type="dxa"/>
              <w:bottom w:w="70" w:type="dxa"/>
              <w:end w:w="85" w:type="dxa"/>
            </w:tcMar>
          </w:tcPr>
          <w:p>
            <w:pPr>
              <w:spacing w:after="0"/>
            </w:pPr>
            <w:r>
              <w:rPr>
                <w:sz w:val="15"/>
              </w:rPr>
              <w:t>Osmânî mushafların yazımına dair rivâyetler, kırâat rivâyetlerinden bağımsız bir alan olarak addedilmeyip, onlarla iç içe gelişen tamamlayıcı bir nakil sahası olarak anlaşılmıştır. Nitekim el-Mehdevî (ö. 440/1048 daha önce geçmişmi),…</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5"/>
              </w:rPr>
              <w:t>P434</w:t>
            </w:r>
          </w:p>
        </w:tc>
        <w:tc>
          <w:tcPr>
            <w:tcW w:type="dxa" w:w="4706"/>
            <w:vAlign w:val="top"/>
            <w:tcMar>
              <w:top w:w="70" w:type="dxa"/>
              <w:start w:w="85" w:type="dxa"/>
              <w:bottom w:w="70" w:type="dxa"/>
              <w:end w:w="85" w:type="dxa"/>
            </w:tcMar>
          </w:tcPr>
          <w:p>
            <w:pPr>
              <w:spacing w:after="0"/>
            </w:pPr>
            <w:r>
              <w:rPr>
                <w:sz w:val="15"/>
              </w:rPr>
              <w:t>Zamanla resm rivâyetçileri çoğalmış ve emsâr bölgelerinde yayılmıştır. Bunun sonucu olarak Dânî, el-Muḳniʿ adlı eserinde onların birçok rivâyetine yer vermiş ve onun talebesi Ebû Dâvud Süleymân b. Necâḥ da (ö. 496/1103) Muḫtaṣaru’t-tebyîn…</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5"/>
              </w:rPr>
              <w:t>P436</w:t>
            </w:r>
          </w:p>
        </w:tc>
        <w:tc>
          <w:tcPr>
            <w:tcW w:type="dxa" w:w="4706"/>
            <w:vAlign w:val="top"/>
            <w:tcMar>
              <w:top w:w="70" w:type="dxa"/>
              <w:start w:w="85" w:type="dxa"/>
              <w:bottom w:w="70" w:type="dxa"/>
              <w:end w:w="85" w:type="dxa"/>
            </w:tcMar>
          </w:tcPr>
          <w:p>
            <w:pPr>
              <w:spacing w:after="0"/>
            </w:pPr>
            <w:r>
              <w:rPr>
                <w:sz w:val="15"/>
              </w:rPr>
              <w:t>Osmânî mushaflar arasındaki yazım rivâyetleriyle kırâatler arasındaki ilişki, esas itibarıyla üç türde ortaya çıkmaktadır. Birinci tür, yazım farklılığının zahirde herhangi bir kırâat farklılığı doğurmadığı durumlardır ki, bu tür en yaygın…</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5"/>
              </w:rPr>
              <w:t>P437</w:t>
            </w:r>
          </w:p>
        </w:tc>
        <w:tc>
          <w:tcPr>
            <w:tcW w:type="dxa" w:w="4706"/>
            <w:vAlign w:val="top"/>
            <w:tcMar>
              <w:top w:w="70" w:type="dxa"/>
              <w:start w:w="85" w:type="dxa"/>
              <w:bottom w:w="70" w:type="dxa"/>
              <w:end w:w="85" w:type="dxa"/>
            </w:tcMar>
          </w:tcPr>
          <w:p>
            <w:pPr>
              <w:spacing w:after="0"/>
            </w:pPr>
            <w:r>
              <w:rPr>
                <w:sz w:val="15"/>
              </w:rPr>
              <w:t>İkinci tür, bir yazım farklılığının iki veya daha fazla kırâat vechini taşıdığı, fakat mushaflardan her birinde bunlardan yalnız birinin yazıya geçirildiği durumlardır. Burada mushaflar arasındaki farklılık, ihtilaf üretmek amacı…</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4.7 Kırâat Rivâyetlerine Göre Düzenlenen Basılı Mushafların Yaygınlaşması ve Etkileri</w:t>
            </w:r>
          </w:p>
        </w:tc>
        <w:tc>
          <w:tcPr>
            <w:tcW w:type="dxa" w:w="850"/>
            <w:vAlign w:val="top"/>
            <w:tcMar>
              <w:top w:w="70" w:type="dxa"/>
              <w:start w:w="85" w:type="dxa"/>
              <w:bottom w:w="70" w:type="dxa"/>
              <w:end w:w="85" w:type="dxa"/>
            </w:tcMar>
          </w:tcPr>
          <w:p>
            <w:pPr>
              <w:spacing w:after="0"/>
            </w:pPr>
            <w:r>
              <w:rPr>
                <w:sz w:val="15"/>
              </w:rPr>
              <w:t>P458</w:t>
            </w:r>
          </w:p>
        </w:tc>
        <w:tc>
          <w:tcPr>
            <w:tcW w:type="dxa" w:w="4706"/>
            <w:vAlign w:val="top"/>
            <w:tcMar>
              <w:top w:w="70" w:type="dxa"/>
              <w:start w:w="85" w:type="dxa"/>
              <w:bottom w:w="70" w:type="dxa"/>
              <w:end w:w="85" w:type="dxa"/>
            </w:tcMar>
          </w:tcPr>
          <w:p>
            <w:pPr>
              <w:spacing w:after="0"/>
            </w:pPr>
            <w:r>
              <w:rPr>
                <w:sz w:val="15"/>
              </w:rPr>
              <w:t>İslâm tarihi boyunca mushaf istinsahı yalnız bir çoğaltma faaliyeti olarak görülmemiş, aynı zamanda güçlü bir hat ve yazı geleneği içinde gelişmiştir. Müstensihler ve hattatlar, güzel yazı, düzgün istinsah, tezhip ve tezyin hususunda…</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r>
        <w:trPr>
          <w:cantSplit/>
        </w:trPr>
        <w:tc>
          <w:tcPr>
            <w:tcW w:type="dxa" w:w="2381"/>
            <w:vAlign w:val="top"/>
            <w:tcMar>
              <w:top w:w="70" w:type="dxa"/>
              <w:start w:w="85" w:type="dxa"/>
              <w:bottom w:w="70" w:type="dxa"/>
              <w:end w:w="85" w:type="dxa"/>
            </w:tcMar>
          </w:tcPr>
          <w:p>
            <w:pPr>
              <w:spacing w:after="0"/>
            </w:pPr>
            <w:r>
              <w:rPr>
                <w:sz w:val="15"/>
              </w:rPr>
              <w:t>4.7 Kırâat Rivâyetlerine Göre Düzenlenen Basılı Mushafların Yaygınlaşması ve Etkileri</w:t>
            </w:r>
          </w:p>
        </w:tc>
        <w:tc>
          <w:tcPr>
            <w:tcW w:type="dxa" w:w="850"/>
            <w:vAlign w:val="top"/>
            <w:tcMar>
              <w:top w:w="70" w:type="dxa"/>
              <w:start w:w="85" w:type="dxa"/>
              <w:bottom w:w="70" w:type="dxa"/>
              <w:end w:w="85" w:type="dxa"/>
            </w:tcMar>
          </w:tcPr>
          <w:p>
            <w:pPr>
              <w:spacing w:after="0"/>
            </w:pPr>
            <w:r>
              <w:rPr>
                <w:sz w:val="15"/>
              </w:rPr>
              <w:t>P463</w:t>
            </w:r>
          </w:p>
        </w:tc>
        <w:tc>
          <w:tcPr>
            <w:tcW w:type="dxa" w:w="4706"/>
            <w:vAlign w:val="top"/>
            <w:tcMar>
              <w:top w:w="70" w:type="dxa"/>
              <w:start w:w="85" w:type="dxa"/>
              <w:bottom w:w="70" w:type="dxa"/>
              <w:end w:w="85" w:type="dxa"/>
            </w:tcMar>
          </w:tcPr>
          <w:p>
            <w:pPr>
              <w:spacing w:after="0"/>
            </w:pPr>
            <w:r>
              <w:rPr>
                <w:sz w:val="15"/>
              </w:rPr>
              <w:t>Belirli kırâat rivâyetlerinin bazı bölgelerde erken dönemlerden itibaren öne çıktığı görülmektedir. Nitekim Ebü’l-Fadl el-Huzâʿî (ö. 408/1017 daha önce geçti mi), Mısır ve Mağrib halkını Verş’in (ö. 197/812) Ebû Yaʿkūb tarîkiyle gelen…</w:t>
            </w:r>
          </w:p>
        </w:tc>
        <w:tc>
          <w:tcPr>
            <w:tcW w:type="dxa" w:w="2268"/>
            <w:vAlign w:val="top"/>
            <w:tcMar>
              <w:top w:w="70" w:type="dxa"/>
              <w:start w:w="85" w:type="dxa"/>
              <w:bottom w:w="70" w:type="dxa"/>
              <w:end w:w="85" w:type="dxa"/>
            </w:tcMar>
          </w:tcPr>
          <w:p>
            <w:pPr>
              <w:spacing w:after="0"/>
            </w:pPr>
            <w:r>
              <w:rPr>
                <w:sz w:val="15"/>
              </w:rPr>
              <w:t>Kaynak/yazar kararı → notu çöz → not metnini tamamen sil.</w:t>
            </w:r>
          </w:p>
        </w:tc>
      </w:tr>
    </w:tbl>
    <w:p>
      <w:pPr>
        <w:pStyle w:val="Heading2"/>
        <w:keepNext/>
      </w:pPr>
      <w:r>
        <w:t>5. Birinci Rapordan Manuscript Üzerinde Hâlâ Uygulanması Gereken Bilimsel ve Editoryal Düzeltmeler</w:t>
      </w:r>
    </w:p>
    <w:p>
      <w:r>
        <w:t>Aşağıdaki matris, birinci rapordaki kritik/yüksek/orta öncelikli ve hâlen manuscript üzerinde uygulanması gereken bulguları tek kapatma listesinde toplar. Burada tam gerekçeler tekrar edilmemiştir; amaç uygulama sırasında hiçbir önemli maddenin kaybolmamasıdır. Bir maddenin başlığı “düzeltilmiş” olduğunu açıkça belirtiyorsa bu tabloya alınmamıştır.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907"/>
            <w:shd w:fill="D9EAF7"/>
          </w:tcPr>
          <w:p>
            <w:r>
              <w:rPr>
                <w:b/>
                <w:sz w:val="14"/>
              </w:rPr>
              <w:t>Önem</w:t>
            </w:r>
          </w:p>
        </w:tc>
        <w:tc>
          <w:tcPr>
            <w:tcW w:type="dxa" w:w="3969"/>
            <w:shd w:fill="D9EAF7"/>
          </w:tcPr>
          <w:p>
            <w:r>
              <w:rPr>
                <w:b/>
                <w:sz w:val="14"/>
              </w:rPr>
              <w:t>Bulgu</w:t>
            </w:r>
          </w:p>
        </w:tc>
        <w:tc>
          <w:tcPr>
            <w:tcW w:type="dxa" w:w="1984"/>
            <w:shd w:fill="D9EAF7"/>
          </w:tcPr>
          <w:p>
            <w:r>
              <w:rPr>
                <w:b/>
                <w:sz w:val="14"/>
              </w:rPr>
              <w:t>Yer</w:t>
            </w:r>
          </w:p>
        </w:tc>
        <w:tc>
          <w:tcPr>
            <w:tcW w:type="dxa" w:w="3515"/>
            <w:shd w:fill="D9EAF7"/>
          </w:tcPr>
          <w:p>
            <w:r>
              <w:rPr>
                <w:b/>
                <w:sz w:val="14"/>
              </w:rPr>
              <w:t>Uygulanacak işlem</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ÖN-01. Önsözde “resm-i mushaf” alanı ile yazım biçimi arasında küçük kavramsal kayma</w:t>
            </w:r>
          </w:p>
        </w:tc>
        <w:tc>
          <w:tcPr>
            <w:tcW w:type="dxa" w:w="1984"/>
            <w:vAlign w:val="top"/>
            <w:tcMar>
              <w:top w:w="70" w:type="dxa"/>
              <w:start w:w="85" w:type="dxa"/>
              <w:bottom w:w="70" w:type="dxa"/>
              <w:end w:w="85" w:type="dxa"/>
            </w:tcMar>
          </w:tcPr>
          <w:p>
            <w:pPr>
              <w:spacing w:after="0"/>
            </w:pPr>
            <w:r>
              <w:rPr>
                <w:sz w:val="14"/>
              </w:rPr>
              <w:t>Önsöz, son paragraf</w:t>
            </w:r>
          </w:p>
        </w:tc>
        <w:tc>
          <w:tcPr>
            <w:tcW w:type="dxa" w:w="3515"/>
            <w:vAlign w:val="top"/>
            <w:tcMar>
              <w:top w:w="70" w:type="dxa"/>
              <w:start w:w="85" w:type="dxa"/>
              <w:bottom w:w="70" w:type="dxa"/>
              <w:end w:w="85" w:type="dxa"/>
            </w:tcMar>
          </w:tcPr>
          <w:p>
            <w:pPr>
              <w:spacing w:after="0"/>
            </w:pPr>
            <w:r>
              <w:rPr>
                <w:sz w:val="14"/>
              </w:rPr>
              <w:t>“Eserin, mushaf yazım geleneğini yalnız tarihsel bir imlâ biçimi olarak ele almakla yetinmeyip, resm-i mushaf ilminin kırâat rivâyeti ve çağdaş neşir geleneğiyle ilişkisini göstermeye katkı sağlaması hedeflenmektedir.”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GİR-01. Ana tez doğru kurulmuş; “okuyuş ve isnadla denetlenen” formülü terminoloji açısından dar</w:t>
            </w:r>
          </w:p>
        </w:tc>
        <w:tc>
          <w:tcPr>
            <w:tcW w:type="dxa" w:w="1984"/>
            <w:vAlign w:val="top"/>
            <w:tcMar>
              <w:top w:w="70" w:type="dxa"/>
              <w:start w:w="85" w:type="dxa"/>
              <w:bottom w:w="70" w:type="dxa"/>
              <w:end w:w="85" w:type="dxa"/>
            </w:tcMar>
          </w:tcPr>
          <w:p>
            <w:pPr>
              <w:spacing w:after="0"/>
            </w:pPr>
            <w:r>
              <w:rPr>
                <w:sz w:val="14"/>
              </w:rPr>
              <w:t>Giriş, temel yaklaşım paragrafı</w:t>
            </w:r>
          </w:p>
        </w:tc>
        <w:tc>
          <w:tcPr>
            <w:tcW w:type="dxa" w:w="3515"/>
            <w:vAlign w:val="top"/>
            <w:tcMar>
              <w:top w:w="70" w:type="dxa"/>
              <w:start w:w="85" w:type="dxa"/>
              <w:bottom w:w="70" w:type="dxa"/>
              <w:end w:w="85" w:type="dxa"/>
            </w:tcMar>
          </w:tcPr>
          <w:p>
            <w:pPr>
              <w:spacing w:after="0"/>
            </w:pPr>
            <w:r>
              <w:rPr>
                <w:sz w:val="14"/>
              </w:rPr>
              <w:t>“Çalışmada kırâatin aslî dayanağı, telakki ve müşâfehe yoluyla sürdürülen, edâ ve isnadla denetlenen rivâyet geleneği olarak kabul edilmektedir.”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GİR-02. Osmânî istinsahın “öncelikli amacı” kesin tarihsel niyet olarak veriliyor</w:t>
            </w:r>
          </w:p>
        </w:tc>
        <w:tc>
          <w:tcPr>
            <w:tcW w:type="dxa" w:w="1984"/>
            <w:vAlign w:val="top"/>
            <w:tcMar>
              <w:top w:w="70" w:type="dxa"/>
              <w:start w:w="85" w:type="dxa"/>
              <w:bottom w:w="70" w:type="dxa"/>
              <w:end w:w="85" w:type="dxa"/>
            </w:tcMar>
          </w:tcPr>
          <w:p>
            <w:pPr>
              <w:spacing w:after="0"/>
            </w:pPr>
            <w:r>
              <w:rPr>
                <w:sz w:val="14"/>
              </w:rPr>
              <w:t>Giriş, cem–istinsah paragrafı</w:t>
            </w:r>
          </w:p>
        </w:tc>
        <w:tc>
          <w:tcPr>
            <w:tcW w:type="dxa" w:w="3515"/>
            <w:vAlign w:val="top"/>
            <w:tcMar>
              <w:top w:w="70" w:type="dxa"/>
              <w:start w:w="85" w:type="dxa"/>
              <w:bottom w:w="70" w:type="dxa"/>
              <w:end w:w="85" w:type="dxa"/>
            </w:tcMar>
          </w:tcPr>
          <w:p>
            <w:pPr>
              <w:spacing w:after="0"/>
            </w:pPr>
            <w:r>
              <w:rPr>
                <w:sz w:val="14"/>
              </w:rPr>
              <w:t>“Kaynaklarda heyetin yapısı, mushafların sayısı ve gönderildikleri şehirler hakkında farklı rivâyetler bulunmaktadır. İstinsah faaliyetine ilişkin rivâyetlerde öne çıkan gerekçelerden biri, okuyuş ihtilaflarının toplumsal ayrışmaya dönüşmesini önleyecek ortak bir mushaf metni oluşturmaktır.”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GİR-03. Yöntem beyanı gövdeyle tam uygulanmıyor</w:t>
            </w:r>
          </w:p>
        </w:tc>
        <w:tc>
          <w:tcPr>
            <w:tcW w:type="dxa" w:w="1984"/>
            <w:vAlign w:val="top"/>
            <w:tcMar>
              <w:top w:w="70" w:type="dxa"/>
              <w:start w:w="85" w:type="dxa"/>
              <w:bottom w:w="70" w:type="dxa"/>
              <w:end w:w="85" w:type="dxa"/>
            </w:tcMar>
          </w:tcPr>
          <w:p>
            <w:pPr>
              <w:spacing w:after="0"/>
            </w:pPr>
            <w:r>
              <w:rPr>
                <w:sz w:val="14"/>
              </w:rPr>
              <w:t>Giriş, yöntem ve kapsam paragrafları</w:t>
            </w:r>
          </w:p>
        </w:tc>
        <w:tc>
          <w:tcPr>
            <w:tcW w:type="dxa" w:w="3515"/>
            <w:vAlign w:val="top"/>
            <w:tcMar>
              <w:top w:w="70" w:type="dxa"/>
              <w:start w:w="85" w:type="dxa"/>
              <w:bottom w:w="70" w:type="dxa"/>
              <w:end w:w="85" w:type="dxa"/>
            </w:tcMar>
          </w:tcPr>
          <w:p>
            <w:pPr>
              <w:spacing w:after="0"/>
            </w:pPr>
            <w:r>
              <w:rPr>
                <w:sz w:val="14"/>
              </w:rPr>
              <w:t>Girişteki yöntem paragrafı korunmalı; ana gövde bu beyana göre yeniden redakte edilmelidir. Her tartışmalı pasajda “rivâyet”, “klasik yorum”, “çağdaş değerlendirme” ve “bu verilerden hareketle yazarın değerlendirmesi” katmanları açıkça ayrılmalıdır.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B1-01. İslâm öncesi yazı verileri farklı kanıt düzeylerine rağmen aynı ağırlıkta sıralanıyor</w:t>
            </w:r>
          </w:p>
        </w:tc>
        <w:tc>
          <w:tcPr>
            <w:tcW w:type="dxa" w:w="1984"/>
            <w:vAlign w:val="top"/>
            <w:tcMar>
              <w:top w:w="70" w:type="dxa"/>
              <w:start w:w="85" w:type="dxa"/>
              <w:bottom w:w="70" w:type="dxa"/>
              <w:end w:w="85" w:type="dxa"/>
            </w:tcMar>
          </w:tcPr>
          <w:p>
            <w:pPr>
              <w:spacing w:after="0"/>
            </w:pPr>
            <w:r>
              <w:rPr>
                <w:sz w:val="14"/>
              </w:rPr>
              <w:t>1.1, s.8–10</w:t>
            </w:r>
          </w:p>
        </w:tc>
        <w:tc>
          <w:tcPr>
            <w:tcW w:type="dxa" w:w="3515"/>
            <w:vAlign w:val="top"/>
            <w:tcMar>
              <w:top w:w="70" w:type="dxa"/>
              <w:start w:w="85" w:type="dxa"/>
              <w:bottom w:w="70" w:type="dxa"/>
              <w:end w:w="85" w:type="dxa"/>
            </w:tcMar>
          </w:tcPr>
          <w:p>
            <w:pPr>
              <w:spacing w:after="0"/>
            </w:pPr>
            <w:r>
              <w:rPr>
                <w:sz w:val="14"/>
              </w:rPr>
              <w:t>“Bu veriler aynı kanıt değerine sahip değildir. Maddi/doğrudan yazı tanıkları, erken tarih ve siyer haberleri ile geç dönem edebî-kültürel rivâyetler ayrı gruplarda değerlendirilmelidir. Bu malzeme yazının bilindiğine işaret etmekle birlikte toplum genelinin okuryazarlık düzeyini tek başına belirlemeye elverişli değildir.”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B1-02. 1.1’de belirgin dil ve tashih sorunları kalmış</w:t>
            </w:r>
          </w:p>
        </w:tc>
        <w:tc>
          <w:tcPr>
            <w:tcW w:type="dxa" w:w="1984"/>
            <w:vAlign w:val="top"/>
            <w:tcMar>
              <w:top w:w="70" w:type="dxa"/>
              <w:start w:w="85" w:type="dxa"/>
              <w:bottom w:w="70" w:type="dxa"/>
              <w:end w:w="85" w:type="dxa"/>
            </w:tcMar>
          </w:tcPr>
          <w:p>
            <w:pPr>
              <w:spacing w:after="0"/>
            </w:pPr>
            <w:r>
              <w:rPr>
                <w:sz w:val="14"/>
              </w:rPr>
              <w:t>1.1, s.8–10</w:t>
            </w:r>
          </w:p>
        </w:tc>
        <w:tc>
          <w:tcPr>
            <w:tcW w:type="dxa" w:w="3515"/>
            <w:vAlign w:val="top"/>
            <w:tcMar>
              <w:top w:w="70" w:type="dxa"/>
              <w:start w:w="85" w:type="dxa"/>
              <w:bottom w:w="70" w:type="dxa"/>
              <w:end w:w="85" w:type="dxa"/>
            </w:tcMar>
          </w:tcPr>
          <w:p>
            <w:pPr>
              <w:spacing w:after="0"/>
            </w:pPr>
            <w:r>
              <w:rPr>
                <w:sz w:val="14"/>
              </w:rPr>
              <w:t>“Özellikle ticaretle uğraşanlar, şehir hayatına daha yakın çevreler ve bazı seçkin kimseler arasında yazının kullanıldığına dair bilgiler bulunmaktadır.” Diğer mikro tashihler 16. bölümde toplu gösterilmiştir.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B1-04. Yayıma açık editör notu ana metinde kalmış</w:t>
            </w:r>
          </w:p>
        </w:tc>
        <w:tc>
          <w:tcPr>
            <w:tcW w:type="dxa" w:w="1984"/>
            <w:vAlign w:val="top"/>
            <w:tcMar>
              <w:top w:w="70" w:type="dxa"/>
              <w:start w:w="85" w:type="dxa"/>
              <w:bottom w:w="70" w:type="dxa"/>
              <w:end w:w="85" w:type="dxa"/>
            </w:tcMar>
          </w:tcPr>
          <w:p>
            <w:pPr>
              <w:spacing w:after="0"/>
            </w:pPr>
            <w:r>
              <w:rPr>
                <w:sz w:val="14"/>
              </w:rPr>
              <w:t>1.2, s.11</w:t>
            </w:r>
          </w:p>
        </w:tc>
        <w:tc>
          <w:tcPr>
            <w:tcW w:type="dxa" w:w="3515"/>
            <w:vAlign w:val="top"/>
            <w:tcMar>
              <w:top w:w="70" w:type="dxa"/>
              <w:start w:w="85" w:type="dxa"/>
              <w:bottom w:w="70" w:type="dxa"/>
              <w:end w:w="85" w:type="dxa"/>
            </w:tcMar>
          </w:tcPr>
          <w:p>
            <w:pPr>
              <w:spacing w:after="0"/>
            </w:pPr>
            <w:r>
              <w:rPr>
                <w:sz w:val="14"/>
              </w:rPr>
              <w:t>Not tamamen silinmeli; üçüncü gerekçe ikinci gerekçeye yedirilerek paragraf üç yerine iki ana gerekçe etrafında kurulmalıdır.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B1-05. Vahiy metinlerinin muhafazasına ilişkin iki model hâlâ fazla kurumsal kesinlikle anlatılıyor</w:t>
            </w:r>
          </w:p>
        </w:tc>
        <w:tc>
          <w:tcPr>
            <w:tcW w:type="dxa" w:w="1984"/>
            <w:vAlign w:val="top"/>
            <w:tcMar>
              <w:top w:w="70" w:type="dxa"/>
              <w:start w:w="85" w:type="dxa"/>
              <w:bottom w:w="70" w:type="dxa"/>
              <w:end w:w="85" w:type="dxa"/>
            </w:tcMar>
          </w:tcPr>
          <w:p>
            <w:pPr>
              <w:spacing w:after="0"/>
            </w:pPr>
            <w:r>
              <w:rPr>
                <w:sz w:val="14"/>
              </w:rPr>
              <w:t>1.2, s.12</w:t>
            </w:r>
          </w:p>
        </w:tc>
        <w:tc>
          <w:tcPr>
            <w:tcW w:type="dxa" w:w="3515"/>
            <w:vAlign w:val="top"/>
            <w:tcMar>
              <w:top w:w="70" w:type="dxa"/>
              <w:start w:w="85" w:type="dxa"/>
              <w:bottom w:w="70" w:type="dxa"/>
              <w:end w:w="85" w:type="dxa"/>
            </w:tcMar>
          </w:tcPr>
          <w:p>
            <w:pPr>
              <w:spacing w:after="0"/>
            </w:pPr>
            <w:r>
              <w:rPr>
                <w:sz w:val="14"/>
              </w:rPr>
              <w:t>“Rivâyetlerdeki dağınık bilgilerden hareketle, yazılı vahiy malzemesinin muhafazasına ilişkin iki farklı açıklama geliştirilmiştir. Bu açıklamalar kurumsal arşiv sistemleri olarak değil, mevcut haberlerden yapılan tarihsel yeniden inşalar olarak değerlendirilmelidir.”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B1-06. Hz. Peygamber dönemindeki cem yalnız ezber anlamına indirgeniyor</w:t>
            </w:r>
          </w:p>
        </w:tc>
        <w:tc>
          <w:tcPr>
            <w:tcW w:type="dxa" w:w="1984"/>
            <w:vAlign w:val="top"/>
            <w:tcMar>
              <w:top w:w="70" w:type="dxa"/>
              <w:start w:w="85" w:type="dxa"/>
              <w:bottom w:w="70" w:type="dxa"/>
              <w:end w:w="85" w:type="dxa"/>
            </w:tcMar>
          </w:tcPr>
          <w:p>
            <w:pPr>
              <w:spacing w:after="0"/>
            </w:pPr>
            <w:r>
              <w:rPr>
                <w:sz w:val="14"/>
              </w:rPr>
              <w:t>1.3, s.13</w:t>
            </w:r>
          </w:p>
        </w:tc>
        <w:tc>
          <w:tcPr>
            <w:tcW w:type="dxa" w:w="3515"/>
            <w:vAlign w:val="top"/>
            <w:tcMar>
              <w:top w:w="70" w:type="dxa"/>
              <w:start w:w="85" w:type="dxa"/>
              <w:bottom w:w="70" w:type="dxa"/>
              <w:end w:w="85" w:type="dxa"/>
            </w:tcMar>
          </w:tcPr>
          <w:p>
            <w:pPr>
              <w:spacing w:after="0"/>
            </w:pPr>
            <w:r>
              <w:rPr>
                <w:sz w:val="14"/>
              </w:rPr>
              <w:t>“Hz. Peygamber dönemine ilişkin rivâyetlerde geçen cem ifadesi bağlama göre ezberleme, yazıyla kayıt altına alma veya mevcut malzemeyi bir araya getirme anlamlarında kullanılabilmektedir. Hz. Ebû Bekir dönemindeki cem ise dağınık yazılı malzemenin resmî bir derleme içinde toplanması yönüyle önceki uygulamalardan ayrılmaktadır.”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B1-07. Hârice’nin kimliği metin içinde çelişiyor</w:t>
            </w:r>
          </w:p>
        </w:tc>
        <w:tc>
          <w:tcPr>
            <w:tcW w:type="dxa" w:w="1984"/>
            <w:vAlign w:val="top"/>
            <w:tcMar>
              <w:top w:w="70" w:type="dxa"/>
              <w:start w:w="85" w:type="dxa"/>
              <w:bottom w:w="70" w:type="dxa"/>
              <w:end w:w="85" w:type="dxa"/>
            </w:tcMar>
          </w:tcPr>
          <w:p>
            <w:pPr>
              <w:spacing w:after="0"/>
            </w:pPr>
            <w:r>
              <w:rPr>
                <w:sz w:val="14"/>
              </w:rPr>
              <w:t>1.3, s.13–14</w:t>
            </w:r>
          </w:p>
        </w:tc>
        <w:tc>
          <w:tcPr>
            <w:tcW w:type="dxa" w:w="3515"/>
            <w:vAlign w:val="top"/>
            <w:tcMar>
              <w:top w:w="70" w:type="dxa"/>
              <w:start w:w="85" w:type="dxa"/>
              <w:bottom w:w="70" w:type="dxa"/>
              <w:end w:w="85" w:type="dxa"/>
            </w:tcMar>
          </w:tcPr>
          <w:p>
            <w:pPr>
              <w:spacing w:after="0"/>
            </w:pPr>
            <w:r>
              <w:rPr>
                <w:sz w:val="14"/>
              </w:rPr>
              <w:t>Hazır düzeltme üretmek için kaynak doğrulaması gerekiyor. İlgili isnaddaki kişinin tam kimliği kaynaktan doğrulanmalı; bütün metin tek biçime getirilmeli.</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B1-08. Suhuf ile mushaf terimleri aynı malzeme için kayıyor</w:t>
            </w:r>
          </w:p>
        </w:tc>
        <w:tc>
          <w:tcPr>
            <w:tcW w:type="dxa" w:w="1984"/>
            <w:vAlign w:val="top"/>
            <w:tcMar>
              <w:top w:w="70" w:type="dxa"/>
              <w:start w:w="85" w:type="dxa"/>
              <w:bottom w:w="70" w:type="dxa"/>
              <w:end w:w="85" w:type="dxa"/>
            </w:tcMar>
          </w:tcPr>
          <w:p>
            <w:pPr>
              <w:spacing w:after="0"/>
            </w:pPr>
            <w:r>
              <w:rPr>
                <w:sz w:val="14"/>
              </w:rPr>
              <w:t>1.3, s.14–15</w:t>
            </w:r>
          </w:p>
        </w:tc>
        <w:tc>
          <w:tcPr>
            <w:tcW w:type="dxa" w:w="3515"/>
            <w:vAlign w:val="top"/>
            <w:tcMar>
              <w:top w:w="70" w:type="dxa"/>
              <w:start w:w="85" w:type="dxa"/>
              <w:bottom w:w="70" w:type="dxa"/>
              <w:end w:w="85" w:type="dxa"/>
            </w:tcMar>
          </w:tcPr>
          <w:p>
            <w:pPr>
              <w:spacing w:after="0"/>
            </w:pPr>
            <w:r>
              <w:rPr>
                <w:sz w:val="14"/>
              </w:rPr>
              <w:t>“Daha sonraki dönemlerde bu suhufun akıbeti hakkında farklı rivâyetler bulunmaktadır. Hz. Osman dönemindeki istinsah gündeme geldiğinde, Hz. Hafsa’nın yanında bulunan suhuf ödünç alınmış ve istinsahın ardından kendisine iade edilmiştir.”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B1-09. Ebû Bekir suhufu “yedi harfi ihtiva etti” şeklinde kesinleştiriliyor</w:t>
            </w:r>
          </w:p>
        </w:tc>
        <w:tc>
          <w:tcPr>
            <w:tcW w:type="dxa" w:w="1984"/>
            <w:vAlign w:val="top"/>
            <w:tcMar>
              <w:top w:w="70" w:type="dxa"/>
              <w:start w:w="85" w:type="dxa"/>
              <w:bottom w:w="70" w:type="dxa"/>
              <w:end w:w="85" w:type="dxa"/>
            </w:tcMar>
          </w:tcPr>
          <w:p>
            <w:pPr>
              <w:spacing w:after="0"/>
            </w:pPr>
            <w:r>
              <w:rPr>
                <w:sz w:val="14"/>
              </w:rPr>
              <w:t>1.3, s.14–15</w:t>
            </w:r>
          </w:p>
        </w:tc>
        <w:tc>
          <w:tcPr>
            <w:tcW w:type="dxa" w:w="3515"/>
            <w:vAlign w:val="top"/>
            <w:tcMar>
              <w:top w:w="70" w:type="dxa"/>
              <w:start w:w="85" w:type="dxa"/>
              <w:bottom w:w="70" w:type="dxa"/>
              <w:end w:w="85" w:type="dxa"/>
            </w:tcMar>
          </w:tcPr>
          <w:p>
            <w:pPr>
              <w:spacing w:after="0"/>
            </w:pPr>
            <w:r>
              <w:rPr>
                <w:sz w:val="14"/>
              </w:rPr>
              <w:t>“Bazı âlimler, Ebû Bekir döneminde derlenen suhufun yedi harf ruhsatı içinde nakledilen farklı vecihleri bütünüyle dışlamadığını ileri sürmüşlerdir. Bu açıklama, konuya ilişkin yorumlardan biri olarak değerlendirilmelidir.”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B1-10. Mervân’ın psikolojik gerekçesi sonradan kurulan teoriyle özdeşleştiriliyor</w:t>
            </w:r>
          </w:p>
        </w:tc>
        <w:tc>
          <w:tcPr>
            <w:tcW w:type="dxa" w:w="1984"/>
            <w:vAlign w:val="top"/>
            <w:tcMar>
              <w:top w:w="70" w:type="dxa"/>
              <w:start w:w="85" w:type="dxa"/>
              <w:bottom w:w="70" w:type="dxa"/>
              <w:end w:w="85" w:type="dxa"/>
            </w:tcMar>
          </w:tcPr>
          <w:p>
            <w:pPr>
              <w:spacing w:after="0"/>
            </w:pPr>
            <w:r>
              <w:rPr>
                <w:sz w:val="14"/>
              </w:rPr>
              <w:t>1.3, s.14</w:t>
            </w:r>
          </w:p>
        </w:tc>
        <w:tc>
          <w:tcPr>
            <w:tcW w:type="dxa" w:w="3515"/>
            <w:vAlign w:val="top"/>
            <w:tcMar>
              <w:top w:w="70" w:type="dxa"/>
              <w:start w:w="85" w:type="dxa"/>
              <w:bottom w:w="70" w:type="dxa"/>
              <w:end w:w="85" w:type="dxa"/>
            </w:tcMar>
          </w:tcPr>
          <w:p>
            <w:pPr>
              <w:spacing w:after="0"/>
            </w:pPr>
            <w:r>
              <w:rPr>
                <w:sz w:val="14"/>
              </w:rPr>
              <w:t>“Mervân’a nispet edilen açıklama, Ebû Bekir dönemindeki suhuf ile Osmânî mushaflar arasında eksiklik veya fazlalık bulunduğu iddiasının ileride ortaya çıkmasından endişe edildiğini göstermektedir. Bazı müellifler bu endişeyi yedi harf ve arza-i âhire tartışmasıyla ilişkilendirmiştir.”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B1-11. Arza-i âhire ile istinsah arasında tarihsel mekanizma kesin kuruluyor</w:t>
            </w:r>
          </w:p>
        </w:tc>
        <w:tc>
          <w:tcPr>
            <w:tcW w:type="dxa" w:w="1984"/>
            <w:vAlign w:val="top"/>
            <w:tcMar>
              <w:top w:w="70" w:type="dxa"/>
              <w:start w:w="85" w:type="dxa"/>
              <w:bottom w:w="70" w:type="dxa"/>
              <w:end w:w="85" w:type="dxa"/>
            </w:tcMar>
          </w:tcPr>
          <w:p>
            <w:pPr>
              <w:spacing w:after="0"/>
            </w:pPr>
            <w:r>
              <w:rPr>
                <w:sz w:val="14"/>
              </w:rPr>
              <w:t>1.3 sonu ve 1.4</w:t>
            </w:r>
          </w:p>
        </w:tc>
        <w:tc>
          <w:tcPr>
            <w:tcW w:type="dxa" w:w="3515"/>
            <w:vAlign w:val="top"/>
            <w:tcMar>
              <w:top w:w="70" w:type="dxa"/>
              <w:start w:w="85" w:type="dxa"/>
              <w:bottom w:w="70" w:type="dxa"/>
              <w:end w:w="85" w:type="dxa"/>
            </w:tcMar>
          </w:tcPr>
          <w:p>
            <w:pPr>
              <w:spacing w:after="0"/>
            </w:pPr>
            <w:r>
              <w:rPr>
                <w:sz w:val="14"/>
              </w:rPr>
              <w:t>“Klasik kaynakların bir kısmında Osmânî istinsahın arza-i âhirede kesinleştiği kabul edilen okuyuş düzeniyle uyumlu biçimde gerçekleştirildiği ifade edilmiştir. Bu açıklama, istinsahın tarihsel mekanizmasını tartışmasız biçimde belirleyen bir veri olarak değil, klasik yorum çerçevelerinden biri olarak değerlendirilmelidir.”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B1-12. “التابوت” örneğinde lehçe, telaffuz ve imlâ iç içe geçiyor</w:t>
            </w:r>
          </w:p>
        </w:tc>
        <w:tc>
          <w:tcPr>
            <w:tcW w:type="dxa" w:w="1984"/>
            <w:vAlign w:val="top"/>
            <w:tcMar>
              <w:top w:w="70" w:type="dxa"/>
              <w:start w:w="85" w:type="dxa"/>
              <w:bottom w:w="70" w:type="dxa"/>
              <w:end w:w="85" w:type="dxa"/>
            </w:tcMar>
          </w:tcPr>
          <w:p>
            <w:pPr>
              <w:spacing w:after="0"/>
            </w:pPr>
            <w:r>
              <w:rPr>
                <w:sz w:val="14"/>
              </w:rPr>
              <w:t>1.4, s.18</w:t>
            </w:r>
          </w:p>
        </w:tc>
        <w:tc>
          <w:tcPr>
            <w:tcW w:type="dxa" w:w="3515"/>
            <w:vAlign w:val="top"/>
            <w:tcMar>
              <w:top w:w="70" w:type="dxa"/>
              <w:start w:w="85" w:type="dxa"/>
              <w:bottom w:w="70" w:type="dxa"/>
              <w:end w:w="85" w:type="dxa"/>
            </w:tcMar>
          </w:tcPr>
          <w:p>
            <w:pPr>
              <w:spacing w:after="0"/>
            </w:pPr>
            <w:r>
              <w:rPr>
                <w:sz w:val="14"/>
              </w:rPr>
              <w:t>“Bu rivâyet, heyetin yazım ihtilafında Kureyş’e nispet edilen kullanımı esas aldığını göstermektedir. Bununla birlikte söz konusu tercihin lehçe, telaffuz veya dönemin imlâ teamülüyle ilişkisi ayrıca açıklanmadan yazım biçimi doğrudan Kureyş lehçesinin fonetik karşılığı sayılmamalıdır.”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B1-13. Mushaf sayısında kesin “altı” sentezi kaynakların önüne geçiyor</w:t>
            </w:r>
          </w:p>
        </w:tc>
        <w:tc>
          <w:tcPr>
            <w:tcW w:type="dxa" w:w="1984"/>
            <w:vAlign w:val="top"/>
            <w:tcMar>
              <w:top w:w="70" w:type="dxa"/>
              <w:start w:w="85" w:type="dxa"/>
              <w:bottom w:w="70" w:type="dxa"/>
              <w:end w:w="85" w:type="dxa"/>
            </w:tcMar>
          </w:tcPr>
          <w:p>
            <w:pPr>
              <w:spacing w:after="0"/>
            </w:pPr>
            <w:r>
              <w:rPr>
                <w:sz w:val="14"/>
              </w:rPr>
              <w:t>1.5, s.22–23</w:t>
            </w:r>
          </w:p>
        </w:tc>
        <w:tc>
          <w:tcPr>
            <w:tcW w:type="dxa" w:w="3515"/>
            <w:vAlign w:val="top"/>
            <w:tcMar>
              <w:top w:w="70" w:type="dxa"/>
              <w:start w:w="85" w:type="dxa"/>
              <w:bottom w:w="70" w:type="dxa"/>
              <w:end w:w="85" w:type="dxa"/>
            </w:tcMar>
          </w:tcPr>
          <w:p>
            <w:pPr>
              <w:spacing w:after="0"/>
            </w:pPr>
            <w:r>
              <w:rPr>
                <w:sz w:val="14"/>
              </w:rPr>
              <w:t>“Kaynaklarda mushafların sayısı ve gönderildikleri merkezler hakkında farklı rivâyetler bulunmaktadır. Mekke, Medine, Kûfe, Basra ve Şam mushaflarına ilişkin kayıtlar daha belirgin görünmekle birlikte, mevcut veriler toplam nüsha sayısını tartışmasız biçimde belirlemeye elverişli değildir. Halifenin yanında kalan nüsha ile Medine mushafının ayrı sayılması hâlinde altı nüsha ihtimali ortaya çıkmaktadır; bu sonuç rivâyetlerin mukayesesine dayanan bir yeniden inşa olarak değerlendirilmelidir.”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B1-14. Bir cümle bağlamın tersini söylüyor</w:t>
            </w:r>
          </w:p>
        </w:tc>
        <w:tc>
          <w:tcPr>
            <w:tcW w:type="dxa" w:w="1984"/>
            <w:vAlign w:val="top"/>
            <w:tcMar>
              <w:top w:w="70" w:type="dxa"/>
              <w:start w:w="85" w:type="dxa"/>
              <w:bottom w:w="70" w:type="dxa"/>
              <w:end w:w="85" w:type="dxa"/>
            </w:tcMar>
          </w:tcPr>
          <w:p>
            <w:pPr>
              <w:spacing w:after="0"/>
            </w:pPr>
            <w:r>
              <w:rPr>
                <w:sz w:val="14"/>
              </w:rPr>
              <w:t>1.5, s.22</w:t>
            </w:r>
          </w:p>
        </w:tc>
        <w:tc>
          <w:tcPr>
            <w:tcW w:type="dxa" w:w="3515"/>
            <w:vAlign w:val="top"/>
            <w:tcMar>
              <w:top w:w="70" w:type="dxa"/>
              <w:start w:w="85" w:type="dxa"/>
              <w:bottom w:w="70" w:type="dxa"/>
              <w:end w:w="85" w:type="dxa"/>
            </w:tcMar>
          </w:tcPr>
          <w:p>
            <w:pPr>
              <w:spacing w:after="0"/>
            </w:pPr>
            <w:r>
              <w:rPr>
                <w:sz w:val="14"/>
              </w:rPr>
              <w:t>“Yemen, Bahreyn, Mısır ve el-Cezîre’ye mushaf gönderildiğine dair rivâyetler ise ya geç dönem kaynaklarına dayanmakta ya da doğrudan yazım farklılıklarına ilişkin somut verilerle desteklenmemektedir.”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B1-15. Çağdaş araştırmacılara ortak “altı mushaf” kanaati nispet ediliyor</w:t>
            </w:r>
          </w:p>
        </w:tc>
        <w:tc>
          <w:tcPr>
            <w:tcW w:type="dxa" w:w="1984"/>
            <w:vAlign w:val="top"/>
            <w:tcMar>
              <w:top w:w="70" w:type="dxa"/>
              <w:start w:w="85" w:type="dxa"/>
              <w:bottom w:w="70" w:type="dxa"/>
              <w:end w:w="85" w:type="dxa"/>
            </w:tcMar>
          </w:tcPr>
          <w:p>
            <w:pPr>
              <w:spacing w:after="0"/>
            </w:pPr>
            <w:r>
              <w:rPr>
                <w:sz w:val="14"/>
              </w:rPr>
              <w:t>1.5, s.22–23</w:t>
            </w:r>
          </w:p>
        </w:tc>
        <w:tc>
          <w:tcPr>
            <w:tcW w:type="dxa" w:w="3515"/>
            <w:vAlign w:val="top"/>
            <w:tcMar>
              <w:top w:w="70" w:type="dxa"/>
              <w:start w:w="85" w:type="dxa"/>
              <w:bottom w:w="70" w:type="dxa"/>
              <w:end w:w="85" w:type="dxa"/>
            </w:tcMar>
          </w:tcPr>
          <w:p>
            <w:pPr>
              <w:spacing w:after="0"/>
            </w:pPr>
            <w:r>
              <w:rPr>
                <w:sz w:val="14"/>
              </w:rPr>
              <w:t>“Bu görüşler birlikte değerlendirildiğinde, beş ana merkez ile halifenin yanında kalan nüshayı ayrı sayan altı nüsha ihtimali savunulabilir. Bu, kaynakların tek tek verdiği sayıların değil, mevcut verilerden hareketle yapılan bir yazar sentezinin sonucudur.”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B1-16. Sözlük tanımı tarihsel terimleşme teorisine dönüştürülüyor</w:t>
            </w:r>
          </w:p>
        </w:tc>
        <w:tc>
          <w:tcPr>
            <w:tcW w:type="dxa" w:w="1984"/>
            <w:vAlign w:val="top"/>
            <w:tcMar>
              <w:top w:w="70" w:type="dxa"/>
              <w:start w:w="85" w:type="dxa"/>
              <w:bottom w:w="70" w:type="dxa"/>
              <w:end w:w="85" w:type="dxa"/>
            </w:tcMar>
          </w:tcPr>
          <w:p>
            <w:pPr>
              <w:spacing w:after="0"/>
            </w:pPr>
            <w:r>
              <w:rPr>
                <w:sz w:val="14"/>
              </w:rPr>
              <w:t>1.6.1–1.7</w:t>
            </w:r>
          </w:p>
        </w:tc>
        <w:tc>
          <w:tcPr>
            <w:tcW w:type="dxa" w:w="3515"/>
            <w:vAlign w:val="top"/>
            <w:tcMar>
              <w:top w:w="70" w:type="dxa"/>
              <w:start w:w="85" w:type="dxa"/>
              <w:bottom w:w="70" w:type="dxa"/>
              <w:end w:w="85" w:type="dxa"/>
            </w:tcMar>
          </w:tcPr>
          <w:p>
            <w:pPr>
              <w:spacing w:after="0"/>
            </w:pPr>
            <w:r>
              <w:rPr>
                <w:sz w:val="14"/>
              </w:rPr>
              <w:t>“Cevherî ve diğer sözlük/terim kaynakları resm ve yazı kavramlarının anlam alanını göstermektedir. Kelimenin mushaf yazımına özgü teknik bir terim hâline gelişi ise resm literatürünün tarihsel gelişimi üzerinden ayrıca izlenmelidir.”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B1-17. Tevkîfîlik ile bağlayıcılık ayrımı bölümün başında değil sonunda kuruluyor</w:t>
            </w:r>
          </w:p>
        </w:tc>
        <w:tc>
          <w:tcPr>
            <w:tcW w:type="dxa" w:w="1984"/>
            <w:vAlign w:val="top"/>
            <w:tcMar>
              <w:top w:w="70" w:type="dxa"/>
              <w:start w:w="85" w:type="dxa"/>
              <w:bottom w:w="70" w:type="dxa"/>
              <w:end w:w="85" w:type="dxa"/>
            </w:tcMar>
          </w:tcPr>
          <w:p>
            <w:pPr>
              <w:spacing w:after="0"/>
            </w:pPr>
            <w:r>
              <w:rPr>
                <w:sz w:val="14"/>
              </w:rPr>
              <w:t>1.8, s.31–34</w:t>
            </w:r>
          </w:p>
        </w:tc>
        <w:tc>
          <w:tcPr>
            <w:tcW w:type="dxa" w:w="3515"/>
            <w:vAlign w:val="top"/>
            <w:tcMar>
              <w:top w:w="70" w:type="dxa"/>
              <w:start w:w="85" w:type="dxa"/>
              <w:bottom w:w="70" w:type="dxa"/>
              <w:end w:w="85" w:type="dxa"/>
            </w:tcMar>
          </w:tcPr>
          <w:p>
            <w:pPr>
              <w:spacing w:after="0"/>
            </w:pPr>
            <w:r>
              <w:rPr>
                <w:sz w:val="14"/>
              </w:rPr>
              <w:t>“Resm-i Osmânî’nin tarihsel bağlayıcılığı ile bütün yazım ayrıntılarının doğrudan vahiy tarafından belirlendiği iddiası aynı mesele değildir. Bu bölümde önce bu ayrım gözetilecek, ardından tevkîfîlik ve ictihâdîlik lehindeki görüşler kendi delil ve sınırları içinde ele alınacaktır.”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B1-18. Aynı tevkîfîlik delili önce güçlü, sonra zayıf diye sunuluyor</w:t>
            </w:r>
          </w:p>
        </w:tc>
        <w:tc>
          <w:tcPr>
            <w:tcW w:type="dxa" w:w="1984"/>
            <w:vAlign w:val="top"/>
            <w:tcMar>
              <w:top w:w="70" w:type="dxa"/>
              <w:start w:w="85" w:type="dxa"/>
              <w:bottom w:w="70" w:type="dxa"/>
              <w:end w:w="85" w:type="dxa"/>
            </w:tcMar>
          </w:tcPr>
          <w:p>
            <w:pPr>
              <w:spacing w:after="0"/>
            </w:pPr>
            <w:r>
              <w:rPr>
                <w:sz w:val="14"/>
              </w:rPr>
              <w:t>1.8</w:t>
            </w:r>
          </w:p>
        </w:tc>
        <w:tc>
          <w:tcPr>
            <w:tcW w:type="dxa" w:w="3515"/>
            <w:vAlign w:val="top"/>
            <w:tcMar>
              <w:top w:w="70" w:type="dxa"/>
              <w:start w:w="85" w:type="dxa"/>
              <w:bottom w:w="70" w:type="dxa"/>
              <w:end w:w="85" w:type="dxa"/>
            </w:tcMar>
          </w:tcPr>
          <w:p>
            <w:pPr>
              <w:spacing w:after="0"/>
            </w:pPr>
            <w:r>
              <w:rPr>
                <w:sz w:val="14"/>
              </w:rPr>
              <w:t>“Tevkîfîlik lehinde kullanılan deliller arasında, Hz. Peygamber’in yazıya ilişkin bazı talimatlar verdiğini nakleden rivâyetler de zikredilmiştir. Bununla birlikte bu rivâyetlerin bir kısmının isnad ve delil değeri tartışmalıdır; bu nedenle tarihsel tevkîfîlik iddiası bakımından ihtiyatla kullanılmalıdır.”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B1-19. “Resm-i Mushaf (resm-i Osmânî)” eşitlemesi Girişteki kavram ayrımını bozuyor</w:t>
            </w:r>
          </w:p>
        </w:tc>
        <w:tc>
          <w:tcPr>
            <w:tcW w:type="dxa" w:w="1984"/>
            <w:vAlign w:val="top"/>
            <w:tcMar>
              <w:top w:w="70" w:type="dxa"/>
              <w:start w:w="85" w:type="dxa"/>
              <w:bottom w:w="70" w:type="dxa"/>
              <w:end w:w="85" w:type="dxa"/>
            </w:tcMar>
          </w:tcPr>
          <w:p>
            <w:pPr>
              <w:spacing w:after="0"/>
            </w:pPr>
            <w:r>
              <w:rPr>
                <w:sz w:val="14"/>
              </w:rPr>
              <w:t>1.9 başlangıcı</w:t>
            </w:r>
          </w:p>
        </w:tc>
        <w:tc>
          <w:tcPr>
            <w:tcW w:type="dxa" w:w="3515"/>
            <w:vAlign w:val="top"/>
            <w:tcMar>
              <w:top w:w="70" w:type="dxa"/>
              <w:start w:w="85" w:type="dxa"/>
              <w:bottom w:w="70" w:type="dxa"/>
              <w:end w:w="85" w:type="dxa"/>
            </w:tcMar>
          </w:tcPr>
          <w:p>
            <w:pPr>
              <w:spacing w:after="0"/>
            </w:pPr>
            <w:r>
              <w:rPr>
                <w:sz w:val="14"/>
              </w:rPr>
              <w:t>“Bu başlıkta, Osmânî mushaflara nispet edilen yazım geleneğinin temel özellikleri ele alınmaktadır. Resm-i mushaf daha genel alanı, resm-i Osmânî ise Hz. Osman döneminde çoğaltılan mushaflara nispet edilen tarihsel yazım geleneğini ifade etmektedir.”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B1-20. Hazf “bilinçli ve hikmetli tercih” olarak tanımlanıyor</w:t>
            </w:r>
          </w:p>
        </w:tc>
        <w:tc>
          <w:tcPr>
            <w:tcW w:type="dxa" w:w="1984"/>
            <w:vAlign w:val="top"/>
            <w:tcMar>
              <w:top w:w="70" w:type="dxa"/>
              <w:start w:w="85" w:type="dxa"/>
              <w:bottom w:w="70" w:type="dxa"/>
              <w:end w:w="85" w:type="dxa"/>
            </w:tcMar>
          </w:tcPr>
          <w:p>
            <w:pPr>
              <w:spacing w:after="0"/>
            </w:pPr>
            <w:r>
              <w:rPr>
                <w:sz w:val="14"/>
              </w:rPr>
              <w:t>1.9.1 Hazf</w:t>
            </w:r>
          </w:p>
        </w:tc>
        <w:tc>
          <w:tcPr>
            <w:tcW w:type="dxa" w:w="3515"/>
            <w:vAlign w:val="top"/>
            <w:tcMar>
              <w:top w:w="70" w:type="dxa"/>
              <w:start w:w="85" w:type="dxa"/>
              <w:bottom w:w="70" w:type="dxa"/>
              <w:end w:w="85" w:type="dxa"/>
            </w:tcMar>
          </w:tcPr>
          <w:p>
            <w:pPr>
              <w:spacing w:after="0"/>
            </w:pPr>
            <w:r>
              <w:rPr>
                <w:sz w:val="14"/>
              </w:rPr>
              <w:t>“Hazf, telaffuzda bulunan bazı harflerin mushaf yazımında gösterilmemesidir. Bu uygulamaların bir kısmı erken Arap yazısının teamülleriyle, bir kısmı ise belirli kırâatlerin aynı yazımla bağdaşabilmesiyle ilişkilendirilmiştir.”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B1-21. İbnü’l-Cezerî → Zerkeşî kronolojisi ters kuruluyor</w:t>
            </w:r>
          </w:p>
        </w:tc>
        <w:tc>
          <w:tcPr>
            <w:tcW w:type="dxa" w:w="1984"/>
            <w:vAlign w:val="top"/>
            <w:tcMar>
              <w:top w:w="70" w:type="dxa"/>
              <w:start w:w="85" w:type="dxa"/>
              <w:bottom w:w="70" w:type="dxa"/>
              <w:end w:w="85" w:type="dxa"/>
            </w:tcMar>
          </w:tcPr>
          <w:p>
            <w:pPr>
              <w:spacing w:after="0"/>
            </w:pPr>
            <w:r>
              <w:rPr>
                <w:sz w:val="14"/>
              </w:rPr>
              <w:t>1.10, s.42</w:t>
            </w:r>
          </w:p>
        </w:tc>
        <w:tc>
          <w:tcPr>
            <w:tcW w:type="dxa" w:w="3515"/>
            <w:vAlign w:val="top"/>
            <w:tcMar>
              <w:top w:w="70" w:type="dxa"/>
              <w:start w:w="85" w:type="dxa"/>
              <w:bottom w:w="70" w:type="dxa"/>
              <w:end w:w="85" w:type="dxa"/>
            </w:tcMar>
          </w:tcPr>
          <w:p>
            <w:pPr>
              <w:spacing w:after="0"/>
            </w:pPr>
            <w:r>
              <w:rPr>
                <w:sz w:val="14"/>
              </w:rPr>
              <w:t>“İbnü’l-Cezerî, kendisinden önceki kırâat literatüründe çeşitli biçimlerde bulunan kabul ölçülerini sistemli bir formülasyonda bir araya getirmiştir. Zerkeşî ve diğer müelliflerin ifadeleri ise kendi kronolojik bağlamları içinde, benzer ölçülerin daha önceki ve sonraki literatürdeki görünümü olarak değerlendirilmelidir.”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B2-01. Bölüm kitabın teorik omurgasına göre hacim ve kavram derinliği bakımından zayıf</w:t>
            </w:r>
          </w:p>
        </w:tc>
        <w:tc>
          <w:tcPr>
            <w:tcW w:type="dxa" w:w="1984"/>
            <w:vAlign w:val="top"/>
            <w:tcMar>
              <w:top w:w="70" w:type="dxa"/>
              <w:start w:w="85" w:type="dxa"/>
              <w:bottom w:w="70" w:type="dxa"/>
              <w:end w:w="85" w:type="dxa"/>
            </w:tcMar>
          </w:tcPr>
          <w:p>
            <w:pPr>
              <w:spacing w:after="0"/>
            </w:pPr>
            <w:r>
              <w:rPr>
                <w:sz w:val="14"/>
              </w:rPr>
              <w:t>İkinci Bölüm, s.45–56</w:t>
            </w:r>
          </w:p>
        </w:tc>
        <w:tc>
          <w:tcPr>
            <w:tcW w:type="dxa" w:w="3515"/>
            <w:vAlign w:val="top"/>
            <w:tcMar>
              <w:top w:w="70" w:type="dxa"/>
              <w:start w:w="85" w:type="dxa"/>
              <w:bottom w:w="70" w:type="dxa"/>
              <w:end w:w="85" w:type="dxa"/>
            </w:tcMar>
          </w:tcPr>
          <w:p>
            <w:pPr>
              <w:spacing w:after="0"/>
            </w:pPr>
            <w:r>
              <w:rPr>
                <w:sz w:val="14"/>
              </w:rPr>
              <w:t>İkinci Bölüm iki ilave alt başlıkla güçlendirilmelidir: “Kırâat, Rivâyet, Tarîk ve Vecih Arasındaki İlişki” ile “Telakki, Müşâfehe ve Edânın Nakil Düzenindeki Yeri”. Mevcut yedi harf ve ortak başvuru metni başlıkları sonraki numaralara kaydırılabilir.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B2-02. Kırâat ilminin “ortaya çıkışı” ile kırâat olgusu ve disiplinleşme birbirine yaklaşıyor</w:t>
            </w:r>
          </w:p>
        </w:tc>
        <w:tc>
          <w:tcPr>
            <w:tcW w:type="dxa" w:w="1984"/>
            <w:vAlign w:val="top"/>
            <w:tcMar>
              <w:top w:w="70" w:type="dxa"/>
              <w:start w:w="85" w:type="dxa"/>
              <w:bottom w:w="70" w:type="dxa"/>
              <w:end w:w="85" w:type="dxa"/>
            </w:tcMar>
          </w:tcPr>
          <w:p>
            <w:pPr>
              <w:spacing w:after="0"/>
            </w:pPr>
            <w:r>
              <w:rPr>
                <w:sz w:val="14"/>
              </w:rPr>
              <w:t>2.1, s.45–46</w:t>
            </w:r>
          </w:p>
        </w:tc>
        <w:tc>
          <w:tcPr>
            <w:tcW w:type="dxa" w:w="3515"/>
            <w:vAlign w:val="top"/>
            <w:tcMar>
              <w:top w:w="70" w:type="dxa"/>
              <w:start w:w="85" w:type="dxa"/>
              <w:bottom w:w="70" w:type="dxa"/>
              <w:end w:w="85" w:type="dxa"/>
            </w:tcMar>
          </w:tcPr>
          <w:p>
            <w:pPr>
              <w:spacing w:after="0"/>
            </w:pPr>
            <w:r>
              <w:rPr>
                <w:sz w:val="14"/>
              </w:rPr>
              <w:t>“Kur’an’ın okunmasına ilişkin farklı edâ biçimleri erken dönemden itibaren rivâyet yoluyla aktarılmış; bu malzeme sonraki süreçte müstakil kırâat literatürü ve tasnifleri içinde sistemleştirilmiştir.”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B2-03. İmam, okuyuşun seçicisi/kurucusu gibi anlaşılabiliyor</w:t>
            </w:r>
          </w:p>
        </w:tc>
        <w:tc>
          <w:tcPr>
            <w:tcW w:type="dxa" w:w="1984"/>
            <w:vAlign w:val="top"/>
            <w:tcMar>
              <w:top w:w="70" w:type="dxa"/>
              <w:start w:w="85" w:type="dxa"/>
              <w:bottom w:w="70" w:type="dxa"/>
              <w:end w:w="85" w:type="dxa"/>
            </w:tcMar>
          </w:tcPr>
          <w:p>
            <w:pPr>
              <w:spacing w:after="0"/>
            </w:pPr>
            <w:r>
              <w:rPr>
                <w:sz w:val="14"/>
              </w:rPr>
              <w:t>2.2.2–2.2.3</w:t>
            </w:r>
          </w:p>
        </w:tc>
        <w:tc>
          <w:tcPr>
            <w:tcW w:type="dxa" w:w="3515"/>
            <w:vAlign w:val="top"/>
            <w:tcMar>
              <w:top w:w="70" w:type="dxa"/>
              <w:start w:w="85" w:type="dxa"/>
              <w:bottom w:w="70" w:type="dxa"/>
              <w:end w:w="85" w:type="dxa"/>
            </w:tcMar>
          </w:tcPr>
          <w:p>
            <w:pPr>
              <w:spacing w:after="0"/>
            </w:pPr>
            <w:r>
              <w:rPr>
                <w:sz w:val="14"/>
              </w:rPr>
              <w:t>“‘Âsım kırâati’ ifadesi, Âsım’a nispet edilen ve onun rivâyet ağı üzerinden aktarılan genel okuyuş sistemini ifade eder. Bu nispet, okuyuşların Âsım tarafından bağımsız biçimde oluşturulduğu anlamına gelmez.”</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B2-04. “Baştan itibaren yazılı değil” dikotomisi ana tezle uyuşmuyor</w:t>
            </w:r>
          </w:p>
        </w:tc>
        <w:tc>
          <w:tcPr>
            <w:tcW w:type="dxa" w:w="1984"/>
            <w:vAlign w:val="top"/>
            <w:tcMar>
              <w:top w:w="70" w:type="dxa"/>
              <w:start w:w="85" w:type="dxa"/>
              <w:bottom w:w="70" w:type="dxa"/>
              <w:end w:w="85" w:type="dxa"/>
            </w:tcMar>
          </w:tcPr>
          <w:p>
            <w:pPr>
              <w:spacing w:after="0"/>
            </w:pPr>
            <w:r>
              <w:rPr>
                <w:sz w:val="14"/>
              </w:rPr>
              <w:t>2.2.1 Rivâyet</w:t>
            </w:r>
          </w:p>
        </w:tc>
        <w:tc>
          <w:tcPr>
            <w:tcW w:type="dxa" w:w="3515"/>
            <w:vAlign w:val="top"/>
            <w:tcMar>
              <w:top w:w="70" w:type="dxa"/>
              <w:start w:w="85" w:type="dxa"/>
              <w:bottom w:w="70" w:type="dxa"/>
              <w:end w:w="85" w:type="dxa"/>
            </w:tcMar>
          </w:tcPr>
          <w:p>
            <w:pPr>
              <w:spacing w:after="0"/>
            </w:pPr>
            <w:r>
              <w:rPr>
                <w:sz w:val="14"/>
              </w:rPr>
              <w:t>“Kırâat öğretiminin aslî zemini telakki, müşâfehe ve edâya dayanan sözlü rivâyettir. Yazılı mushaf ve resm verileri bu aktarımın yerini almamış, fakat okuyuşların ortak yazılı çerçeveyle ilişkisini göstermede tamamlayıcı rol üstlenmiştir.”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B2-06. Karşı olgusal “resm olmasaydı” cümleleri bilimsel açıklama yerine varsayım üretiyor</w:t>
            </w:r>
          </w:p>
        </w:tc>
        <w:tc>
          <w:tcPr>
            <w:tcW w:type="dxa" w:w="1984"/>
            <w:vAlign w:val="top"/>
            <w:tcMar>
              <w:top w:w="70" w:type="dxa"/>
              <w:start w:w="85" w:type="dxa"/>
              <w:bottom w:w="70" w:type="dxa"/>
              <w:end w:w="85" w:type="dxa"/>
            </w:tcMar>
          </w:tcPr>
          <w:p>
            <w:pPr>
              <w:spacing w:after="0"/>
            </w:pPr>
            <w:r>
              <w:rPr>
                <w:sz w:val="14"/>
              </w:rPr>
              <w:t>2.4</w:t>
            </w:r>
          </w:p>
        </w:tc>
        <w:tc>
          <w:tcPr>
            <w:tcW w:type="dxa" w:w="3515"/>
            <w:vAlign w:val="top"/>
            <w:tcMar>
              <w:top w:w="70" w:type="dxa"/>
              <w:start w:w="85" w:type="dxa"/>
              <w:bottom w:w="70" w:type="dxa"/>
              <w:end w:w="85" w:type="dxa"/>
            </w:tcMar>
          </w:tcPr>
          <w:p>
            <w:pPr>
              <w:spacing w:after="0"/>
            </w:pPr>
            <w:r>
              <w:rPr>
                <w:sz w:val="14"/>
              </w:rPr>
              <w:t>“Osmânî mushafların ortak başvuru metni hâline gelmesi, kırâat ve tefsir değerlendirmelerinde paylaşılan yazılı bir referans zemininin oluşmasına katkı sağlamıştır.”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B3-01. Çoklu kırâatle bağdaşma, bilinçli tasarım amacı olarak anlatılıyor</w:t>
            </w:r>
          </w:p>
        </w:tc>
        <w:tc>
          <w:tcPr>
            <w:tcW w:type="dxa" w:w="1984"/>
            <w:vAlign w:val="top"/>
            <w:tcMar>
              <w:top w:w="70" w:type="dxa"/>
              <w:start w:w="85" w:type="dxa"/>
              <w:bottom w:w="70" w:type="dxa"/>
              <w:end w:w="85" w:type="dxa"/>
            </w:tcMar>
          </w:tcPr>
          <w:p>
            <w:pPr>
              <w:spacing w:after="0"/>
            </w:pPr>
            <w:r>
              <w:rPr>
                <w:sz w:val="14"/>
              </w:rPr>
              <w:t>3.1, s.57–59</w:t>
            </w:r>
          </w:p>
        </w:tc>
        <w:tc>
          <w:tcPr>
            <w:tcW w:type="dxa" w:w="3515"/>
            <w:vAlign w:val="top"/>
            <w:tcMar>
              <w:top w:w="70" w:type="dxa"/>
              <w:start w:w="85" w:type="dxa"/>
              <w:bottom w:w="70" w:type="dxa"/>
              <w:end w:w="85" w:type="dxa"/>
            </w:tcMar>
          </w:tcPr>
          <w:p>
            <w:pPr>
              <w:spacing w:after="0"/>
            </w:pPr>
            <w:r>
              <w:rPr>
                <w:sz w:val="14"/>
              </w:rPr>
              <w:t>“Osmânî mushafların yazı iskeleti, rivâyetle sabit birden fazla okuyuşla kimi yerlerde aynı anda bağdaşabilmektedir. Sonraki resm ve kırâat literatürü bu özelliği, sahih okuyuşların ortak mushaf yazısıyla ilişkisini açıklarken kullanmıştır.”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B3-02. “33 kelime” listesi farklı düzeydeki varyantları tek tipe yaklaştırıyor</w:t>
            </w:r>
          </w:p>
        </w:tc>
        <w:tc>
          <w:tcPr>
            <w:tcW w:type="dxa" w:w="1984"/>
            <w:vAlign w:val="top"/>
            <w:tcMar>
              <w:top w:w="70" w:type="dxa"/>
              <w:start w:w="85" w:type="dxa"/>
              <w:bottom w:w="70" w:type="dxa"/>
              <w:end w:w="85" w:type="dxa"/>
            </w:tcMar>
          </w:tcPr>
          <w:p>
            <w:pPr>
              <w:spacing w:after="0"/>
            </w:pPr>
            <w:r>
              <w:rPr>
                <w:sz w:val="14"/>
              </w:rPr>
              <w:t>3.1</w:t>
            </w:r>
          </w:p>
        </w:tc>
        <w:tc>
          <w:tcPr>
            <w:tcW w:type="dxa" w:w="3515"/>
            <w:vAlign w:val="top"/>
            <w:tcMar>
              <w:top w:w="70" w:type="dxa"/>
              <w:start w:w="85" w:type="dxa"/>
              <w:bottom w:w="70" w:type="dxa"/>
              <w:end w:w="85" w:type="dxa"/>
            </w:tcMar>
          </w:tcPr>
          <w:p>
            <w:pPr>
              <w:spacing w:after="0"/>
            </w:pPr>
            <w:r>
              <w:rPr>
                <w:sz w:val="14"/>
              </w:rPr>
              <w:t>“Örnekler, ‘şehir mushafları arasında grafik fark bulunanlar’ ve ‘aynı resmin birden fazla rivâyetle ihtimal yoluyla bağdaştığı örnekler’ şeklinde en az iki ayrı grupta verilmelidir.”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B3-03. Şâzlık resme aykırılığın tek sonucu gibi kuruluyor</w:t>
            </w:r>
          </w:p>
        </w:tc>
        <w:tc>
          <w:tcPr>
            <w:tcW w:type="dxa" w:w="1984"/>
            <w:vAlign w:val="top"/>
            <w:tcMar>
              <w:top w:w="70" w:type="dxa"/>
              <w:start w:w="85" w:type="dxa"/>
              <w:bottom w:w="70" w:type="dxa"/>
              <w:end w:w="85" w:type="dxa"/>
            </w:tcMar>
          </w:tcPr>
          <w:p>
            <w:pPr>
              <w:spacing w:after="0"/>
            </w:pPr>
            <w:r>
              <w:rPr>
                <w:sz w:val="14"/>
              </w:rPr>
              <w:t>3.1 sonu</w:t>
            </w:r>
          </w:p>
        </w:tc>
        <w:tc>
          <w:tcPr>
            <w:tcW w:type="dxa" w:w="3515"/>
            <w:vAlign w:val="top"/>
            <w:tcMar>
              <w:top w:w="70" w:type="dxa"/>
              <w:start w:w="85" w:type="dxa"/>
              <w:bottom w:w="70" w:type="dxa"/>
              <w:end w:w="85" w:type="dxa"/>
            </w:tcMar>
          </w:tcPr>
          <w:p>
            <w:pPr>
              <w:spacing w:after="0"/>
            </w:pPr>
            <w:r>
              <w:rPr>
                <w:sz w:val="14"/>
              </w:rPr>
              <w:t>“Resm-i Osmânî’ye uygunluk, kırâatlerin kabulünde dikkate alınan temel ölçülerden biridir. Bununla birlikte bir rivâyetin şâz olarak değerlendirilmesi yalnız resm ilişkisine indirgenemez; isnad, dil, yaygınlık ve tilâvet geleneğindeki konumu birlikte göz önünde bulundurulmalıdır.”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B3-04. Lehçe ile yedi harf arasında doğrudan eşitlik kurma riski</w:t>
            </w:r>
          </w:p>
        </w:tc>
        <w:tc>
          <w:tcPr>
            <w:tcW w:type="dxa" w:w="1984"/>
            <w:vAlign w:val="top"/>
            <w:tcMar>
              <w:top w:w="70" w:type="dxa"/>
              <w:start w:w="85" w:type="dxa"/>
              <w:bottom w:w="70" w:type="dxa"/>
              <w:end w:w="85" w:type="dxa"/>
            </w:tcMar>
          </w:tcPr>
          <w:p>
            <w:pPr>
              <w:spacing w:after="0"/>
            </w:pPr>
            <w:r>
              <w:rPr>
                <w:sz w:val="14"/>
              </w:rPr>
              <w:t>3.2</w:t>
            </w:r>
          </w:p>
        </w:tc>
        <w:tc>
          <w:tcPr>
            <w:tcW w:type="dxa" w:w="3515"/>
            <w:vAlign w:val="top"/>
            <w:tcMar>
              <w:top w:w="70" w:type="dxa"/>
              <w:start w:w="85" w:type="dxa"/>
              <w:bottom w:w="70" w:type="dxa"/>
              <w:end w:w="85" w:type="dxa"/>
            </w:tcMar>
          </w:tcPr>
          <w:p>
            <w:pPr>
              <w:spacing w:after="0"/>
            </w:pPr>
            <w:r>
              <w:rPr>
                <w:sz w:val="14"/>
              </w:rPr>
              <w:t>“Yedi harfin mahiyeti hakkında farklı açıklamalar bulunmakla birlikte, bu açıklamalardan bir kısmı meseleyi Arap lehçeleri ve telaffuz çeşitliliğiyle ilişkilendirmiştir.”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B3-05. Hareke “aslına işaret” yazının bilinçli ses işareti gibi açıklanıyor</w:t>
            </w:r>
          </w:p>
        </w:tc>
        <w:tc>
          <w:tcPr>
            <w:tcW w:type="dxa" w:w="1984"/>
            <w:vAlign w:val="top"/>
            <w:tcMar>
              <w:top w:w="70" w:type="dxa"/>
              <w:start w:w="85" w:type="dxa"/>
              <w:bottom w:w="70" w:type="dxa"/>
              <w:end w:w="85" w:type="dxa"/>
            </w:tcMar>
          </w:tcPr>
          <w:p>
            <w:pPr>
              <w:spacing w:after="0"/>
            </w:pPr>
            <w:r>
              <w:rPr>
                <w:sz w:val="14"/>
              </w:rPr>
              <w:t>3.3, s.60–62</w:t>
            </w:r>
          </w:p>
        </w:tc>
        <w:tc>
          <w:tcPr>
            <w:tcW w:type="dxa" w:w="3515"/>
            <w:vAlign w:val="top"/>
            <w:tcMar>
              <w:top w:w="70" w:type="dxa"/>
              <w:start w:w="85" w:type="dxa"/>
              <w:bottom w:w="70" w:type="dxa"/>
              <w:end w:w="85" w:type="dxa"/>
            </w:tcMar>
          </w:tcPr>
          <w:p>
            <w:pPr>
              <w:spacing w:after="0"/>
            </w:pPr>
            <w:r>
              <w:rPr>
                <w:sz w:val="14"/>
              </w:rPr>
              <w:t>“Bu örnekler, bazı klasik dil ve resm âlimlerinin belirli yazım biçimlerini harekenin kökeni veya kelimenin dilsel yapısıyla ilişkilendirdiklerini göstermektedir. Bu açıklamalar, söz konusu yazımların başlangıçta özellikle bu amacı göstermek için oluşturulduğunu tek başına kanıtlamaz.”</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B3-06. 3.4 başlığı sonucu peşinen kabul ediyor</w:t>
            </w:r>
          </w:p>
        </w:tc>
        <w:tc>
          <w:tcPr>
            <w:tcW w:type="dxa" w:w="1984"/>
            <w:vAlign w:val="top"/>
            <w:tcMar>
              <w:top w:w="70" w:type="dxa"/>
              <w:start w:w="85" w:type="dxa"/>
              <w:bottom w:w="70" w:type="dxa"/>
              <w:end w:w="85" w:type="dxa"/>
            </w:tcMar>
          </w:tcPr>
          <w:p>
            <w:pPr>
              <w:spacing w:after="0"/>
            </w:pPr>
            <w:r>
              <w:rPr>
                <w:sz w:val="14"/>
              </w:rPr>
              <w:t>3.4, s.62</w:t>
            </w:r>
          </w:p>
        </w:tc>
        <w:tc>
          <w:tcPr>
            <w:tcW w:type="dxa" w:w="3515"/>
            <w:vAlign w:val="top"/>
            <w:tcMar>
              <w:top w:w="70" w:type="dxa"/>
              <w:start w:w="85" w:type="dxa"/>
              <w:bottom w:w="70" w:type="dxa"/>
              <w:end w:w="85" w:type="dxa"/>
            </w:tcMar>
          </w:tcPr>
          <w:p>
            <w:pPr>
              <w:spacing w:after="0"/>
            </w:pPr>
            <w:r>
              <w:rPr>
                <w:sz w:val="14"/>
              </w:rPr>
              <w:t>“Hazif ve Ziyâdeye Yüklenen Mana İlişkileri: Klasik Yorumlar ve Delil Değeri”</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B3-07. Resm açıkça “anlam işaretleme sistemi”ne dönüştürülüyor</w:t>
            </w:r>
          </w:p>
        </w:tc>
        <w:tc>
          <w:tcPr>
            <w:tcW w:type="dxa" w:w="1984"/>
            <w:vAlign w:val="top"/>
            <w:tcMar>
              <w:top w:w="70" w:type="dxa"/>
              <w:start w:w="85" w:type="dxa"/>
              <w:bottom w:w="70" w:type="dxa"/>
              <w:end w:w="85" w:type="dxa"/>
            </w:tcMar>
          </w:tcPr>
          <w:p>
            <w:pPr>
              <w:spacing w:after="0"/>
            </w:pPr>
            <w:r>
              <w:rPr>
                <w:sz w:val="14"/>
              </w:rPr>
              <w:t>3.4</w:t>
            </w:r>
          </w:p>
        </w:tc>
        <w:tc>
          <w:tcPr>
            <w:tcW w:type="dxa" w:w="3515"/>
            <w:vAlign w:val="top"/>
            <w:tcMar>
              <w:top w:w="70" w:type="dxa"/>
              <w:start w:w="85" w:type="dxa"/>
              <w:bottom w:w="70" w:type="dxa"/>
              <w:end w:w="85" w:type="dxa"/>
            </w:tcMar>
          </w:tcPr>
          <w:p>
            <w:pPr>
              <w:spacing w:after="0"/>
            </w:pPr>
            <w:r>
              <w:rPr>
                <w:sz w:val="14"/>
              </w:rPr>
              <w:t>“Bazı klasik müellifler, hazif ve ziyâde örneklerini mana ve belâgat bakımından yorumlamışlardır. Bu yorumlar resm geleneğinin anlam merkezli yorum katmanını göstermekte; ancak yazımın tarihsel olarak bu manaları işaretlemek amacıyla oluşturulduğunu kanıtlamamaktadır.”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B3-08. İlâhî kudret, korku, hız ve af yorumları kanıt düzeyi ayrılmadan kullanılıyor</w:t>
            </w:r>
          </w:p>
        </w:tc>
        <w:tc>
          <w:tcPr>
            <w:tcW w:type="dxa" w:w="1984"/>
            <w:vAlign w:val="top"/>
            <w:tcMar>
              <w:top w:w="70" w:type="dxa"/>
              <w:start w:w="85" w:type="dxa"/>
              <w:bottom w:w="70" w:type="dxa"/>
              <w:end w:w="85" w:type="dxa"/>
            </w:tcMar>
          </w:tcPr>
          <w:p>
            <w:pPr>
              <w:spacing w:after="0"/>
            </w:pPr>
            <w:r>
              <w:rPr>
                <w:sz w:val="14"/>
              </w:rPr>
              <w:t>3.4</w:t>
            </w:r>
          </w:p>
        </w:tc>
        <w:tc>
          <w:tcPr>
            <w:tcW w:type="dxa" w:w="3515"/>
            <w:vAlign w:val="top"/>
            <w:tcMar>
              <w:top w:w="70" w:type="dxa"/>
              <w:start w:w="85" w:type="dxa"/>
              <w:bottom w:w="70" w:type="dxa"/>
              <w:end w:w="85" w:type="dxa"/>
            </w:tcMar>
          </w:tcPr>
          <w:p>
            <w:pPr>
              <w:spacing w:after="0"/>
            </w:pPr>
            <w:r>
              <w:rPr>
                <w:sz w:val="14"/>
              </w:rPr>
              <w:t>“Merrâkuşî, ilgili ziyâdeyi ilâhî kudretin kuvvetiyle ilişkilendirmiştir. Bu açıklama, klasik resm yorumculuğundaki hikmet merkezli yaklaşımı yansıtmaktadır. Bununla birlikte söz konusu yazımın doğrudan bu manayı göstermek amacıyla oluşturulduğunu tarihsel olarak kanıtlamak mümkün değildir.”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B3-09. “Sırlar ve i‘câz” çağrısı akademik sonuç sınırını aşıyor</w:t>
            </w:r>
          </w:p>
        </w:tc>
        <w:tc>
          <w:tcPr>
            <w:tcW w:type="dxa" w:w="1984"/>
            <w:vAlign w:val="top"/>
            <w:tcMar>
              <w:top w:w="70" w:type="dxa"/>
              <w:start w:w="85" w:type="dxa"/>
              <w:bottom w:w="70" w:type="dxa"/>
              <w:end w:w="85" w:type="dxa"/>
            </w:tcMar>
          </w:tcPr>
          <w:p>
            <w:pPr>
              <w:spacing w:after="0"/>
            </w:pPr>
            <w:r>
              <w:rPr>
                <w:sz w:val="14"/>
              </w:rPr>
              <w:t>3.4 sonu</w:t>
            </w:r>
          </w:p>
        </w:tc>
        <w:tc>
          <w:tcPr>
            <w:tcW w:type="dxa" w:w="3515"/>
            <w:vAlign w:val="top"/>
            <w:tcMar>
              <w:top w:w="70" w:type="dxa"/>
              <w:start w:w="85" w:type="dxa"/>
              <w:bottom w:w="70" w:type="dxa"/>
              <w:end w:w="85" w:type="dxa"/>
            </w:tcMar>
          </w:tcPr>
          <w:p>
            <w:pPr>
              <w:spacing w:after="0"/>
            </w:pPr>
            <w:r>
              <w:rPr>
                <w:sz w:val="14"/>
              </w:rPr>
              <w:t>“Bu örnekler, resm literatüründe teknik yazım açıklamalarıyla hikmet merkezli yorumların birlikte bulunabildiğini göstermektedir. Bilimsel değerlendirmede bu iki açıklama düzeyi birbirinden ayrılmalıdır.”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B3-10. 3.5 başlığı yazım farkının anlam farkını zorunlu gösterdiğini varsayıyor</w:t>
            </w:r>
          </w:p>
        </w:tc>
        <w:tc>
          <w:tcPr>
            <w:tcW w:type="dxa" w:w="1984"/>
            <w:vAlign w:val="top"/>
            <w:tcMar>
              <w:top w:w="70" w:type="dxa"/>
              <w:start w:w="85" w:type="dxa"/>
              <w:bottom w:w="70" w:type="dxa"/>
              <w:end w:w="85" w:type="dxa"/>
            </w:tcMar>
          </w:tcPr>
          <w:p>
            <w:pPr>
              <w:spacing w:after="0"/>
            </w:pPr>
            <w:r>
              <w:rPr>
                <w:sz w:val="14"/>
              </w:rPr>
              <w:t>3.5, s.64</w:t>
            </w:r>
          </w:p>
        </w:tc>
        <w:tc>
          <w:tcPr>
            <w:tcW w:type="dxa" w:w="3515"/>
            <w:vAlign w:val="top"/>
            <w:tcMar>
              <w:top w:w="70" w:type="dxa"/>
              <w:start w:w="85" w:type="dxa"/>
              <w:bottom w:w="70" w:type="dxa"/>
              <w:end w:w="85" w:type="dxa"/>
            </w:tcMar>
          </w:tcPr>
          <w:p>
            <w:pPr>
              <w:spacing w:after="0"/>
            </w:pPr>
            <w:r>
              <w:rPr>
                <w:sz w:val="14"/>
              </w:rPr>
              <w:t>“Vasl ve Fasl Yazımlarının Dilsel ve Anlamsal Yorumlarda Kullanılması”</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B3-11. İbn Haldûn’a verilen cevap savunmacı ölçüte dayanıyor</w:t>
            </w:r>
          </w:p>
        </w:tc>
        <w:tc>
          <w:tcPr>
            <w:tcW w:type="dxa" w:w="1984"/>
            <w:vAlign w:val="top"/>
            <w:tcMar>
              <w:top w:w="70" w:type="dxa"/>
              <w:start w:w="85" w:type="dxa"/>
              <w:bottom w:w="70" w:type="dxa"/>
              <w:end w:w="85" w:type="dxa"/>
            </w:tcMar>
          </w:tcPr>
          <w:p>
            <w:pPr>
              <w:spacing w:after="0"/>
            </w:pPr>
            <w:r>
              <w:rPr>
                <w:sz w:val="14"/>
              </w:rPr>
              <w:t>3.6, s.66–70</w:t>
            </w:r>
          </w:p>
        </w:tc>
        <w:tc>
          <w:tcPr>
            <w:tcW w:type="dxa" w:w="3515"/>
            <w:vAlign w:val="top"/>
            <w:tcMar>
              <w:top w:w="70" w:type="dxa"/>
              <w:start w:w="85" w:type="dxa"/>
              <w:bottom w:w="70" w:type="dxa"/>
              <w:end w:w="85" w:type="dxa"/>
            </w:tcMar>
          </w:tcPr>
          <w:p>
            <w:pPr>
              <w:spacing w:after="0"/>
            </w:pPr>
            <w:r>
              <w:rPr>
                <w:sz w:val="14"/>
              </w:rPr>
              <w:t>“İbn Haldûn’un açıklaması, erken Arap yazısının tarihsel şartlarını öne çıkaran bir yaklaşımı temsil etmektedir. Bu yaklaşımın resm-i Osmânî’nin sonraki normatif bağlayıcılığıyla ilişkisi ise ayrı bir tartışmadır; tarihsel köken açıklaması ile normatif bağlılık birbirine indirgenmemelidir.”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B3-12. “Üç ana çizgi” cümlesi iki çizgi sayıyor</w:t>
            </w:r>
          </w:p>
        </w:tc>
        <w:tc>
          <w:tcPr>
            <w:tcW w:type="dxa" w:w="1984"/>
            <w:vAlign w:val="top"/>
            <w:tcMar>
              <w:top w:w="70" w:type="dxa"/>
              <w:start w:w="85" w:type="dxa"/>
              <w:bottom w:w="70" w:type="dxa"/>
              <w:end w:w="85" w:type="dxa"/>
            </w:tcMar>
          </w:tcPr>
          <w:p>
            <w:pPr>
              <w:spacing w:after="0"/>
            </w:pPr>
            <w:r>
              <w:rPr>
                <w:sz w:val="14"/>
              </w:rPr>
              <w:t>3.6 sonu</w:t>
            </w:r>
          </w:p>
        </w:tc>
        <w:tc>
          <w:tcPr>
            <w:tcW w:type="dxa" w:w="3515"/>
            <w:vAlign w:val="top"/>
            <w:tcMar>
              <w:top w:w="70" w:type="dxa"/>
              <w:start w:w="85" w:type="dxa"/>
              <w:bottom w:w="70" w:type="dxa"/>
              <w:end w:w="85" w:type="dxa"/>
            </w:tcMar>
          </w:tcPr>
          <w:p>
            <w:pPr>
              <w:spacing w:after="0"/>
            </w:pPr>
            <w:r>
              <w:rPr>
                <w:sz w:val="14"/>
              </w:rPr>
              <w:t>“Bu görüşler üç ana çizgide toplanabilir: resm-i Osmânî’yi tevkîfî ve bağlayıcı gören yaklaşım; yazım farklılıklarını hikmet ve i‘câz çerçevesinde yorumlayan yaklaşım; yazımı erken Arap imlâsı ve tarihsel gelişim içinde açıklayan tarihsel-filolojik yaklaşım.”</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B3-13. 3.7 akademik tondan vaaz üslubuna kayıyor</w:t>
            </w:r>
          </w:p>
        </w:tc>
        <w:tc>
          <w:tcPr>
            <w:tcW w:type="dxa" w:w="1984"/>
            <w:vAlign w:val="top"/>
            <w:tcMar>
              <w:top w:w="70" w:type="dxa"/>
              <w:start w:w="85" w:type="dxa"/>
              <w:bottom w:w="70" w:type="dxa"/>
              <w:end w:w="85" w:type="dxa"/>
            </w:tcMar>
          </w:tcPr>
          <w:p>
            <w:pPr>
              <w:spacing w:after="0"/>
            </w:pPr>
            <w:r>
              <w:rPr>
                <w:sz w:val="14"/>
              </w:rPr>
              <w:t>3.7, s.70–74</w:t>
            </w:r>
          </w:p>
        </w:tc>
        <w:tc>
          <w:tcPr>
            <w:tcW w:type="dxa" w:w="3515"/>
            <w:vAlign w:val="top"/>
            <w:tcMar>
              <w:top w:w="70" w:type="dxa"/>
              <w:start w:w="85" w:type="dxa"/>
              <w:bottom w:w="70" w:type="dxa"/>
              <w:end w:w="85" w:type="dxa"/>
            </w:tcMar>
          </w:tcPr>
          <w:p>
            <w:pPr>
              <w:spacing w:after="0"/>
            </w:pPr>
            <w:r>
              <w:rPr>
                <w:sz w:val="14"/>
              </w:rPr>
              <w:t>“Resm-i Osmânî’ye bağlılık lehinde geliştirilen klasik gerekçeler, mushaf yazısında tarihsel sürekliliğin ve müşterek metin geleneğinin korunmasına vurgu yapmaktadır. Bu gerekçeler normatif mahiyetleri açıkça belirtilerek aktarılmalıdır.”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B3-14. 3.9 “selefin faziletine delalet” kitabın araştırma probleminden uzaklaşıyor</w:t>
            </w:r>
          </w:p>
        </w:tc>
        <w:tc>
          <w:tcPr>
            <w:tcW w:type="dxa" w:w="1984"/>
            <w:vAlign w:val="top"/>
            <w:tcMar>
              <w:top w:w="70" w:type="dxa"/>
              <w:start w:w="85" w:type="dxa"/>
              <w:bottom w:w="70" w:type="dxa"/>
              <w:end w:w="85" w:type="dxa"/>
            </w:tcMar>
          </w:tcPr>
          <w:p>
            <w:pPr>
              <w:spacing w:after="0"/>
            </w:pPr>
            <w:r>
              <w:rPr>
                <w:sz w:val="14"/>
              </w:rPr>
              <w:t>3.9, s.75–77</w:t>
            </w:r>
          </w:p>
        </w:tc>
        <w:tc>
          <w:tcPr>
            <w:tcW w:type="dxa" w:w="3515"/>
            <w:vAlign w:val="top"/>
            <w:tcMar>
              <w:top w:w="70" w:type="dxa"/>
              <w:start w:w="85" w:type="dxa"/>
              <w:bottom w:w="70" w:type="dxa"/>
              <w:end w:w="85" w:type="dxa"/>
            </w:tcMar>
          </w:tcPr>
          <w:p>
            <w:pPr>
              <w:spacing w:after="0"/>
            </w:pPr>
            <w:r>
              <w:rPr>
                <w:sz w:val="14"/>
              </w:rPr>
              <w:t>Bu alt başlık bağımsız bölüm olmaktan çıkarılmalıdır. Kaynaklarda resme bağlılığın sahâbe uygulamasına ittiba ile gerekçelendirildiği görüşler varsa, 3.6 veya önerilen birleşik 3.7 içinde “Normatif gerekçeler” başlığı altında kısa ve kaynak görüşü olarak aktarılmalıdır.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B3-15. Müşâfeheye yönlendirme bilinçli tasarım olarak anlatılıyor</w:t>
            </w:r>
          </w:p>
        </w:tc>
        <w:tc>
          <w:tcPr>
            <w:tcW w:type="dxa" w:w="1984"/>
            <w:vAlign w:val="top"/>
            <w:tcMar>
              <w:top w:w="70" w:type="dxa"/>
              <w:start w:w="85" w:type="dxa"/>
              <w:bottom w:w="70" w:type="dxa"/>
              <w:end w:w="85" w:type="dxa"/>
            </w:tcMar>
          </w:tcPr>
          <w:p>
            <w:pPr>
              <w:spacing w:after="0"/>
            </w:pPr>
            <w:r>
              <w:rPr>
                <w:sz w:val="14"/>
              </w:rPr>
              <w:t>3.10, s.77–80</w:t>
            </w:r>
          </w:p>
        </w:tc>
        <w:tc>
          <w:tcPr>
            <w:tcW w:type="dxa" w:w="3515"/>
            <w:vAlign w:val="top"/>
            <w:tcMar>
              <w:top w:w="70" w:type="dxa"/>
              <w:start w:w="85" w:type="dxa"/>
              <w:bottom w:w="70" w:type="dxa"/>
              <w:end w:w="85" w:type="dxa"/>
            </w:tcMar>
          </w:tcPr>
          <w:p>
            <w:pPr>
              <w:spacing w:after="0"/>
            </w:pPr>
            <w:r>
              <w:rPr>
                <w:sz w:val="14"/>
              </w:rPr>
              <w:t>“Erken mushaf yazısının seslendirme ayrıntılarını bütünüyle göstermemesi, okuyuşun yalnız yazıdan öğrenilememesine ve telakki ile müşâfehenin aktarım sürecindeki merkezî yerini korumasına yol açmıştır.”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B3-16. “Tam fonetik yazı olsaydı sözlü aktarım zayıflardı” karşı olgusu kanıtsız</w:t>
            </w:r>
          </w:p>
        </w:tc>
        <w:tc>
          <w:tcPr>
            <w:tcW w:type="dxa" w:w="1984"/>
            <w:vAlign w:val="top"/>
            <w:tcMar>
              <w:top w:w="70" w:type="dxa"/>
              <w:start w:w="85" w:type="dxa"/>
              <w:bottom w:w="70" w:type="dxa"/>
              <w:end w:w="85" w:type="dxa"/>
            </w:tcMar>
          </w:tcPr>
          <w:p>
            <w:pPr>
              <w:spacing w:after="0"/>
            </w:pPr>
            <w:r>
              <w:rPr>
                <w:sz w:val="14"/>
              </w:rPr>
              <w:t>3.10</w:t>
            </w:r>
          </w:p>
        </w:tc>
        <w:tc>
          <w:tcPr>
            <w:tcW w:type="dxa" w:w="3515"/>
            <w:vAlign w:val="top"/>
            <w:tcMar>
              <w:top w:w="70" w:type="dxa"/>
              <w:start w:w="85" w:type="dxa"/>
              <w:bottom w:w="70" w:type="dxa"/>
              <w:end w:w="85" w:type="dxa"/>
            </w:tcMar>
          </w:tcPr>
          <w:p>
            <w:pPr>
              <w:spacing w:after="0"/>
            </w:pPr>
            <w:r>
              <w:rPr>
                <w:sz w:val="14"/>
              </w:rPr>
              <w:t>“Erken mushaf yazısı telaffuzun bütün ayrıntılarını göstermediği için, doğru edânın öğrenilmesinde telakki ve müşâfehe vazgeçilmez olmaya devam etmiştir.”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B3-17. İsrail/Afrika mushafları anlatısı ağır doğrulama ve nedensellik sorunu taşıyor</w:t>
            </w:r>
          </w:p>
        </w:tc>
        <w:tc>
          <w:tcPr>
            <w:tcW w:type="dxa" w:w="1984"/>
            <w:vAlign w:val="top"/>
            <w:tcMar>
              <w:top w:w="70" w:type="dxa"/>
              <w:start w:w="85" w:type="dxa"/>
              <w:bottom w:w="70" w:type="dxa"/>
              <w:end w:w="85" w:type="dxa"/>
            </w:tcMar>
          </w:tcPr>
          <w:p>
            <w:pPr>
              <w:spacing w:after="0"/>
            </w:pPr>
            <w:r>
              <w:rPr>
                <w:sz w:val="14"/>
              </w:rPr>
              <w:t>3.11, s.80 civarı</w:t>
            </w:r>
          </w:p>
        </w:tc>
        <w:tc>
          <w:tcPr>
            <w:tcW w:type="dxa" w:w="3515"/>
            <w:vAlign w:val="top"/>
            <w:tcMar>
              <w:top w:w="70" w:type="dxa"/>
              <w:start w:w="85" w:type="dxa"/>
              <w:bottom w:w="70" w:type="dxa"/>
              <w:end w:w="85" w:type="dxa"/>
            </w:tcMar>
          </w:tcPr>
          <w:p>
            <w:pPr>
              <w:spacing w:after="0"/>
            </w:pPr>
            <w:r>
              <w:rPr>
                <w:sz w:val="14"/>
              </w:rPr>
              <w:t>Bu anlatı ana argümanın zorunlu bir parçası değildir ve çıkarılması önerilir. Resm-i Osmânî’nin korunması lehindeki tarihsel gerekçe, klasik resm verilerinin ve mushaf geleneğinin sürekliliği üzerinden kurulmalıdır.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B3-18. Kasıt atfı kaynakça anlatısında kesinleşiyor</w:t>
            </w:r>
          </w:p>
        </w:tc>
        <w:tc>
          <w:tcPr>
            <w:tcW w:type="dxa" w:w="1984"/>
            <w:vAlign w:val="top"/>
            <w:tcMar>
              <w:top w:w="70" w:type="dxa"/>
              <w:start w:w="85" w:type="dxa"/>
              <w:bottom w:w="70" w:type="dxa"/>
              <w:end w:w="85" w:type="dxa"/>
            </w:tcMar>
          </w:tcPr>
          <w:p>
            <w:pPr>
              <w:spacing w:after="0"/>
            </w:pPr>
            <w:r>
              <w:rPr>
                <w:sz w:val="14"/>
              </w:rPr>
              <w:t>3.11</w:t>
            </w:r>
          </w:p>
        </w:tc>
        <w:tc>
          <w:tcPr>
            <w:tcW w:type="dxa" w:w="3515"/>
            <w:vAlign w:val="top"/>
            <w:tcMar>
              <w:top w:w="70" w:type="dxa"/>
              <w:start w:w="85" w:type="dxa"/>
              <w:bottom w:w="70" w:type="dxa"/>
              <w:end w:w="85" w:type="dxa"/>
            </w:tcMar>
          </w:tcPr>
          <w:p>
            <w:pPr>
              <w:spacing w:after="0"/>
            </w:pPr>
            <w:r>
              <w:rPr>
                <w:sz w:val="14"/>
              </w:rPr>
              <w:t>“İlgili kaynak, bu değişikliği okuyucunun dikkatini başka yöne çekme amacıyla açıklıyorsa bu yorum açıkça kaynağa nispet edilmelidir; kaynakta böyle bir açıklama yoksa amaç cümlesi çıkarılmalıdır.”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B3-19. Yeni imlânın kırâatleri “kaybettireceği” iddiası ana tezle çelişiyor</w:t>
            </w:r>
          </w:p>
        </w:tc>
        <w:tc>
          <w:tcPr>
            <w:tcW w:type="dxa" w:w="1984"/>
            <w:vAlign w:val="top"/>
            <w:tcMar>
              <w:top w:w="70" w:type="dxa"/>
              <w:start w:w="85" w:type="dxa"/>
              <w:bottom w:w="70" w:type="dxa"/>
              <w:end w:w="85" w:type="dxa"/>
            </w:tcMar>
          </w:tcPr>
          <w:p>
            <w:pPr>
              <w:spacing w:after="0"/>
            </w:pPr>
            <w:r>
              <w:rPr>
                <w:sz w:val="14"/>
              </w:rPr>
              <w:t>3.11</w:t>
            </w:r>
          </w:p>
        </w:tc>
        <w:tc>
          <w:tcPr>
            <w:tcW w:type="dxa" w:w="3515"/>
            <w:vAlign w:val="top"/>
            <w:tcMar>
              <w:top w:w="70" w:type="dxa"/>
              <w:start w:w="85" w:type="dxa"/>
              <w:bottom w:w="70" w:type="dxa"/>
              <w:end w:w="85" w:type="dxa"/>
            </w:tcMar>
          </w:tcPr>
          <w:p>
            <w:pPr>
              <w:spacing w:after="0"/>
            </w:pPr>
            <w:r>
              <w:rPr>
                <w:sz w:val="14"/>
              </w:rPr>
              <w:t>“Farklı bir imlâya geçilmesi, bazı kırâatlerin resm ile kurduğu grafik ilişkinin görünürlüğünü azaltabilir. Bununla birlikte kırâatlerin aslî aktarım zemini rivâyet olduğu için, yazım değişikliğinin tek başına rivâyet edilen okuyuşları ortadan kaldırdığı söylenemez.”</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B3-20. “Tek metin, tek hat, tek ümmet” türü sloganlaştırıcı birlik dili akademik sınırı aşıyor</w:t>
            </w:r>
          </w:p>
        </w:tc>
        <w:tc>
          <w:tcPr>
            <w:tcW w:type="dxa" w:w="1984"/>
            <w:vAlign w:val="top"/>
            <w:tcMar>
              <w:top w:w="70" w:type="dxa"/>
              <w:start w:w="85" w:type="dxa"/>
              <w:bottom w:w="70" w:type="dxa"/>
              <w:end w:w="85" w:type="dxa"/>
            </w:tcMar>
          </w:tcPr>
          <w:p>
            <w:pPr>
              <w:spacing w:after="0"/>
            </w:pPr>
            <w:r>
              <w:rPr>
                <w:sz w:val="14"/>
              </w:rPr>
              <w:t>3.12, s.83–86</w:t>
            </w:r>
          </w:p>
        </w:tc>
        <w:tc>
          <w:tcPr>
            <w:tcW w:type="dxa" w:w="3515"/>
            <w:vAlign w:val="top"/>
            <w:tcMar>
              <w:top w:w="70" w:type="dxa"/>
              <w:start w:w="85" w:type="dxa"/>
              <w:bottom w:w="70" w:type="dxa"/>
              <w:end w:w="85" w:type="dxa"/>
            </w:tcMar>
          </w:tcPr>
          <w:p>
            <w:pPr>
              <w:spacing w:after="0"/>
            </w:pPr>
            <w:r>
              <w:rPr>
                <w:sz w:val="14"/>
              </w:rPr>
              <w:t>“Osmânî mushafların müşterek otoritesi, farklı bölgelerdeki okuyuşların ortak bir yazılı başvuru alanı içinde değerlendirilmesine katkı sağlamıştır. Bu birlik, kırâat çeşitliliğinin bütünüyle ortadan kalkması anlamına gelmemiştir.”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B3-21. 3.7–3.12 yapısal olarak birleştirilmeli</w:t>
            </w:r>
          </w:p>
        </w:tc>
        <w:tc>
          <w:tcPr>
            <w:tcW w:type="dxa" w:w="1984"/>
            <w:vAlign w:val="top"/>
            <w:tcMar>
              <w:top w:w="70" w:type="dxa"/>
              <w:start w:w="85" w:type="dxa"/>
              <w:bottom w:w="70" w:type="dxa"/>
              <w:end w:w="85" w:type="dxa"/>
            </w:tcMar>
          </w:tcPr>
          <w:p>
            <w:pPr>
              <w:spacing w:after="0"/>
            </w:pPr>
            <w:r>
              <w:rPr>
                <w:sz w:val="14"/>
              </w:rPr>
              <w:t>3.7–3.12</w:t>
            </w:r>
          </w:p>
        </w:tc>
        <w:tc>
          <w:tcPr>
            <w:tcW w:type="dxa" w:w="3515"/>
            <w:vAlign w:val="top"/>
            <w:tcMar>
              <w:top w:w="70" w:type="dxa"/>
              <w:start w:w="85" w:type="dxa"/>
              <w:bottom w:w="70" w:type="dxa"/>
              <w:end w:w="85" w:type="dxa"/>
            </w:tcMar>
          </w:tcPr>
          <w:p>
            <w:pPr>
              <w:spacing w:after="0"/>
            </w:pPr>
            <w:r>
              <w:rPr>
                <w:sz w:val="14"/>
              </w:rPr>
              <w:t>Önerilen yeni yapı: “3.7. Resm-i Osmânî’ye Bağlılığın Gerekçeleri ve Sınırları”. Altında kısa alt bölümler: (a) normatif/fıkhî bağlılık, (b) tarihsel resm verisinin korunması, (c) telakki–müşâfehe ile tamamlayıcılık, (d) kültürel/simgesel gerekçeler. Hikmet ve fazilet söylemleri açıkça kaynak görüşü olarak sınırlandırılmalıdır.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B4-01. Bölüm başlangıcı ana teze uyuyor; hemen ardından resm tekrar belirleyici özneye dönüşüyor</w:t>
            </w:r>
          </w:p>
        </w:tc>
        <w:tc>
          <w:tcPr>
            <w:tcW w:type="dxa" w:w="1984"/>
            <w:vAlign w:val="top"/>
            <w:tcMar>
              <w:top w:w="70" w:type="dxa"/>
              <w:start w:w="85" w:type="dxa"/>
              <w:bottom w:w="70" w:type="dxa"/>
              <w:end w:w="85" w:type="dxa"/>
            </w:tcMar>
          </w:tcPr>
          <w:p>
            <w:pPr>
              <w:spacing w:after="0"/>
            </w:pPr>
            <w:r>
              <w:rPr>
                <w:sz w:val="14"/>
              </w:rPr>
              <w:t>4.1, s.87–90</w:t>
            </w:r>
          </w:p>
        </w:tc>
        <w:tc>
          <w:tcPr>
            <w:tcW w:type="dxa" w:w="3515"/>
            <w:vAlign w:val="top"/>
            <w:tcMar>
              <w:top w:w="70" w:type="dxa"/>
              <w:start w:w="85" w:type="dxa"/>
              <w:bottom w:w="70" w:type="dxa"/>
              <w:end w:w="85" w:type="dxa"/>
            </w:tcMar>
          </w:tcPr>
          <w:p>
            <w:pPr>
              <w:spacing w:after="0"/>
            </w:pPr>
            <w:r>
              <w:rPr>
                <w:sz w:val="14"/>
              </w:rPr>
              <w:t>“Resm-i Osmânî’ye uygunluk, kırâat âlimlerinin rivâyetleri değerlendirirken başvurdukları ölçülerden biridir. Resmle bağdaşmayan rivâyetlerin normatif tilâvet alanının dışında değerlendirilmesi, yalnız yazının ‘seçimi’ değil, isnad, dil, ilmî kabul ve müşterek mushaf otoritesiyle birlikte işleyen bir değerlendirme sürecidir.”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B4-02. Dört nüsha “çoğunluk” ifadesi 1.5 ile açık çelişki oluşturuyor</w:t>
            </w:r>
          </w:p>
        </w:tc>
        <w:tc>
          <w:tcPr>
            <w:tcW w:type="dxa" w:w="1984"/>
            <w:vAlign w:val="top"/>
            <w:tcMar>
              <w:top w:w="70" w:type="dxa"/>
              <w:start w:w="85" w:type="dxa"/>
              <w:bottom w:w="70" w:type="dxa"/>
              <w:end w:w="85" w:type="dxa"/>
            </w:tcMar>
          </w:tcPr>
          <w:p>
            <w:pPr>
              <w:spacing w:after="0"/>
            </w:pPr>
            <w:r>
              <w:rPr>
                <w:sz w:val="14"/>
              </w:rPr>
              <w:t>4.1, s.87</w:t>
            </w:r>
          </w:p>
        </w:tc>
        <w:tc>
          <w:tcPr>
            <w:tcW w:type="dxa" w:w="3515"/>
            <w:vAlign w:val="top"/>
            <w:tcMar>
              <w:top w:w="70" w:type="dxa"/>
              <w:start w:w="85" w:type="dxa"/>
              <w:bottom w:w="70" w:type="dxa"/>
              <w:end w:w="85" w:type="dxa"/>
            </w:tcMar>
          </w:tcPr>
          <w:p>
            <w:pPr>
              <w:spacing w:after="0"/>
            </w:pPr>
            <w:r>
              <w:rPr>
                <w:sz w:val="14"/>
              </w:rPr>
              <w:t>“Hz. Osman döneminde çoğaltılan mushafların sayısı ve gönderildikleri merkezler hakkında farklı rivâyetler bulunmaktadır. Bu farklılıkların bir kısmı, halifenin yanında kalan nüsha ile Medine mushafının aynı veya ayrı sayılmasından kaynaklanmaktadır; bu nedenle toplam sayı konusunda kesin bir hüküm yerine rivâyet çeşitliliği korunmalıdır.”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B4-03. Sahâbe mushaflarındaki farklılıklar topluca tefsirî kayıt/neshedilmiş okuyuş sayılıyor</w:t>
            </w:r>
          </w:p>
        </w:tc>
        <w:tc>
          <w:tcPr>
            <w:tcW w:type="dxa" w:w="1984"/>
            <w:vAlign w:val="top"/>
            <w:tcMar>
              <w:top w:w="70" w:type="dxa"/>
              <w:start w:w="85" w:type="dxa"/>
              <w:bottom w:w="70" w:type="dxa"/>
              <w:end w:w="85" w:type="dxa"/>
            </w:tcMar>
          </w:tcPr>
          <w:p>
            <w:pPr>
              <w:spacing w:after="0"/>
            </w:pPr>
            <w:r>
              <w:rPr>
                <w:sz w:val="14"/>
              </w:rPr>
              <w:t>4.2, s.90–94</w:t>
            </w:r>
          </w:p>
        </w:tc>
        <w:tc>
          <w:tcPr>
            <w:tcW w:type="dxa" w:w="3515"/>
            <w:vAlign w:val="top"/>
            <w:tcMar>
              <w:top w:w="70" w:type="dxa"/>
              <w:start w:w="85" w:type="dxa"/>
              <w:bottom w:w="70" w:type="dxa"/>
              <w:end w:w="85" w:type="dxa"/>
            </w:tcMar>
          </w:tcPr>
          <w:p>
            <w:pPr>
              <w:spacing w:after="0"/>
            </w:pPr>
            <w:r>
              <w:rPr>
                <w:sz w:val="14"/>
              </w:rPr>
              <w:t>“Sahâbe mushaflarına nispet edilen farklı kayıtlar tek bir kategoriye indirgenemez. Her örnek, rivâyet edilen bir okuyuş, açıklayıcı/tefsirî kayıt, yazı farklılığı veya sonraki râvi açıklaması olma ihtimalleri bakımından ayrı değerlendirilmelidir.”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B4-04. Resm “ayıklayan ve seçen kurucu otorite” olarak özneleştiriliyor</w:t>
            </w:r>
          </w:p>
        </w:tc>
        <w:tc>
          <w:tcPr>
            <w:tcW w:type="dxa" w:w="1984"/>
            <w:vAlign w:val="top"/>
            <w:tcMar>
              <w:top w:w="70" w:type="dxa"/>
              <w:start w:w="85" w:type="dxa"/>
              <w:bottom w:w="70" w:type="dxa"/>
              <w:end w:w="85" w:type="dxa"/>
            </w:tcMar>
          </w:tcPr>
          <w:p>
            <w:pPr>
              <w:spacing w:after="0"/>
            </w:pPr>
            <w:r>
              <w:rPr>
                <w:sz w:val="14"/>
              </w:rPr>
              <w:t>4.2</w:t>
            </w:r>
          </w:p>
        </w:tc>
        <w:tc>
          <w:tcPr>
            <w:tcW w:type="dxa" w:w="3515"/>
            <w:vAlign w:val="top"/>
            <w:tcMar>
              <w:top w:w="70" w:type="dxa"/>
              <w:start w:w="85" w:type="dxa"/>
              <w:bottom w:w="70" w:type="dxa"/>
              <w:end w:w="85" w:type="dxa"/>
            </w:tcMar>
          </w:tcPr>
          <w:p>
            <w:pPr>
              <w:spacing w:after="0"/>
            </w:pPr>
            <w:r>
              <w:rPr>
                <w:sz w:val="14"/>
              </w:rPr>
              <w:t>“Osmânî mushaflarla bağdaşmayan sahâbe mushafı rivâyetleri, sonraki kırâat usulünde müşterek tilâvet alanının dışında değerlendirilmiştir. Bu değerlendirmede resme uygunluk, isnad ve dil ölçüleriyle birlikte dikkate alınmıştır.”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B4-05. İbn Mes‘ûd’un psikolojisi kesin niyet anlatısına dönüşüyor</w:t>
            </w:r>
          </w:p>
        </w:tc>
        <w:tc>
          <w:tcPr>
            <w:tcW w:type="dxa" w:w="1984"/>
            <w:vAlign w:val="top"/>
            <w:tcMar>
              <w:top w:w="70" w:type="dxa"/>
              <w:start w:w="85" w:type="dxa"/>
              <w:bottom w:w="70" w:type="dxa"/>
              <w:end w:w="85" w:type="dxa"/>
            </w:tcMar>
          </w:tcPr>
          <w:p>
            <w:pPr>
              <w:spacing w:after="0"/>
            </w:pPr>
            <w:r>
              <w:rPr>
                <w:sz w:val="14"/>
              </w:rPr>
              <w:t>4.2</w:t>
            </w:r>
          </w:p>
        </w:tc>
        <w:tc>
          <w:tcPr>
            <w:tcW w:type="dxa" w:w="3515"/>
            <w:vAlign w:val="top"/>
            <w:tcMar>
              <w:top w:w="70" w:type="dxa"/>
              <w:start w:w="85" w:type="dxa"/>
              <w:bottom w:w="70" w:type="dxa"/>
              <w:end w:w="85" w:type="dxa"/>
            </w:tcMar>
          </w:tcPr>
          <w:p>
            <w:pPr>
              <w:spacing w:after="0"/>
            </w:pPr>
            <w:r>
              <w:rPr>
                <w:sz w:val="14"/>
              </w:rPr>
              <w:t>“İbn Mes‘ûd’a nispet edilen tutum, kaynaklarda farklı biçimlerde yorumlanmıştır. Bu rivâyetler aktarılırken, tutumun nedeni hakkında kaynakların açıkça bildirdiğinin ötesine geçilmemelidir.”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B4-06. İbn Şenebûz örneği resme aykırılık = şâzlık/ceza şeklinde aşırı sadeleştiriliyor</w:t>
            </w:r>
          </w:p>
        </w:tc>
        <w:tc>
          <w:tcPr>
            <w:tcW w:type="dxa" w:w="1984"/>
            <w:vAlign w:val="top"/>
            <w:tcMar>
              <w:top w:w="70" w:type="dxa"/>
              <w:start w:w="85" w:type="dxa"/>
              <w:bottom w:w="70" w:type="dxa"/>
              <w:end w:w="85" w:type="dxa"/>
            </w:tcMar>
          </w:tcPr>
          <w:p>
            <w:pPr>
              <w:spacing w:after="0"/>
            </w:pPr>
            <w:r>
              <w:rPr>
                <w:sz w:val="14"/>
              </w:rPr>
              <w:t>4.3, s.94–97</w:t>
            </w:r>
          </w:p>
        </w:tc>
        <w:tc>
          <w:tcPr>
            <w:tcW w:type="dxa" w:w="3515"/>
            <w:vAlign w:val="top"/>
            <w:tcMar>
              <w:top w:w="70" w:type="dxa"/>
              <w:start w:w="85" w:type="dxa"/>
              <w:bottom w:w="70" w:type="dxa"/>
              <w:end w:w="85" w:type="dxa"/>
            </w:tcMar>
          </w:tcPr>
          <w:p>
            <w:pPr>
              <w:spacing w:after="0"/>
            </w:pPr>
            <w:r>
              <w:rPr>
                <w:sz w:val="14"/>
              </w:rPr>
              <w:t>“İbn Şenebûz hadisesi, resme uygunluk ölçüsünün belirli bir dönemde normatif tilâvet sınırlarının tartışılmasında etkili olduğunu gösteren örneklerden biri olarak değerlendirilebilir. Bununla birlikte hadisenin bütün ayrıntıları ve gerekçeleri yalnız resme aykırılık üzerinden açıklanmamalıdır.”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B4-07. “Şâz” tek etiket altında mensuh, resme aykırı ve âhâdı topluyor</w:t>
            </w:r>
          </w:p>
        </w:tc>
        <w:tc>
          <w:tcPr>
            <w:tcW w:type="dxa" w:w="1984"/>
            <w:vAlign w:val="top"/>
            <w:tcMar>
              <w:top w:w="70" w:type="dxa"/>
              <w:start w:w="85" w:type="dxa"/>
              <w:bottom w:w="70" w:type="dxa"/>
              <w:end w:w="85" w:type="dxa"/>
            </w:tcMar>
          </w:tcPr>
          <w:p>
            <w:pPr>
              <w:spacing w:after="0"/>
            </w:pPr>
            <w:r>
              <w:rPr>
                <w:sz w:val="14"/>
              </w:rPr>
              <w:t>4.3</w:t>
            </w:r>
          </w:p>
        </w:tc>
        <w:tc>
          <w:tcPr>
            <w:tcW w:type="dxa" w:w="3515"/>
            <w:vAlign w:val="top"/>
            <w:tcMar>
              <w:top w:w="70" w:type="dxa"/>
              <w:start w:w="85" w:type="dxa"/>
              <w:bottom w:w="70" w:type="dxa"/>
              <w:end w:w="85" w:type="dxa"/>
            </w:tcMar>
          </w:tcPr>
          <w:p>
            <w:pPr>
              <w:spacing w:after="0"/>
            </w:pPr>
            <w:r>
              <w:rPr>
                <w:sz w:val="14"/>
              </w:rPr>
              <w:t>“Klasik kaynaklarda normatif tilâvet alanının dışında değerlendirilen rivâyetler farklı gerekçelerle açıklanmıştır. Resme aykırılık bu değerlendirmede etkili ölçülerden biri olmakla birlikte, isnad, yaygınlık, dil ve nesh yorumları ayrıca belirtilmelidir.”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B4-08. 4.4 başlığında “tercîhî, tevcîhi” gramer/terim uyumsuzluğu</w:t>
            </w:r>
          </w:p>
        </w:tc>
        <w:tc>
          <w:tcPr>
            <w:tcW w:type="dxa" w:w="1984"/>
            <w:vAlign w:val="top"/>
            <w:tcMar>
              <w:top w:w="70" w:type="dxa"/>
              <w:start w:w="85" w:type="dxa"/>
              <w:bottom w:w="70" w:type="dxa"/>
              <w:end w:w="85" w:type="dxa"/>
            </w:tcMar>
          </w:tcPr>
          <w:p>
            <w:pPr>
              <w:spacing w:after="0"/>
            </w:pPr>
            <w:r>
              <w:rPr>
                <w:sz w:val="14"/>
              </w:rPr>
              <w:t>4.4, s.97</w:t>
            </w:r>
          </w:p>
        </w:tc>
        <w:tc>
          <w:tcPr>
            <w:tcW w:type="dxa" w:w="3515"/>
            <w:vAlign w:val="top"/>
            <w:tcMar>
              <w:top w:w="70" w:type="dxa"/>
              <w:start w:w="85" w:type="dxa"/>
              <w:bottom w:w="70" w:type="dxa"/>
              <w:end w:w="85" w:type="dxa"/>
            </w:tcMar>
          </w:tcPr>
          <w:p>
            <w:pPr>
              <w:spacing w:after="0"/>
            </w:pPr>
            <w:r>
              <w:rPr>
                <w:sz w:val="14"/>
              </w:rPr>
              <w:t>“Resm-i Osmânî’nin Kırâatlerin Tercihi, Tevcîhi ve Vakıf Uygulamalarıyla İlişkisi”</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B4-09. İmamların ham okuyuşlar arasından tercih yapan kurucu seçiciler gibi sunulma riski</w:t>
            </w:r>
          </w:p>
        </w:tc>
        <w:tc>
          <w:tcPr>
            <w:tcW w:type="dxa" w:w="1984"/>
            <w:vAlign w:val="top"/>
            <w:tcMar>
              <w:top w:w="70" w:type="dxa"/>
              <w:start w:w="85" w:type="dxa"/>
              <w:bottom w:w="70" w:type="dxa"/>
              <w:end w:w="85" w:type="dxa"/>
            </w:tcMar>
          </w:tcPr>
          <w:p>
            <w:pPr>
              <w:spacing w:after="0"/>
            </w:pPr>
            <w:r>
              <w:rPr>
                <w:sz w:val="14"/>
              </w:rPr>
              <w:t>4.4</w:t>
            </w:r>
          </w:p>
        </w:tc>
        <w:tc>
          <w:tcPr>
            <w:tcW w:type="dxa" w:w="3515"/>
            <w:vAlign w:val="top"/>
            <w:tcMar>
              <w:top w:w="70" w:type="dxa"/>
              <w:start w:w="85" w:type="dxa"/>
              <w:bottom w:w="70" w:type="dxa"/>
              <w:end w:w="85" w:type="dxa"/>
            </w:tcMar>
          </w:tcPr>
          <w:p>
            <w:pPr>
              <w:spacing w:after="0"/>
            </w:pPr>
            <w:r>
              <w:rPr>
                <w:sz w:val="14"/>
              </w:rPr>
              <w:t>“Kırâat imamlarına nispet edilen rivâyetler, kendilerine ulaşan nakil birikimi içinde belirli tercih ve edâ uygulamalarını yansıtır. Bu tercih, okuyuşların bağımsız biçimde imam tarafından oluşturulduğu anlamına gelmez.”</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B4-10. Vakıf türleri birbirine karışıyor</w:t>
            </w:r>
          </w:p>
        </w:tc>
        <w:tc>
          <w:tcPr>
            <w:tcW w:type="dxa" w:w="1984"/>
            <w:vAlign w:val="top"/>
            <w:tcMar>
              <w:top w:w="70" w:type="dxa"/>
              <w:start w:w="85" w:type="dxa"/>
              <w:bottom w:w="70" w:type="dxa"/>
              <w:end w:w="85" w:type="dxa"/>
            </w:tcMar>
          </w:tcPr>
          <w:p>
            <w:pPr>
              <w:spacing w:after="0"/>
            </w:pPr>
            <w:r>
              <w:rPr>
                <w:sz w:val="14"/>
              </w:rPr>
              <w:t>4.4 sonu, s.100 civarı</w:t>
            </w:r>
          </w:p>
        </w:tc>
        <w:tc>
          <w:tcPr>
            <w:tcW w:type="dxa" w:w="3515"/>
            <w:vAlign w:val="top"/>
            <w:tcMar>
              <w:top w:w="70" w:type="dxa"/>
              <w:start w:w="85" w:type="dxa"/>
              <w:bottom w:w="70" w:type="dxa"/>
              <w:end w:w="85" w:type="dxa"/>
            </w:tcMar>
          </w:tcPr>
          <w:p>
            <w:pPr>
              <w:spacing w:after="0"/>
            </w:pPr>
            <w:r>
              <w:rPr>
                <w:sz w:val="14"/>
              </w:rPr>
              <w:t>“Vakıf meselesinde farklı düzeyler ayrılmalıdır. Anlam esaslı vakıf ve ibtidâ öncelikle mana ve nahiv ilişkisiyle değerlendirilir. Resm üzerine vakıf ise kelime sonlarının ve yazım biçimlerinin belirli edâ uygulamalarında nasıl esas alındığıyla ilgilidir. Hemze üzerinde vakıf ve öğretim/imtihan bağlamındaki vakıflar da kendi rivâyet ve uygulama çerçeveleri içinde ele alınmalıdır.”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B4-11. Resm rivâyetleri “kurucu zemin” olarak tanımlanıyor</w:t>
            </w:r>
          </w:p>
        </w:tc>
        <w:tc>
          <w:tcPr>
            <w:tcW w:type="dxa" w:w="1984"/>
            <w:vAlign w:val="top"/>
            <w:tcMar>
              <w:top w:w="70" w:type="dxa"/>
              <w:start w:w="85" w:type="dxa"/>
              <w:bottom w:w="70" w:type="dxa"/>
              <w:end w:w="85" w:type="dxa"/>
            </w:tcMar>
          </w:tcPr>
          <w:p>
            <w:pPr>
              <w:spacing w:after="0"/>
            </w:pPr>
            <w:r>
              <w:rPr>
                <w:sz w:val="14"/>
              </w:rPr>
              <w:t>4.5, s.101–104</w:t>
            </w:r>
          </w:p>
        </w:tc>
        <w:tc>
          <w:tcPr>
            <w:tcW w:type="dxa" w:w="3515"/>
            <w:vAlign w:val="top"/>
            <w:tcMar>
              <w:top w:w="70" w:type="dxa"/>
              <w:start w:w="85" w:type="dxa"/>
              <w:bottom w:w="70" w:type="dxa"/>
              <w:end w:w="85" w:type="dxa"/>
            </w:tcMar>
          </w:tcPr>
          <w:p>
            <w:pPr>
              <w:spacing w:after="0"/>
            </w:pPr>
            <w:r>
              <w:rPr>
                <w:sz w:val="14"/>
              </w:rPr>
              <w:t>“Şehir mushaflarına nispet edilen resm rivâyetleri, bazı kırâat ihtilaflarının yazılı tanıklarla ilişkisini tespit ve yorumlamada önemli bir başvuru malzemesi sunmaktadır.”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B4-12. “Her yazımın hikmeti vardır” görüşü yazar sonucu gibi duruyor</w:t>
            </w:r>
          </w:p>
        </w:tc>
        <w:tc>
          <w:tcPr>
            <w:tcW w:type="dxa" w:w="1984"/>
            <w:vAlign w:val="top"/>
            <w:tcMar>
              <w:top w:w="70" w:type="dxa"/>
              <w:start w:w="85" w:type="dxa"/>
              <w:bottom w:w="70" w:type="dxa"/>
              <w:end w:w="85" w:type="dxa"/>
            </w:tcMar>
          </w:tcPr>
          <w:p>
            <w:pPr>
              <w:spacing w:after="0"/>
            </w:pPr>
            <w:r>
              <w:rPr>
                <w:sz w:val="14"/>
              </w:rPr>
              <w:t>4.5</w:t>
            </w:r>
          </w:p>
        </w:tc>
        <w:tc>
          <w:tcPr>
            <w:tcW w:type="dxa" w:w="3515"/>
            <w:vAlign w:val="top"/>
            <w:tcMar>
              <w:top w:w="70" w:type="dxa"/>
              <w:start w:w="85" w:type="dxa"/>
              <w:bottom w:w="70" w:type="dxa"/>
              <w:end w:w="85" w:type="dxa"/>
            </w:tcMar>
          </w:tcPr>
          <w:p>
            <w:pPr>
              <w:spacing w:after="0"/>
            </w:pPr>
            <w:r>
              <w:rPr>
                <w:sz w:val="14"/>
              </w:rPr>
              <w:t>“İlgili müellif, Zeyd b. Sâbit’e nispet edilen mushaf yazımındaki ayrıntıları hikmet ve ta‘lîl çerçevesinde yorumlamıştır. Bu yaklaşım klasik resm yorumculuğunun bir örneğidir; her yazım biçiminin tarihsel olarak özel bir hikmet amacıyla oluşturulduğunu tek başına kanıtlamaz.”</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B4-13. Erken yazıda hareke/nokta yokluğu kırâat çeşitliliğini koruma amacıyla açıklanıyor</w:t>
            </w:r>
          </w:p>
        </w:tc>
        <w:tc>
          <w:tcPr>
            <w:tcW w:type="dxa" w:w="1984"/>
            <w:vAlign w:val="top"/>
            <w:tcMar>
              <w:top w:w="70" w:type="dxa"/>
              <w:start w:w="85" w:type="dxa"/>
              <w:bottom w:w="70" w:type="dxa"/>
              <w:end w:w="85" w:type="dxa"/>
            </w:tcMar>
          </w:tcPr>
          <w:p>
            <w:pPr>
              <w:spacing w:after="0"/>
            </w:pPr>
            <w:r>
              <w:rPr>
                <w:sz w:val="14"/>
              </w:rPr>
              <w:t>4.6–4.7 geçişi</w:t>
            </w:r>
          </w:p>
        </w:tc>
        <w:tc>
          <w:tcPr>
            <w:tcW w:type="dxa" w:w="3515"/>
            <w:vAlign w:val="top"/>
            <w:tcMar>
              <w:top w:w="70" w:type="dxa"/>
              <w:start w:w="85" w:type="dxa"/>
              <w:bottom w:w="70" w:type="dxa"/>
              <w:end w:w="85" w:type="dxa"/>
            </w:tcMar>
          </w:tcPr>
          <w:p>
            <w:pPr>
              <w:spacing w:after="0"/>
            </w:pPr>
            <w:r>
              <w:rPr>
                <w:sz w:val="14"/>
              </w:rPr>
              <w:t>“İlk mushafların nokta ve hareke sisteminin henüz tam gelişmediği bir yazı geleneği içinde yazılmış olması, aynı resmin bazı durumlarda birden fazla rivâyetle bağdaşmasına imkân vermiştir. Bu sonuç, yazımın başlangıçta özellikle çoklu kırâatleri korumak amacıyla bu şekilde bırakıldığını tek başına göstermez.”</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B4-14. Matbu mushafların belirli rivâyetleri yaygınlaştırma etkisi fazla tek nedenli kuruluyor</w:t>
            </w:r>
          </w:p>
        </w:tc>
        <w:tc>
          <w:tcPr>
            <w:tcW w:type="dxa" w:w="1984"/>
            <w:vAlign w:val="top"/>
            <w:tcMar>
              <w:top w:w="70" w:type="dxa"/>
              <w:start w:w="85" w:type="dxa"/>
              <w:bottom w:w="70" w:type="dxa"/>
              <w:end w:w="85" w:type="dxa"/>
            </w:tcMar>
          </w:tcPr>
          <w:p>
            <w:pPr>
              <w:spacing w:after="0"/>
            </w:pPr>
            <w:r>
              <w:rPr>
                <w:sz w:val="14"/>
              </w:rPr>
              <w:t>4.7, s.109–113</w:t>
            </w:r>
          </w:p>
        </w:tc>
        <w:tc>
          <w:tcPr>
            <w:tcW w:type="dxa" w:w="3515"/>
            <w:vAlign w:val="top"/>
            <w:tcMar>
              <w:top w:w="70" w:type="dxa"/>
              <w:start w:w="85" w:type="dxa"/>
              <w:bottom w:w="70" w:type="dxa"/>
              <w:end w:w="85" w:type="dxa"/>
            </w:tcMar>
          </w:tcPr>
          <w:p>
            <w:pPr>
              <w:spacing w:after="0"/>
            </w:pPr>
            <w:r>
              <w:rPr>
                <w:sz w:val="14"/>
              </w:rPr>
              <w:t>“Basılı mushafların belirli rivâyetlere göre zapt edilmesi, mevcut öğretim gelenekleri ve bölgesel kırâat tercihleriyle birlikte, bazı rivâyetlerin geniş çevrelerde görünürlük ve yaygınlık kazanmasına katkı sağlamıştır.”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B4-15. Avrupa/Osmanlı/modern baskı kronolojisi bir blok hâlinde kaynak doğrulaması gerektiriyor</w:t>
            </w:r>
          </w:p>
        </w:tc>
        <w:tc>
          <w:tcPr>
            <w:tcW w:type="dxa" w:w="1984"/>
            <w:vAlign w:val="top"/>
            <w:tcMar>
              <w:top w:w="70" w:type="dxa"/>
              <w:start w:w="85" w:type="dxa"/>
              <w:bottom w:w="70" w:type="dxa"/>
              <w:end w:w="85" w:type="dxa"/>
            </w:tcMar>
          </w:tcPr>
          <w:p>
            <w:pPr>
              <w:spacing w:after="0"/>
            </w:pPr>
            <w:r>
              <w:rPr>
                <w:sz w:val="14"/>
              </w:rPr>
              <w:t>4.7, s.108–113</w:t>
            </w:r>
          </w:p>
        </w:tc>
        <w:tc>
          <w:tcPr>
            <w:tcW w:type="dxa" w:w="3515"/>
            <w:vAlign w:val="top"/>
            <w:tcMar>
              <w:top w:w="70" w:type="dxa"/>
              <w:start w:w="85" w:type="dxa"/>
              <w:bottom w:w="70" w:type="dxa"/>
              <w:end w:w="85" w:type="dxa"/>
            </w:tcMar>
          </w:tcPr>
          <w:p>
            <w:pPr>
              <w:spacing w:after="0"/>
            </w:pPr>
            <w:r>
              <w:rPr>
                <w:sz w:val="14"/>
              </w:rPr>
              <w:t>Bu paragraf, kişi adı ve baskı bilgisi doğrulandıktan sonra yeniden kurulmalıdır. Doğrulama tamamlanana kadar soru işaretli isim ve “ilk/başlangıç” türü kesinlik ifadeleri çıkarılmalıdır.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B4-16. Osmanlı baskı anlatısında “ilk resmî mushaf” kesinliği doğrulama ister</w:t>
            </w:r>
          </w:p>
        </w:tc>
        <w:tc>
          <w:tcPr>
            <w:tcW w:type="dxa" w:w="1984"/>
            <w:vAlign w:val="top"/>
            <w:tcMar>
              <w:top w:w="70" w:type="dxa"/>
              <w:start w:w="85" w:type="dxa"/>
              <w:bottom w:w="70" w:type="dxa"/>
              <w:end w:w="85" w:type="dxa"/>
            </w:tcMar>
          </w:tcPr>
          <w:p>
            <w:pPr>
              <w:spacing w:after="0"/>
            </w:pPr>
            <w:r>
              <w:rPr>
                <w:sz w:val="14"/>
              </w:rPr>
              <w:t>4.7, s.108</w:t>
            </w:r>
          </w:p>
        </w:tc>
        <w:tc>
          <w:tcPr>
            <w:tcW w:type="dxa" w:w="3515"/>
            <w:vAlign w:val="top"/>
            <w:tcMar>
              <w:top w:w="70" w:type="dxa"/>
              <w:start w:w="85" w:type="dxa"/>
              <w:bottom w:w="70" w:type="dxa"/>
              <w:end w:w="85" w:type="dxa"/>
            </w:tcMar>
          </w:tcPr>
          <w:p>
            <w:pPr>
              <w:spacing w:after="0"/>
            </w:pPr>
            <w:r>
              <w:rPr>
                <w:sz w:val="14"/>
              </w:rPr>
              <w:t>“Osmanlı sahasında mushaf basımına ilişkin resmî düzenlemeler XIX. yüzyılda belirginleşmiş; Maarif Nezâreti denetimindeki baskılar bu sürecin önemli aşamalarından birini oluşturmuştur.”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SON-01. Sonuç ana tezi gövdeden daha dengeli kuruyor; sorun gövdede</w:t>
            </w:r>
          </w:p>
        </w:tc>
        <w:tc>
          <w:tcPr>
            <w:tcW w:type="dxa" w:w="1984"/>
            <w:vAlign w:val="top"/>
            <w:tcMar>
              <w:top w:w="70" w:type="dxa"/>
              <w:start w:w="85" w:type="dxa"/>
              <w:bottom w:w="70" w:type="dxa"/>
              <w:end w:w="85" w:type="dxa"/>
            </w:tcMar>
          </w:tcPr>
          <w:p>
            <w:pPr>
              <w:spacing w:after="0"/>
            </w:pPr>
            <w:r>
              <w:rPr>
                <w:sz w:val="14"/>
              </w:rPr>
              <w:t>Sonuç, s.114–116</w:t>
            </w:r>
          </w:p>
        </w:tc>
        <w:tc>
          <w:tcPr>
            <w:tcW w:type="dxa" w:w="3515"/>
            <w:vAlign w:val="top"/>
            <w:tcMar>
              <w:top w:w="70" w:type="dxa"/>
              <w:start w:w="85" w:type="dxa"/>
              <w:bottom w:w="70" w:type="dxa"/>
              <w:end w:w="85" w:type="dxa"/>
            </w:tcMar>
          </w:tcPr>
          <w:p>
            <w:pPr>
              <w:spacing w:after="0"/>
            </w:pPr>
            <w:r>
              <w:rPr>
                <w:sz w:val="14"/>
              </w:rPr>
              <w:t>Bu temel sonuç korunmalı; 1.–4. bölümler bu sonuçta belirlenen kavramsal sınırlara göre redakte edilmelidir.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SON-02. Matbu mushafların “standartlaştırma” etkisi daha ihtiyatlı ifade edilmeli</w:t>
            </w:r>
          </w:p>
        </w:tc>
        <w:tc>
          <w:tcPr>
            <w:tcW w:type="dxa" w:w="1984"/>
            <w:vAlign w:val="top"/>
            <w:tcMar>
              <w:top w:w="70" w:type="dxa"/>
              <w:start w:w="85" w:type="dxa"/>
              <w:bottom w:w="70" w:type="dxa"/>
              <w:end w:w="85" w:type="dxa"/>
            </w:tcMar>
          </w:tcPr>
          <w:p>
            <w:pPr>
              <w:spacing w:after="0"/>
            </w:pPr>
            <w:r>
              <w:rPr>
                <w:sz w:val="14"/>
              </w:rPr>
              <w:t>Sonuç, s.114</w:t>
            </w:r>
          </w:p>
        </w:tc>
        <w:tc>
          <w:tcPr>
            <w:tcW w:type="dxa" w:w="3515"/>
            <w:vAlign w:val="top"/>
            <w:tcMar>
              <w:top w:w="70" w:type="dxa"/>
              <w:start w:w="85" w:type="dxa"/>
              <w:bottom w:w="70" w:type="dxa"/>
              <w:end w:w="85" w:type="dxa"/>
            </w:tcMar>
          </w:tcPr>
          <w:p>
            <w:pPr>
              <w:spacing w:after="0"/>
            </w:pPr>
            <w:r>
              <w:rPr>
                <w:sz w:val="14"/>
              </w:rPr>
              <w:t>“Basılı mushafların belirli rivâyetlere göre hazırlanması, mevcut öğretim ve bölgesel kullanım gelenekleriyle birlikte, bazı rivâyetlerin geniş coğrafyalarda daha görünür ve yaygın hâle gelmesine katkı sağlamıştır.”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İSN-01. Aynı eser bazı yerlerde yeniden tam künye ile veriliyor</w:t>
            </w:r>
          </w:p>
        </w:tc>
        <w:tc>
          <w:tcPr>
            <w:tcW w:type="dxa" w:w="1984"/>
            <w:vAlign w:val="top"/>
            <w:tcMar>
              <w:top w:w="70" w:type="dxa"/>
              <w:start w:w="85" w:type="dxa"/>
              <w:bottom w:w="70" w:type="dxa"/>
              <w:end w:w="85" w:type="dxa"/>
            </w:tcMar>
          </w:tcPr>
          <w:p>
            <w:pPr>
              <w:spacing w:after="0"/>
            </w:pPr>
            <w:r>
              <w:rPr>
                <w:sz w:val="14"/>
              </w:rPr>
              <w:t>Dipnotların geneli</w:t>
            </w:r>
          </w:p>
        </w:tc>
        <w:tc>
          <w:tcPr>
            <w:tcW w:type="dxa" w:w="3515"/>
            <w:vAlign w:val="top"/>
            <w:tcMar>
              <w:top w:w="70" w:type="dxa"/>
              <w:start w:w="85" w:type="dxa"/>
              <w:bottom w:w="70" w:type="dxa"/>
              <w:end w:w="85" w:type="dxa"/>
            </w:tcMar>
          </w:tcPr>
          <w:p>
            <w:pPr>
              <w:spacing w:after="0"/>
            </w:pPr>
            <w:r>
              <w:rPr>
                <w:sz w:val="14"/>
              </w:rPr>
              <w:t>Yayınevi başka bir yöntem istemiyorsa kitap genelinde ilk kullanımda tam künye, sonraki kullanımlarda “Müellif, Kısa Eser Adı, cilt/sayfa” düzeni uygulanmalıdır.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İSN-02. Aynı dipnot içindeki kaynak ayraçları tek biçimde değil</w:t>
            </w:r>
          </w:p>
        </w:tc>
        <w:tc>
          <w:tcPr>
            <w:tcW w:type="dxa" w:w="1984"/>
            <w:vAlign w:val="top"/>
            <w:tcMar>
              <w:top w:w="70" w:type="dxa"/>
              <w:start w:w="85" w:type="dxa"/>
              <w:bottom w:w="70" w:type="dxa"/>
              <w:end w:w="85" w:type="dxa"/>
            </w:tcMar>
          </w:tcPr>
          <w:p>
            <w:pPr>
              <w:spacing w:after="0"/>
            </w:pPr>
            <w:r>
              <w:rPr>
                <w:sz w:val="14"/>
              </w:rPr>
              <w:t>Dipnotların geneli</w:t>
            </w:r>
          </w:p>
        </w:tc>
        <w:tc>
          <w:tcPr>
            <w:tcW w:type="dxa" w:w="3515"/>
            <w:vAlign w:val="top"/>
            <w:tcMar>
              <w:top w:w="70" w:type="dxa"/>
              <w:start w:w="85" w:type="dxa"/>
              <w:bottom w:w="70" w:type="dxa"/>
              <w:end w:w="85" w:type="dxa"/>
            </w:tcMar>
          </w:tcPr>
          <w:p>
            <w:pPr>
              <w:spacing w:after="0"/>
            </w:pPr>
            <w:r>
              <w:rPr>
                <w:sz w:val="14"/>
              </w:rPr>
              <w:t>Aynı dipnot içindeki ayrı kaynaklar noktalı virgülle ayrılmalı; aynı esere ilişkin ek sayfalar virgülle sürdürülmelidir.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İSN-03. Müellif adlarındaki el-/ez-/es-/en- proje tercihi tamamlanmamış</w:t>
            </w:r>
          </w:p>
        </w:tc>
        <w:tc>
          <w:tcPr>
            <w:tcW w:type="dxa" w:w="1984"/>
            <w:vAlign w:val="top"/>
            <w:tcMar>
              <w:top w:w="70" w:type="dxa"/>
              <w:start w:w="85" w:type="dxa"/>
              <w:bottom w:w="70" w:type="dxa"/>
              <w:end w:w="85" w:type="dxa"/>
            </w:tcMar>
          </w:tcPr>
          <w:p>
            <w:pPr>
              <w:spacing w:after="0"/>
            </w:pPr>
            <w:r>
              <w:rPr>
                <w:sz w:val="14"/>
              </w:rPr>
              <w:t>Dipnotların geneli</w:t>
            </w:r>
          </w:p>
        </w:tc>
        <w:tc>
          <w:tcPr>
            <w:tcW w:type="dxa" w:w="3515"/>
            <w:vAlign w:val="top"/>
            <w:tcMar>
              <w:top w:w="70" w:type="dxa"/>
              <w:start w:w="85" w:type="dxa"/>
              <w:bottom w:w="70" w:type="dxa"/>
              <w:end w:w="85" w:type="dxa"/>
            </w:tcMar>
          </w:tcPr>
          <w:p>
            <w:pPr>
              <w:spacing w:after="0"/>
            </w:pPr>
            <w:r>
              <w:rPr>
                <w:sz w:val="14"/>
              </w:rPr>
              <w:t>Proje tercihi ile İSNAD 2 standardı arasında karar verilmeli; karar “müellif adı alanı”na uygulanmalı, eser başlıkları ve sûre adlarındaki artikeller dokunulmamalıdır.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İSN-04. Sûre adlarında artikel kullanımı tutarlı değil</w:t>
            </w:r>
          </w:p>
        </w:tc>
        <w:tc>
          <w:tcPr>
            <w:tcW w:type="dxa" w:w="1984"/>
            <w:vAlign w:val="top"/>
            <w:tcMar>
              <w:top w:w="70" w:type="dxa"/>
              <w:start w:w="85" w:type="dxa"/>
              <w:bottom w:w="70" w:type="dxa"/>
              <w:end w:w="85" w:type="dxa"/>
            </w:tcMar>
          </w:tcPr>
          <w:p>
            <w:pPr>
              <w:spacing w:after="0"/>
            </w:pPr>
            <w:r>
              <w:rPr>
                <w:sz w:val="14"/>
              </w:rPr>
              <w:t>Dipnotlar</w:t>
            </w:r>
          </w:p>
        </w:tc>
        <w:tc>
          <w:tcPr>
            <w:tcW w:type="dxa" w:w="3515"/>
            <w:vAlign w:val="top"/>
            <w:tcMar>
              <w:top w:w="70" w:type="dxa"/>
              <w:start w:w="85" w:type="dxa"/>
              <w:bottom w:w="70" w:type="dxa"/>
              <w:end w:w="85" w:type="dxa"/>
            </w:tcMar>
          </w:tcPr>
          <w:p>
            <w:pPr>
              <w:spacing w:after="0"/>
            </w:pPr>
            <w:r>
              <w:rPr>
                <w:sz w:val="14"/>
              </w:rPr>
              <w:t>Ev stili örnekleri: el-Bakara, Âl-i İmrân, en-Nisâ, et-Tevbe, el-Mâide, el-A‘râf, el-Kehf, el-Enbiyâ, en-Neml, ez-Zümer, eş-Şûrâ. Yâsîn gibi artikel almayan adlar ayrıca korunmalıdır.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İSN-05. Dipnotlarda editoryal çalışma notları bulunuyor</w:t>
            </w:r>
          </w:p>
        </w:tc>
        <w:tc>
          <w:tcPr>
            <w:tcW w:type="dxa" w:w="1984"/>
            <w:vAlign w:val="top"/>
            <w:tcMar>
              <w:top w:w="70" w:type="dxa"/>
              <w:start w:w="85" w:type="dxa"/>
              <w:bottom w:w="70" w:type="dxa"/>
              <w:end w:w="85" w:type="dxa"/>
            </w:tcMar>
          </w:tcPr>
          <w:p>
            <w:pPr>
              <w:spacing w:after="0"/>
            </w:pPr>
            <w:r>
              <w:rPr>
                <w:sz w:val="14"/>
              </w:rPr>
              <w:t>Dipnot 32, 41, 105</w:t>
            </w:r>
          </w:p>
        </w:tc>
        <w:tc>
          <w:tcPr>
            <w:tcW w:type="dxa" w:w="3515"/>
            <w:vAlign w:val="top"/>
            <w:tcMar>
              <w:top w:w="70" w:type="dxa"/>
              <w:start w:w="85" w:type="dxa"/>
              <w:bottom w:w="70" w:type="dxa"/>
              <w:end w:w="85" w:type="dxa"/>
            </w:tcMar>
          </w:tcPr>
          <w:p>
            <w:pPr>
              <w:spacing w:after="0"/>
            </w:pPr>
            <w:r>
              <w:rPr>
                <w:sz w:val="14"/>
              </w:rPr>
              <w:t>Dipnotlardan bütün editoryal notlar çıkarılmalı; ilk kullanım durumu ve müellif kimliği kaynak/Zotero kaydı üzerinden çözüldükten sonra yalnız bibliyografik atıf bırakılmalıdır.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İSN-06. Aynı eserin farklı baskıları bibliyografik olarak ayrıştırılmalı</w:t>
            </w:r>
          </w:p>
        </w:tc>
        <w:tc>
          <w:tcPr>
            <w:tcW w:type="dxa" w:w="1984"/>
            <w:vAlign w:val="top"/>
            <w:tcMar>
              <w:top w:w="70" w:type="dxa"/>
              <w:start w:w="85" w:type="dxa"/>
              <w:bottom w:w="70" w:type="dxa"/>
              <w:end w:w="85" w:type="dxa"/>
            </w:tcMar>
          </w:tcPr>
          <w:p>
            <w:pPr>
              <w:spacing w:after="0"/>
            </w:pPr>
            <w:r>
              <w:rPr>
                <w:sz w:val="14"/>
              </w:rPr>
              <w:t>İbn Ebû Dâvud, Ebû Dâvud Süleymân b. Necâh, İbn Hacer, İbn Kuteybe kayıtları</w:t>
            </w:r>
          </w:p>
        </w:tc>
        <w:tc>
          <w:tcPr>
            <w:tcW w:type="dxa" w:w="3515"/>
            <w:vAlign w:val="top"/>
            <w:tcMar>
              <w:top w:w="70" w:type="dxa"/>
              <w:start w:w="85" w:type="dxa"/>
              <w:bottom w:w="70" w:type="dxa"/>
              <w:end w:w="85" w:type="dxa"/>
            </w:tcMar>
          </w:tcPr>
          <w:p>
            <w:pPr>
              <w:spacing w:after="0"/>
            </w:pPr>
            <w:r>
              <w:rPr>
                <w:sz w:val="14"/>
              </w:rPr>
              <w:t>Her farklı baskı gerçekten kullanılmışsa kaynakçada ayrı tutulmalı ve ilk kullanımı açık olmalıdır. Kullanılmayan ikinci kayıt kaldırılmalı; kısa dipnotlarda baskı ayrımı gerekiyorsa tahkik/yıl gibi ayırt edici unsur eklenmelidir.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KAY-01. İki DOI yapısal olarak bozuk</w:t>
            </w:r>
          </w:p>
        </w:tc>
        <w:tc>
          <w:tcPr>
            <w:tcW w:type="dxa" w:w="1984"/>
            <w:vAlign w:val="top"/>
            <w:tcMar>
              <w:top w:w="70" w:type="dxa"/>
              <w:start w:w="85" w:type="dxa"/>
              <w:bottom w:w="70" w:type="dxa"/>
              <w:end w:w="85" w:type="dxa"/>
            </w:tcMar>
          </w:tcPr>
          <w:p>
            <w:pPr>
              <w:spacing w:after="0"/>
            </w:pPr>
            <w:r>
              <w:rPr>
                <w:sz w:val="14"/>
              </w:rPr>
              <w:t>Kaynakça</w:t>
            </w:r>
          </w:p>
        </w:tc>
        <w:tc>
          <w:tcPr>
            <w:tcW w:type="dxa" w:w="3515"/>
            <w:vAlign w:val="top"/>
            <w:tcMar>
              <w:top w:w="70" w:type="dxa"/>
              <w:start w:w="85" w:type="dxa"/>
              <w:bottom w:w="70" w:type="dxa"/>
              <w:end w:w="85" w:type="dxa"/>
            </w:tcMar>
          </w:tcPr>
          <w:p>
            <w:pPr>
              <w:spacing w:after="0"/>
            </w:pPr>
            <w:r>
              <w:rPr>
                <w:sz w:val="14"/>
              </w:rPr>
              <w:t>İkinci bağlantı tek DOI önekine indirilmelidir. İlk bağlantının doğru DOI gövdesi kaynaktan doğrulanmalı; doğrulanmadan sayı tahmin edilmemelidir.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KAY-02. Aynı eser/farklı baskı kayıtları otomatik mükerrer sayılmamalı</w:t>
            </w:r>
          </w:p>
        </w:tc>
        <w:tc>
          <w:tcPr>
            <w:tcW w:type="dxa" w:w="1984"/>
            <w:vAlign w:val="top"/>
            <w:tcMar>
              <w:top w:w="70" w:type="dxa"/>
              <w:start w:w="85" w:type="dxa"/>
              <w:bottom w:w="70" w:type="dxa"/>
              <w:end w:w="85" w:type="dxa"/>
            </w:tcMar>
          </w:tcPr>
          <w:p>
            <w:pPr>
              <w:spacing w:after="0"/>
            </w:pPr>
            <w:r>
              <w:rPr>
                <w:sz w:val="14"/>
              </w:rPr>
              <w:t>Kaynakça</w:t>
            </w:r>
          </w:p>
        </w:tc>
        <w:tc>
          <w:tcPr>
            <w:tcW w:type="dxa" w:w="3515"/>
            <w:vAlign w:val="top"/>
            <w:tcMar>
              <w:top w:w="70" w:type="dxa"/>
              <w:start w:w="85" w:type="dxa"/>
              <w:bottom w:w="70" w:type="dxa"/>
              <w:end w:w="85" w:type="dxa"/>
            </w:tcMar>
          </w:tcPr>
          <w:p>
            <w:pPr>
              <w:spacing w:after="0"/>
            </w:pPr>
            <w:r>
              <w:rPr>
                <w:sz w:val="14"/>
              </w:rPr>
              <w:t>Her kayıt dipnotlarla çift yönlü eşleştirilmeli. Kullanılan farklı baskılar korunmalı; hiç atıf almayan mükerrer/alternatif Zotero kaydı kaldırılmalıdır.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KAY-03. Müellif adlarındaki ters çevrilmiş artikel biçimleri ev stili kararı gerektiriyor</w:t>
            </w:r>
          </w:p>
        </w:tc>
        <w:tc>
          <w:tcPr>
            <w:tcW w:type="dxa" w:w="1984"/>
            <w:vAlign w:val="top"/>
            <w:tcMar>
              <w:top w:w="70" w:type="dxa"/>
              <w:start w:w="85" w:type="dxa"/>
              <w:bottom w:w="70" w:type="dxa"/>
              <w:end w:w="85" w:type="dxa"/>
            </w:tcMar>
          </w:tcPr>
          <w:p>
            <w:pPr>
              <w:spacing w:after="0"/>
            </w:pPr>
            <w:r>
              <w:rPr>
                <w:sz w:val="14"/>
              </w:rPr>
              <w:t>Kaynakça</w:t>
            </w:r>
          </w:p>
        </w:tc>
        <w:tc>
          <w:tcPr>
            <w:tcW w:type="dxa" w:w="3515"/>
            <w:vAlign w:val="top"/>
            <w:tcMar>
              <w:top w:w="70" w:type="dxa"/>
              <w:start w:w="85" w:type="dxa"/>
              <w:bottom w:w="70" w:type="dxa"/>
              <w:end w:w="85" w:type="dxa"/>
            </w:tcMar>
          </w:tcPr>
          <w:p>
            <w:pPr>
              <w:spacing w:after="0"/>
            </w:pPr>
            <w:r>
              <w:rPr>
                <w:sz w:val="14"/>
              </w:rPr>
              <w:t>Proje ev stili belirlendikten sonra Zotero “author” alanı ve kaynakça CSL çıktısı birlikte düzeltilmeli; metin üzerinde tek tek elle düzeltme yapılması önerilmez.</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KAY-04. Kaynakça otomatik çıktıya güvenilerek bırakılmamalı</w:t>
            </w:r>
          </w:p>
        </w:tc>
        <w:tc>
          <w:tcPr>
            <w:tcW w:type="dxa" w:w="1984"/>
            <w:vAlign w:val="top"/>
            <w:tcMar>
              <w:top w:w="70" w:type="dxa"/>
              <w:start w:w="85" w:type="dxa"/>
              <w:bottom w:w="70" w:type="dxa"/>
              <w:end w:w="85" w:type="dxa"/>
            </w:tcMar>
          </w:tcPr>
          <w:p>
            <w:pPr>
              <w:spacing w:after="0"/>
            </w:pPr>
            <w:r>
              <w:rPr>
                <w:sz w:val="14"/>
              </w:rPr>
              <w:t>Kaynakça bütünü</w:t>
            </w:r>
          </w:p>
        </w:tc>
        <w:tc>
          <w:tcPr>
            <w:tcW w:type="dxa" w:w="3515"/>
            <w:vAlign w:val="top"/>
            <w:tcMar>
              <w:top w:w="70" w:type="dxa"/>
              <w:start w:w="85" w:type="dxa"/>
              <w:bottom w:w="70" w:type="dxa"/>
              <w:end w:w="85" w:type="dxa"/>
            </w:tcMar>
          </w:tcPr>
          <w:p>
            <w:pPr>
              <w:spacing w:after="0"/>
            </w:pPr>
            <w:r>
              <w:rPr>
                <w:sz w:val="14"/>
              </w:rPr>
              <w:t>Kaynakça son turunda müellif adı, eser adı, tahkik/çeviri, yayın yeri, yayınevi, tarih, cilt, makale cilt/sayı/sayfa, DOI/URL ve “ts.” kullanımı ayrı sütunlu kontrol listesiyle denetlenmelidir.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ARP-01. Arapça örneklerde dipnot referansı RTL run olarak standardize edilmemiş</w:t>
            </w:r>
          </w:p>
        </w:tc>
        <w:tc>
          <w:tcPr>
            <w:tcW w:type="dxa" w:w="1984"/>
            <w:vAlign w:val="top"/>
            <w:tcMar>
              <w:top w:w="70" w:type="dxa"/>
              <w:start w:w="85" w:type="dxa"/>
              <w:bottom w:w="70" w:type="dxa"/>
              <w:end w:w="85" w:type="dxa"/>
            </w:tcMar>
          </w:tcPr>
          <w:p>
            <w:pPr>
              <w:spacing w:after="0"/>
            </w:pPr>
            <w:r>
              <w:rPr>
                <w:sz w:val="14"/>
              </w:rPr>
              <w:t>Kitap boyunca 53 Arapça + dipnot referanslı paragraf</w:t>
            </w:r>
          </w:p>
        </w:tc>
        <w:tc>
          <w:tcPr>
            <w:tcW w:type="dxa" w:w="3515"/>
            <w:vAlign w:val="top"/>
            <w:tcMar>
              <w:top w:w="70" w:type="dxa"/>
              <w:start w:w="85" w:type="dxa"/>
              <w:bottom w:w="70" w:type="dxa"/>
              <w:end w:w="85" w:type="dxa"/>
            </w:tcMar>
          </w:tcPr>
          <w:p>
            <w:pPr>
              <w:spacing w:after="0"/>
            </w:pPr>
            <w:r>
              <w:rPr>
                <w:sz w:val="14"/>
              </w:rPr>
              <w:t>Arapça örnekler için ayrı bir “Arapça Metin” karakter/paragraf stili oluşturulmalı; Arapça run’lar ve bunlara bağlı dipnot referans run’ları RTL yapılmalı, paragrafın bidi/sağ hizası bağlama göre sabitlenmeli ve nihai PDF provasında her örnek gözle kontrol edilmelidir.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ARP-02. Arapça örneklerin LTR paragrafla karışması satır bölünmesi riski yaratıyor</w:t>
            </w:r>
          </w:p>
        </w:tc>
        <w:tc>
          <w:tcPr>
            <w:tcW w:type="dxa" w:w="1984"/>
            <w:vAlign w:val="top"/>
            <w:tcMar>
              <w:top w:w="70" w:type="dxa"/>
              <w:start w:w="85" w:type="dxa"/>
              <w:bottom w:w="70" w:type="dxa"/>
              <w:end w:w="85" w:type="dxa"/>
            </w:tcMar>
          </w:tcPr>
          <w:p>
            <w:pPr>
              <w:spacing w:after="0"/>
            </w:pPr>
            <w:r>
              <w:rPr>
                <w:sz w:val="14"/>
              </w:rPr>
              <w:t>Özellikle uzun âyet/kelime listeleri, 3.1–3.5 ve 4.5</w:t>
            </w:r>
          </w:p>
        </w:tc>
        <w:tc>
          <w:tcPr>
            <w:tcW w:type="dxa" w:w="3515"/>
            <w:vAlign w:val="top"/>
            <w:tcMar>
              <w:top w:w="70" w:type="dxa"/>
              <w:start w:w="85" w:type="dxa"/>
              <w:bottom w:w="70" w:type="dxa"/>
              <w:end w:w="85" w:type="dxa"/>
            </w:tcMar>
          </w:tcPr>
          <w:p>
            <w:pPr>
              <w:spacing w:after="0"/>
            </w:pPr>
            <w:r>
              <w:rPr>
                <w:sz w:val="14"/>
              </w:rPr>
              <w:t>Uzun Arapça örnekler ayrı sağa hizalı paragrafta; Türkçe açıklama ayrı LTR paragrafta verilmelidir. Kısa inline örneklerde Arapça run ve dipnot run aynı RTL yön grubunda tutulmalıdır.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WRD-01. Bütün doğrudan gövde paragrafları gerçek Heading hiyerarşisine bağlı değil</w:t>
            </w:r>
          </w:p>
        </w:tc>
        <w:tc>
          <w:tcPr>
            <w:tcW w:type="dxa" w:w="1984"/>
            <w:vAlign w:val="top"/>
            <w:tcMar>
              <w:top w:w="70" w:type="dxa"/>
              <w:start w:w="85" w:type="dxa"/>
              <w:bottom w:w="70" w:type="dxa"/>
              <w:end w:w="85" w:type="dxa"/>
            </w:tcMar>
          </w:tcPr>
          <w:p>
            <w:pPr>
              <w:spacing w:after="0"/>
            </w:pPr>
            <w:r>
              <w:rPr>
                <w:sz w:val="14"/>
              </w:rPr>
              <w:t>Tüm belge</w:t>
            </w:r>
          </w:p>
        </w:tc>
        <w:tc>
          <w:tcPr>
            <w:tcW w:type="dxa" w:w="3515"/>
            <w:vAlign w:val="top"/>
            <w:tcMar>
              <w:top w:w="70" w:type="dxa"/>
              <w:start w:w="85" w:type="dxa"/>
              <w:bottom w:w="70" w:type="dxa"/>
              <w:end w:w="85" w:type="dxa"/>
            </w:tcMar>
          </w:tcPr>
          <w:p>
            <w:pPr>
              <w:spacing w:after="0"/>
            </w:pPr>
            <w:r>
              <w:rPr>
                <w:sz w:val="14"/>
              </w:rPr>
              <w:t>“Bölüm Etiketi” için özel stil; ana bölüm adı için Heading 1; 1.1 türü alt başlık için Heading 2; 1.1.1 için Heading 3 uygulanmalı. Önsöz, Giriş, Sonuç ve Kaynakça aynı üst düzey stil mantığına bağlanmalıdır.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WRD-02. İçindekiler uzun başlıklarda satır ve sayfa numarası kırıyor</w:t>
            </w:r>
          </w:p>
        </w:tc>
        <w:tc>
          <w:tcPr>
            <w:tcW w:type="dxa" w:w="1984"/>
            <w:vAlign w:val="top"/>
            <w:tcMar>
              <w:top w:w="70" w:type="dxa"/>
              <w:start w:w="85" w:type="dxa"/>
              <w:bottom w:w="70" w:type="dxa"/>
              <w:end w:w="85" w:type="dxa"/>
            </w:tcMar>
          </w:tcPr>
          <w:p>
            <w:pPr>
              <w:spacing w:after="0"/>
            </w:pPr>
            <w:r>
              <w:rPr>
                <w:sz w:val="14"/>
              </w:rPr>
              <w:t>İçindekiler s.i–ii</w:t>
            </w:r>
          </w:p>
        </w:tc>
        <w:tc>
          <w:tcPr>
            <w:tcW w:type="dxa" w:w="3515"/>
            <w:vAlign w:val="top"/>
            <w:tcMar>
              <w:top w:w="70" w:type="dxa"/>
              <w:start w:w="85" w:type="dxa"/>
              <w:bottom w:w="70" w:type="dxa"/>
              <w:end w:w="85" w:type="dxa"/>
            </w:tcMar>
          </w:tcPr>
          <w:p>
            <w:pPr>
              <w:spacing w:after="0"/>
            </w:pPr>
            <w:r>
              <w:rPr>
                <w:sz w:val="14"/>
              </w:rPr>
              <w:t>Önce başlıklar akademik olarak kısaltılmalı; ardından TOC stillerinde sağ sekme durağı ve noktalı kılavuz çizgisi ayarlanmalı. Nihai sayfa düzeninden sonra alanlar yeniden güncellenmelidir.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WRD-03. Aktif Zotero alanları çalışma dosyasında yararlı, teslim kopyasında riskli</w:t>
            </w:r>
          </w:p>
        </w:tc>
        <w:tc>
          <w:tcPr>
            <w:tcW w:type="dxa" w:w="1984"/>
            <w:vAlign w:val="top"/>
            <w:tcMar>
              <w:top w:w="70" w:type="dxa"/>
              <w:start w:w="85" w:type="dxa"/>
              <w:bottom w:w="70" w:type="dxa"/>
              <w:end w:w="85" w:type="dxa"/>
            </w:tcMar>
          </w:tcPr>
          <w:p>
            <w:pPr>
              <w:spacing w:after="0"/>
            </w:pPr>
            <w:r>
              <w:rPr>
                <w:sz w:val="14"/>
              </w:rPr>
              <w:t>Dipnotlar ve kaynakça</w:t>
            </w:r>
          </w:p>
        </w:tc>
        <w:tc>
          <w:tcPr>
            <w:tcW w:type="dxa" w:w="3515"/>
            <w:vAlign w:val="top"/>
            <w:tcMar>
              <w:top w:w="70" w:type="dxa"/>
              <w:start w:w="85" w:type="dxa"/>
              <w:bottom w:w="70" w:type="dxa"/>
              <w:end w:w="85" w:type="dxa"/>
            </w:tcMar>
          </w:tcPr>
          <w:p>
            <w:pPr>
              <w:spacing w:after="0"/>
            </w:pPr>
            <w:r>
              <w:rPr>
                <w:sz w:val="14"/>
              </w:rPr>
              <w:t>Aktif alanlı ana dosya arşivlenmeli. Yayınevi teslimi için ayrı bir kopya oluşturulmalı; son kaynakça/dipnot kontrolünden sonra Zotero alanları düz metne dönüştürülmeli ve TOC/page reference alanları son kez güncellenmelidir.</w:t>
            </w:r>
          </w:p>
        </w:tc>
      </w:tr>
      <w:tr>
        <w:trPr>
          <w:cantSplit/>
        </w:trPr>
        <w:tc>
          <w:tcPr>
            <w:tcW w:type="dxa" w:w="907"/>
            <w:vAlign w:val="top"/>
            <w:tcMar>
              <w:top w:w="70" w:type="dxa"/>
              <w:start w:w="85" w:type="dxa"/>
              <w:bottom w:w="70" w:type="dxa"/>
              <w:end w:w="85" w:type="dxa"/>
            </w:tcMar>
          </w:tcPr>
          <w:p>
            <w:pPr>
              <w:spacing w:after="0"/>
            </w:pPr>
            <w:r>
              <w:rPr>
                <w:sz w:val="14"/>
              </w:rPr>
              <w:t>Kritik</w:t>
            </w:r>
          </w:p>
        </w:tc>
        <w:tc>
          <w:tcPr>
            <w:tcW w:type="dxa" w:w="3969"/>
            <w:vAlign w:val="top"/>
            <w:tcMar>
              <w:top w:w="70" w:type="dxa"/>
              <w:start w:w="85" w:type="dxa"/>
              <w:bottom w:w="70" w:type="dxa"/>
              <w:end w:w="85" w:type="dxa"/>
            </w:tcMar>
          </w:tcPr>
          <w:p>
            <w:pPr>
              <w:spacing w:after="0"/>
            </w:pPr>
            <w:r>
              <w:rPr>
                <w:sz w:val="14"/>
              </w:rPr>
              <w:t>WRD-04. Yazar/redaktör notları “yorum” değil, doğrudan metin içinde kırmızı içerik olarak kalmış</w:t>
            </w:r>
          </w:p>
        </w:tc>
        <w:tc>
          <w:tcPr>
            <w:tcW w:type="dxa" w:w="1984"/>
            <w:vAlign w:val="top"/>
            <w:tcMar>
              <w:top w:w="70" w:type="dxa"/>
              <w:start w:w="85" w:type="dxa"/>
              <w:bottom w:w="70" w:type="dxa"/>
              <w:end w:w="85" w:type="dxa"/>
            </w:tcMar>
          </w:tcPr>
          <w:p>
            <w:pPr>
              <w:spacing w:after="0"/>
            </w:pPr>
            <w:r>
              <w:rPr>
                <w:sz w:val="14"/>
              </w:rPr>
              <w:t>183 kırmızı içerikli doğrudan gövde paragrafı</w:t>
            </w:r>
          </w:p>
        </w:tc>
        <w:tc>
          <w:tcPr>
            <w:tcW w:type="dxa" w:w="3515"/>
            <w:vAlign w:val="top"/>
            <w:tcMar>
              <w:top w:w="70" w:type="dxa"/>
              <w:start w:w="85" w:type="dxa"/>
              <w:bottom w:w="70" w:type="dxa"/>
              <w:end w:w="85" w:type="dxa"/>
            </w:tcMar>
          </w:tcPr>
          <w:p>
            <w:pPr>
              <w:spacing w:after="0"/>
            </w:pPr>
            <w:r>
              <w:rPr>
                <w:sz w:val="14"/>
              </w:rPr>
              <w:t>Nihai teslimden önce kırmızı metinler üç sınıfa ayrılmalı: (1) gerçek kitap metni, (2) yazarın karar vereceği kelime/üslup önerisi, (3) çalışma notu. Üçüncü sınıf tamamen silinmeli; ikinci sınıf yazar kararıyla kabul/reddedilmelidir.</w:t>
            </w:r>
          </w:p>
        </w:tc>
      </w:tr>
    </w:tbl>
    <w:p>
      <w:pPr>
        <w:pStyle w:val="Heading2"/>
        <w:keepNext/>
      </w:pPr>
      <w:r>
        <w:t>6. İkinci Rapordan Manuscript Üzerinde Hâlâ Uygulanması Gereken Akış ve Yapı Düzeltmeleri</w:t>
      </w:r>
    </w:p>
    <w:p>
      <w:r>
        <w:t>İkinci rapor metni değiştirmediği için oradaki yüksek ve orta öncelikli akış önerileri de kapanmış değildir. Aşağıdaki liste bunları uygulama sırasına taşır. Düşük öncelikli cilalar ayrıca yapılabilir; ancak yayın geciktirici olarak görülmemelidir.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907"/>
            <w:shd w:fill="D9EAF7"/>
          </w:tcPr>
          <w:p>
            <w:r>
              <w:rPr>
                <w:b/>
                <w:sz w:val="14"/>
              </w:rPr>
              <w:t>Önem</w:t>
            </w:r>
          </w:p>
        </w:tc>
        <w:tc>
          <w:tcPr>
            <w:tcW w:type="dxa" w:w="3969"/>
            <w:shd w:fill="D9EAF7"/>
          </w:tcPr>
          <w:p>
            <w:r>
              <w:rPr>
                <w:b/>
                <w:sz w:val="14"/>
              </w:rPr>
              <w:t>Bulgu</w:t>
            </w:r>
          </w:p>
        </w:tc>
        <w:tc>
          <w:tcPr>
            <w:tcW w:type="dxa" w:w="1984"/>
            <w:shd w:fill="D9EAF7"/>
          </w:tcPr>
          <w:p>
            <w:r>
              <w:rPr>
                <w:b/>
                <w:sz w:val="14"/>
              </w:rPr>
              <w:t>Yer</w:t>
            </w:r>
          </w:p>
        </w:tc>
        <w:tc>
          <w:tcPr>
            <w:tcW w:type="dxa" w:w="3515"/>
            <w:shd w:fill="D9EAF7"/>
          </w:tcPr>
          <w:p>
            <w:r>
              <w:rPr>
                <w:b/>
                <w:sz w:val="14"/>
              </w:rPr>
              <w:t>Uygulanacak işlem</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ÖN-01. Önsöz ile Giriş aynı ana tezi gereğinden fazla yeniden kuruyor</w:t>
            </w:r>
          </w:p>
        </w:tc>
        <w:tc>
          <w:tcPr>
            <w:tcW w:type="dxa" w:w="1984"/>
            <w:vAlign w:val="top"/>
            <w:tcMar>
              <w:top w:w="70" w:type="dxa"/>
              <w:start w:w="85" w:type="dxa"/>
              <w:bottom w:w="70" w:type="dxa"/>
              <w:end w:w="85" w:type="dxa"/>
            </w:tcMar>
          </w:tcPr>
          <w:p>
            <w:pPr>
              <w:spacing w:after="0"/>
            </w:pPr>
            <w:r>
              <w:rPr>
                <w:sz w:val="14"/>
              </w:rPr>
              <w:t>Önsöz, s.1; özellikle 2–5. paragraflar</w:t>
            </w:r>
          </w:p>
        </w:tc>
        <w:tc>
          <w:tcPr>
            <w:tcW w:type="dxa" w:w="3515"/>
            <w:vAlign w:val="top"/>
            <w:tcMar>
              <w:top w:w="70" w:type="dxa"/>
              <w:start w:w="85" w:type="dxa"/>
              <w:bottom w:w="70" w:type="dxa"/>
              <w:end w:w="85" w:type="dxa"/>
            </w:tcMar>
          </w:tcPr>
          <w:p>
            <w:pPr>
              <w:spacing w:after="0"/>
            </w:pPr>
            <w:r>
              <w:rPr>
                <w:sz w:val="14"/>
              </w:rPr>
              <w:t>Önsözde ana tez ve amaç korunmalı; yöntemsel ayrıntılar Girişe bırakılmalı.</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GİR-AK-01. Girişin ikinci yarısında işlev sırası bozuluyor</w:t>
            </w:r>
          </w:p>
        </w:tc>
        <w:tc>
          <w:tcPr>
            <w:tcW w:type="dxa" w:w="1984"/>
            <w:vAlign w:val="top"/>
            <w:tcMar>
              <w:top w:w="70" w:type="dxa"/>
              <w:start w:w="85" w:type="dxa"/>
              <w:bottom w:w="70" w:type="dxa"/>
              <w:end w:w="85" w:type="dxa"/>
            </w:tcMar>
          </w:tcPr>
          <w:p>
            <w:pPr>
              <w:spacing w:after="0"/>
            </w:pPr>
            <w:r>
              <w:rPr>
                <w:sz w:val="14"/>
              </w:rPr>
              <w:t>Giriş, s.5–7; kapsam–4. bölüm ön izlemesi–yöntem–kaynaklar–katkı–bölüm planı</w:t>
            </w:r>
          </w:p>
        </w:tc>
        <w:tc>
          <w:tcPr>
            <w:tcW w:type="dxa" w:w="3515"/>
            <w:vAlign w:val="top"/>
            <w:tcMar>
              <w:top w:w="70" w:type="dxa"/>
              <w:start w:w="85" w:type="dxa"/>
              <w:bottom w:w="70" w:type="dxa"/>
              <w:end w:w="85" w:type="dxa"/>
            </w:tcMar>
          </w:tcPr>
          <w:p>
            <w:pPr>
              <w:spacing w:after="0"/>
            </w:pPr>
            <w:r>
              <w:rPr>
                <w:sz w:val="14"/>
              </w:rPr>
              <w:t>30. paragrafı 35–39’daki bölüm planına yedir; 29’dan sonra doğrudan yöntem ve kaynak kullanımına geç.</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GİR-AK-02. Amaç, kapsam ve katkı aynı düşünceyi farklı soyut ifadelerle yineliyor</w:t>
            </w:r>
          </w:p>
        </w:tc>
        <w:tc>
          <w:tcPr>
            <w:tcW w:type="dxa" w:w="1984"/>
            <w:vAlign w:val="top"/>
            <w:tcMar>
              <w:top w:w="70" w:type="dxa"/>
              <w:start w:w="85" w:type="dxa"/>
              <w:bottom w:w="70" w:type="dxa"/>
              <w:end w:w="85" w:type="dxa"/>
            </w:tcMar>
          </w:tcPr>
          <w:p>
            <w:pPr>
              <w:spacing w:after="0"/>
            </w:pPr>
            <w:r>
              <w:rPr>
                <w:sz w:val="14"/>
              </w:rPr>
              <w:t>Giriş, s.3–7; özellikle 20, 28–29, 34 ve 40. paragraflar</w:t>
            </w:r>
          </w:p>
        </w:tc>
        <w:tc>
          <w:tcPr>
            <w:tcW w:type="dxa" w:w="3515"/>
            <w:vAlign w:val="top"/>
            <w:tcMar>
              <w:top w:w="70" w:type="dxa"/>
              <w:start w:w="85" w:type="dxa"/>
              <w:bottom w:w="70" w:type="dxa"/>
              <w:end w:w="85" w:type="dxa"/>
            </w:tcMar>
          </w:tcPr>
          <w:p>
            <w:pPr>
              <w:spacing w:after="0"/>
            </w:pPr>
            <w:r>
              <w:rPr>
                <w:sz w:val="14"/>
              </w:rPr>
              <w:t>Her işlevi bir kez kur: problem → temel tez → kavramlar → kapsam → yöntem/kaynak → katkı → kısa bölüm planı.</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GİR-AK-03. Bölüm planı gereğinden ayrıntılı ve gövdenin içeriğini önceden tekrar ediyor</w:t>
            </w:r>
          </w:p>
        </w:tc>
        <w:tc>
          <w:tcPr>
            <w:tcW w:type="dxa" w:w="1984"/>
            <w:vAlign w:val="top"/>
            <w:tcMar>
              <w:top w:w="70" w:type="dxa"/>
              <w:start w:w="85" w:type="dxa"/>
              <w:bottom w:w="70" w:type="dxa"/>
              <w:end w:w="85" w:type="dxa"/>
            </w:tcMar>
          </w:tcPr>
          <w:p>
            <w:pPr>
              <w:spacing w:after="0"/>
            </w:pPr>
            <w:r>
              <w:rPr>
                <w:sz w:val="14"/>
              </w:rPr>
              <w:t>Giriş, s.6–7; dört bölümün tanıtıldığı paragraflar</w:t>
            </w:r>
          </w:p>
        </w:tc>
        <w:tc>
          <w:tcPr>
            <w:tcW w:type="dxa" w:w="3515"/>
            <w:vAlign w:val="top"/>
            <w:tcMar>
              <w:top w:w="70" w:type="dxa"/>
              <w:start w:w="85" w:type="dxa"/>
              <w:bottom w:w="70" w:type="dxa"/>
              <w:end w:w="85" w:type="dxa"/>
            </w:tcMar>
          </w:tcPr>
          <w:p>
            <w:pPr>
              <w:spacing w:after="0"/>
            </w:pPr>
            <w:r>
              <w:rPr>
                <w:sz w:val="14"/>
              </w:rPr>
              <w:t>Bölüm planını bölüm başına bir cümleye indir.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B1-AK-01. 1.1’de sentez, delil dizisi tamamlanmadan geliyor ve ardından geriye dönüş yaşanıyor</w:t>
            </w:r>
          </w:p>
        </w:tc>
        <w:tc>
          <w:tcPr>
            <w:tcW w:type="dxa" w:w="1984"/>
            <w:vAlign w:val="top"/>
            <w:tcMar>
              <w:top w:w="70" w:type="dxa"/>
              <w:start w:w="85" w:type="dxa"/>
              <w:bottom w:w="70" w:type="dxa"/>
              <w:end w:w="85" w:type="dxa"/>
            </w:tcMar>
          </w:tcPr>
          <w:p>
            <w:pPr>
              <w:spacing w:after="0"/>
            </w:pPr>
            <w:r>
              <w:rPr>
                <w:sz w:val="14"/>
              </w:rPr>
              <w:t>1.1, s.8–10; 49–56. paragraflar</w:t>
            </w:r>
          </w:p>
        </w:tc>
        <w:tc>
          <w:tcPr>
            <w:tcW w:type="dxa" w:w="3515"/>
            <w:vAlign w:val="top"/>
            <w:tcMar>
              <w:top w:w="70" w:type="dxa"/>
              <w:start w:w="85" w:type="dxa"/>
              <w:bottom w:w="70" w:type="dxa"/>
              <w:end w:w="85" w:type="dxa"/>
            </w:tcMar>
          </w:tcPr>
          <w:p>
            <w:pPr>
              <w:spacing w:after="0"/>
            </w:pPr>
            <w:r>
              <w:rPr>
                <w:sz w:val="14"/>
              </w:rPr>
              <w:t>49–50’yi sona taşı/erit. Önce bütün İslâm öncesi kanıtları ver; 56’da tek sentez ve 1.2’ye geçiş bırak.</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B1-AK-02. 1.1’de iki ayrı sonuç paragrafı aynı hükmü kuruyor</w:t>
            </w:r>
          </w:p>
        </w:tc>
        <w:tc>
          <w:tcPr>
            <w:tcW w:type="dxa" w:w="1984"/>
            <w:vAlign w:val="top"/>
            <w:tcMar>
              <w:top w:w="70" w:type="dxa"/>
              <w:start w:w="85" w:type="dxa"/>
              <w:bottom w:w="70" w:type="dxa"/>
              <w:end w:w="85" w:type="dxa"/>
            </w:tcMar>
          </w:tcPr>
          <w:p>
            <w:pPr>
              <w:spacing w:after="0"/>
            </w:pPr>
            <w:r>
              <w:rPr>
                <w:sz w:val="14"/>
              </w:rPr>
              <w:t>1.1, 49 ve 56. paragraflar</w:t>
            </w:r>
          </w:p>
        </w:tc>
        <w:tc>
          <w:tcPr>
            <w:tcW w:type="dxa" w:w="3515"/>
            <w:vAlign w:val="top"/>
            <w:tcMar>
              <w:top w:w="70" w:type="dxa"/>
              <w:start w:w="85" w:type="dxa"/>
              <w:bottom w:w="70" w:type="dxa"/>
              <w:end w:w="85" w:type="dxa"/>
            </w:tcMar>
          </w:tcPr>
          <w:p>
            <w:pPr>
              <w:spacing w:after="0"/>
            </w:pPr>
            <w:r>
              <w:rPr>
                <w:sz w:val="14"/>
              </w:rPr>
              <w:t>49’u kaldır veya delil dizisine girişe dönüştür; 56’yı tek kısa sentez olarak bırak.</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B1-AK-03. 1.2 somut rivâyetlere geçmeden üç kez genel çerçeve kuruyor</w:t>
            </w:r>
          </w:p>
        </w:tc>
        <w:tc>
          <w:tcPr>
            <w:tcW w:type="dxa" w:w="1984"/>
            <w:vAlign w:val="top"/>
            <w:tcMar>
              <w:top w:w="70" w:type="dxa"/>
              <w:start w:w="85" w:type="dxa"/>
              <w:bottom w:w="70" w:type="dxa"/>
              <w:end w:w="85" w:type="dxa"/>
            </w:tcMar>
          </w:tcPr>
          <w:p>
            <w:pPr>
              <w:spacing w:after="0"/>
            </w:pPr>
            <w:r>
              <w:rPr>
                <w:sz w:val="14"/>
              </w:rPr>
              <w:t>1.2, s.10–11; 58–61. paragraflar</w:t>
            </w:r>
          </w:p>
        </w:tc>
        <w:tc>
          <w:tcPr>
            <w:tcW w:type="dxa" w:w="3515"/>
            <w:vAlign w:val="top"/>
            <w:tcMar>
              <w:top w:w="70" w:type="dxa"/>
              <w:start w:w="85" w:type="dxa"/>
              <w:bottom w:w="70" w:type="dxa"/>
              <w:end w:w="85" w:type="dxa"/>
            </w:tcMar>
          </w:tcPr>
          <w:p>
            <w:pPr>
              <w:spacing w:after="0"/>
            </w:pPr>
            <w:r>
              <w:rPr>
                <w:sz w:val="14"/>
              </w:rPr>
              <w:t>58’i giriş olarak tut; 59–60’ı kısalt veya 1.2’nin son sentezine taşı; 61’e daha erken geç.</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B1-AK-04. 1.2’nin kapanışı ile 1.3’ün açılışı aynı bilgiyi yeniden söylüyor</w:t>
            </w:r>
          </w:p>
        </w:tc>
        <w:tc>
          <w:tcPr>
            <w:tcW w:type="dxa" w:w="1984"/>
            <w:vAlign w:val="top"/>
            <w:tcMar>
              <w:top w:w="70" w:type="dxa"/>
              <w:start w:w="85" w:type="dxa"/>
              <w:bottom w:w="70" w:type="dxa"/>
              <w:end w:w="85" w:type="dxa"/>
            </w:tcMar>
          </w:tcPr>
          <w:p>
            <w:pPr>
              <w:spacing w:after="0"/>
            </w:pPr>
            <w:r>
              <w:rPr>
                <w:sz w:val="14"/>
              </w:rPr>
              <w:t>1.2 son paragrafı → 1.3 ilk paragrafı</w:t>
            </w:r>
          </w:p>
        </w:tc>
        <w:tc>
          <w:tcPr>
            <w:tcW w:type="dxa" w:w="3515"/>
            <w:vAlign w:val="top"/>
            <w:tcMar>
              <w:top w:w="70" w:type="dxa"/>
              <w:start w:w="85" w:type="dxa"/>
              <w:bottom w:w="70" w:type="dxa"/>
              <w:end w:w="85" w:type="dxa"/>
            </w:tcMar>
          </w:tcPr>
          <w:p>
            <w:pPr>
              <w:spacing w:after="0"/>
            </w:pPr>
            <w:r>
              <w:rPr>
                <w:sz w:val="14"/>
              </w:rPr>
              <w:t>1.2’yi doğrudan derleme ihtiyacına bağla; 1.3 ilk cümlesini kısalt.</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B1-AK-05. 1.3 yedi harf ve arza-i âhire tartışmasına fazla erken giriyor</w:t>
            </w:r>
          </w:p>
        </w:tc>
        <w:tc>
          <w:tcPr>
            <w:tcW w:type="dxa" w:w="1984"/>
            <w:vAlign w:val="top"/>
            <w:tcMar>
              <w:top w:w="70" w:type="dxa"/>
              <w:start w:w="85" w:type="dxa"/>
              <w:bottom w:w="70" w:type="dxa"/>
              <w:end w:w="85" w:type="dxa"/>
            </w:tcMar>
          </w:tcPr>
          <w:p>
            <w:pPr>
              <w:spacing w:after="0"/>
            </w:pPr>
            <w:r>
              <w:rPr>
                <w:sz w:val="14"/>
              </w:rPr>
              <w:t>1.3, s.15–16; Mervan anlatısından sonraki 77–79. paragraflar</w:t>
            </w:r>
          </w:p>
        </w:tc>
        <w:tc>
          <w:tcPr>
            <w:tcW w:type="dxa" w:w="3515"/>
            <w:vAlign w:val="top"/>
            <w:tcMar>
              <w:top w:w="70" w:type="dxa"/>
              <w:start w:w="85" w:type="dxa"/>
              <w:bottom w:w="70" w:type="dxa"/>
              <w:end w:w="85" w:type="dxa"/>
            </w:tcMar>
          </w:tcPr>
          <w:p>
            <w:pPr>
              <w:spacing w:after="0"/>
            </w:pPr>
            <w:r>
              <w:rPr>
                <w:sz w:val="14"/>
              </w:rPr>
              <w:t>1.3’ü suhufun akıbetiyle kapat; yedi harf/arza değerlendirmesini 2.3’e taşı veya burada tek geçiş cümlesine indir.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B1-AK-06. 1.4 gerekçeleri anlattıktan sonra gerekçeleri yeniden başlatıyor</w:t>
            </w:r>
          </w:p>
        </w:tc>
        <w:tc>
          <w:tcPr>
            <w:tcW w:type="dxa" w:w="1984"/>
            <w:vAlign w:val="top"/>
            <w:tcMar>
              <w:top w:w="70" w:type="dxa"/>
              <w:start w:w="85" w:type="dxa"/>
              <w:bottom w:w="70" w:type="dxa"/>
              <w:end w:w="85" w:type="dxa"/>
            </w:tcMar>
          </w:tcPr>
          <w:p>
            <w:pPr>
              <w:spacing w:after="0"/>
            </w:pPr>
            <w:r>
              <w:rPr>
                <w:sz w:val="14"/>
              </w:rPr>
              <w:t>1.4, s.16–20; özellikle 96–98</w:t>
            </w:r>
          </w:p>
        </w:tc>
        <w:tc>
          <w:tcPr>
            <w:tcW w:type="dxa" w:w="3515"/>
            <w:vAlign w:val="top"/>
            <w:tcMar>
              <w:top w:w="70" w:type="dxa"/>
              <w:start w:w="85" w:type="dxa"/>
              <w:bottom w:w="70" w:type="dxa"/>
              <w:end w:w="85" w:type="dxa"/>
            </w:tcMar>
          </w:tcPr>
          <w:p>
            <w:pPr>
              <w:spacing w:after="0"/>
            </w:pPr>
            <w:r>
              <w:rPr>
                <w:sz w:val="14"/>
              </w:rPr>
              <w:t>96’daki iki sebebi önceki ilgili paragraflara dağıt; 98’deki “Hülasa” paragrafını tek kısa kapanışa indir.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B1-AK-07. 1.4 “Hülasa” ile aynı bölümü ikinci kez kapatıyor</w:t>
            </w:r>
          </w:p>
        </w:tc>
        <w:tc>
          <w:tcPr>
            <w:tcW w:type="dxa" w:w="1984"/>
            <w:vAlign w:val="top"/>
            <w:tcMar>
              <w:top w:w="70" w:type="dxa"/>
              <w:start w:w="85" w:type="dxa"/>
              <w:bottom w:w="70" w:type="dxa"/>
              <w:end w:w="85" w:type="dxa"/>
            </w:tcMar>
          </w:tcPr>
          <w:p>
            <w:pPr>
              <w:spacing w:after="0"/>
            </w:pPr>
            <w:r>
              <w:rPr>
                <w:sz w:val="14"/>
              </w:rPr>
              <w:t>1.4 son paragraf</w:t>
            </w:r>
          </w:p>
        </w:tc>
        <w:tc>
          <w:tcPr>
            <w:tcW w:type="dxa" w:w="3515"/>
            <w:vAlign w:val="top"/>
            <w:tcMar>
              <w:top w:w="70" w:type="dxa"/>
              <w:start w:w="85" w:type="dxa"/>
              <w:bottom w:w="70" w:type="dxa"/>
              <w:end w:w="85" w:type="dxa"/>
            </w:tcMar>
          </w:tcPr>
          <w:p>
            <w:pPr>
              <w:spacing w:after="0"/>
            </w:pPr>
            <w:r>
              <w:rPr>
                <w:sz w:val="14"/>
              </w:rPr>
              <w:t>Paragrafı çıkar veya bir sonraki başlığa köprü olacak tek cümleye indir.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B1-AK-08. 1.5’te ara sonuç, çağdaş görüşler ve iki son sentez art arda geliyor</w:t>
            </w:r>
          </w:p>
        </w:tc>
        <w:tc>
          <w:tcPr>
            <w:tcW w:type="dxa" w:w="1984"/>
            <w:vAlign w:val="top"/>
            <w:tcMar>
              <w:top w:w="70" w:type="dxa"/>
              <w:start w:w="85" w:type="dxa"/>
              <w:bottom w:w="70" w:type="dxa"/>
              <w:end w:w="85" w:type="dxa"/>
            </w:tcMar>
          </w:tcPr>
          <w:p>
            <w:pPr>
              <w:spacing w:after="0"/>
            </w:pPr>
            <w:r>
              <w:rPr>
                <w:sz w:val="14"/>
              </w:rPr>
              <w:t>1.5, s.20–24; 108–116</w:t>
            </w:r>
          </w:p>
        </w:tc>
        <w:tc>
          <w:tcPr>
            <w:tcW w:type="dxa" w:w="3515"/>
            <w:vAlign w:val="top"/>
            <w:tcMar>
              <w:top w:w="70" w:type="dxa"/>
              <w:start w:w="85" w:type="dxa"/>
              <w:bottom w:w="70" w:type="dxa"/>
              <w:end w:w="85" w:type="dxa"/>
            </w:tcMar>
          </w:tcPr>
          <w:p>
            <w:pPr>
              <w:spacing w:after="0"/>
            </w:pPr>
            <w:r>
              <w:rPr>
                <w:sz w:val="14"/>
              </w:rPr>
              <w:t>108’i kaldır veya çağdaş literatüre geçiş cümlesine dönüştür; 115–116’yı tek ihtiyatlı sonuçta birleştir.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B1-AK-10. 1.5’ten 1.6’ya tarihsel sayı tartışmasından kavramsal tanıma hazırlıksız geçiliyor</w:t>
            </w:r>
          </w:p>
        </w:tc>
        <w:tc>
          <w:tcPr>
            <w:tcW w:type="dxa" w:w="1984"/>
            <w:vAlign w:val="top"/>
            <w:tcMar>
              <w:top w:w="70" w:type="dxa"/>
              <w:start w:w="85" w:type="dxa"/>
              <w:bottom w:w="70" w:type="dxa"/>
              <w:end w:w="85" w:type="dxa"/>
            </w:tcMar>
          </w:tcPr>
          <w:p>
            <w:pPr>
              <w:spacing w:after="0"/>
            </w:pPr>
            <w:r>
              <w:rPr>
                <w:sz w:val="14"/>
              </w:rPr>
              <w:t>1.5 sonu → 1.6 başlangıcı</w:t>
            </w:r>
          </w:p>
        </w:tc>
        <w:tc>
          <w:tcPr>
            <w:tcW w:type="dxa" w:w="3515"/>
            <w:vAlign w:val="top"/>
            <w:tcMar>
              <w:top w:w="70" w:type="dxa"/>
              <w:start w:w="85" w:type="dxa"/>
              <w:bottom w:w="70" w:type="dxa"/>
              <w:end w:w="85" w:type="dxa"/>
            </w:tcMar>
          </w:tcPr>
          <w:p>
            <w:pPr>
              <w:spacing w:after="0"/>
            </w:pPr>
            <w:r>
              <w:rPr>
                <w:sz w:val="14"/>
              </w:rPr>
              <w:t>1.6’nın ilk cümlesini dağıtım meselesinden kavramsal tanıma bağla.</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B1-AK-11. 1.6 üç ardışık meta-giriş paragrafıyla başlıyor</w:t>
            </w:r>
          </w:p>
        </w:tc>
        <w:tc>
          <w:tcPr>
            <w:tcW w:type="dxa" w:w="1984"/>
            <w:vAlign w:val="top"/>
            <w:tcMar>
              <w:top w:w="70" w:type="dxa"/>
              <w:start w:w="85" w:type="dxa"/>
              <w:bottom w:w="70" w:type="dxa"/>
              <w:end w:w="85" w:type="dxa"/>
            </w:tcMar>
          </w:tcPr>
          <w:p>
            <w:pPr>
              <w:spacing w:after="0"/>
            </w:pPr>
            <w:r>
              <w:rPr>
                <w:sz w:val="14"/>
              </w:rPr>
              <w:t>1.6, s.24–25; 119–121</w:t>
            </w:r>
          </w:p>
        </w:tc>
        <w:tc>
          <w:tcPr>
            <w:tcW w:type="dxa" w:w="3515"/>
            <w:vAlign w:val="top"/>
            <w:tcMar>
              <w:top w:w="70" w:type="dxa"/>
              <w:start w:w="85" w:type="dxa"/>
              <w:bottom w:w="70" w:type="dxa"/>
              <w:end w:w="85" w:type="dxa"/>
            </w:tcMar>
          </w:tcPr>
          <w:p>
            <w:pPr>
              <w:spacing w:after="0"/>
            </w:pPr>
            <w:r>
              <w:rPr>
                <w:sz w:val="14"/>
              </w:rPr>
              <w:t>119–121’i tek kısa girişte birleştir.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B1-AK-12. 1.6.2 lügat açıklamasını yeniden başlatarak 1.6.1’i tekrar ediyor</w:t>
            </w:r>
          </w:p>
        </w:tc>
        <w:tc>
          <w:tcPr>
            <w:tcW w:type="dxa" w:w="1984"/>
            <w:vAlign w:val="top"/>
            <w:tcMar>
              <w:top w:w="70" w:type="dxa"/>
              <w:start w:w="85" w:type="dxa"/>
              <w:bottom w:w="70" w:type="dxa"/>
              <w:end w:w="85" w:type="dxa"/>
            </w:tcMar>
          </w:tcPr>
          <w:p>
            <w:pPr>
              <w:spacing w:after="0"/>
            </w:pPr>
            <w:r>
              <w:rPr>
                <w:sz w:val="14"/>
              </w:rPr>
              <w:t>1.6.1 → 1.6.2</w:t>
            </w:r>
          </w:p>
        </w:tc>
        <w:tc>
          <w:tcPr>
            <w:tcW w:type="dxa" w:w="3515"/>
            <w:vAlign w:val="top"/>
            <w:tcMar>
              <w:top w:w="70" w:type="dxa"/>
              <w:start w:w="85" w:type="dxa"/>
              <w:bottom w:w="70" w:type="dxa"/>
              <w:end w:w="85" w:type="dxa"/>
            </w:tcMar>
          </w:tcPr>
          <w:p>
            <w:pPr>
              <w:spacing w:after="0"/>
            </w:pPr>
            <w:r>
              <w:rPr>
                <w:sz w:val="14"/>
              </w:rPr>
              <w:t>1.6.2’yi doğrudan teknik kullanımdan başlat.</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B1-AK-14. 1.7’de üç ayrı ara sonuç aynı alt başlığı tekrar tekrar kapatıyor</w:t>
            </w:r>
          </w:p>
        </w:tc>
        <w:tc>
          <w:tcPr>
            <w:tcW w:type="dxa" w:w="1984"/>
            <w:vAlign w:val="top"/>
            <w:tcMar>
              <w:top w:w="70" w:type="dxa"/>
              <w:start w:w="85" w:type="dxa"/>
              <w:bottom w:w="70" w:type="dxa"/>
              <w:end w:w="85" w:type="dxa"/>
            </w:tcMar>
          </w:tcPr>
          <w:p>
            <w:pPr>
              <w:spacing w:after="0"/>
            </w:pPr>
            <w:r>
              <w:rPr>
                <w:sz w:val="14"/>
              </w:rPr>
              <w:t>1.7; 140, 145 ve 151. paragraflar</w:t>
            </w:r>
          </w:p>
        </w:tc>
        <w:tc>
          <w:tcPr>
            <w:tcW w:type="dxa" w:w="3515"/>
            <w:vAlign w:val="top"/>
            <w:tcMar>
              <w:top w:w="70" w:type="dxa"/>
              <w:start w:w="85" w:type="dxa"/>
              <w:bottom w:w="70" w:type="dxa"/>
              <w:end w:w="85" w:type="dxa"/>
            </w:tcMar>
          </w:tcPr>
          <w:p>
            <w:pPr>
              <w:spacing w:after="0"/>
            </w:pPr>
            <w:r>
              <w:rPr>
                <w:sz w:val="14"/>
              </w:rPr>
              <w:t>140 ve 145’i geçiş cümlesine çevir; yalnız 151’de kısa bir genel sentez bırak.</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B1-AK-15. 1.8’de tartışma ilerledikten sonra temel soru yeniden kuruluyor</w:t>
            </w:r>
          </w:p>
        </w:tc>
        <w:tc>
          <w:tcPr>
            <w:tcW w:type="dxa" w:w="1984"/>
            <w:vAlign w:val="top"/>
            <w:tcMar>
              <w:top w:w="70" w:type="dxa"/>
              <w:start w:w="85" w:type="dxa"/>
              <w:bottom w:w="70" w:type="dxa"/>
              <w:end w:w="85" w:type="dxa"/>
            </w:tcMar>
          </w:tcPr>
          <w:p>
            <w:pPr>
              <w:spacing w:after="0"/>
            </w:pPr>
            <w:r>
              <w:rPr>
                <w:sz w:val="14"/>
              </w:rPr>
              <w:t>1.8, s.31–34; 153–171</w:t>
            </w:r>
          </w:p>
        </w:tc>
        <w:tc>
          <w:tcPr>
            <w:tcW w:type="dxa" w:w="3515"/>
            <w:vAlign w:val="top"/>
            <w:tcMar>
              <w:top w:w="70" w:type="dxa"/>
              <w:start w:w="85" w:type="dxa"/>
              <w:bottom w:w="70" w:type="dxa"/>
              <w:end w:w="85" w:type="dxa"/>
            </w:tcMar>
          </w:tcPr>
          <w:p>
            <w:pPr>
              <w:spacing w:after="0"/>
            </w:pPr>
            <w:r>
              <w:rPr>
                <w:sz w:val="14"/>
              </w:rPr>
              <w:t>Soruları 153’e taşı; 154–156 tevkîfî deliller, 157 ve devamı karşı görüş/eleştiri, 171 tek sentez sırasını koru.</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B1-AK-16. 1.9 genel giriş bölümü ayrıntılar başlamadan kesin sonuç üretiyor</w:t>
            </w:r>
          </w:p>
        </w:tc>
        <w:tc>
          <w:tcPr>
            <w:tcW w:type="dxa" w:w="1984"/>
            <w:vAlign w:val="top"/>
            <w:tcMar>
              <w:top w:w="70" w:type="dxa"/>
              <w:start w:w="85" w:type="dxa"/>
              <w:bottom w:w="70" w:type="dxa"/>
              <w:end w:w="85" w:type="dxa"/>
            </w:tcMar>
          </w:tcPr>
          <w:p>
            <w:pPr>
              <w:spacing w:after="0"/>
            </w:pPr>
            <w:r>
              <w:rPr>
                <w:sz w:val="14"/>
              </w:rPr>
              <w:t>1.9, 173–176</w:t>
            </w:r>
          </w:p>
        </w:tc>
        <w:tc>
          <w:tcPr>
            <w:tcW w:type="dxa" w:w="3515"/>
            <w:vAlign w:val="top"/>
            <w:tcMar>
              <w:top w:w="70" w:type="dxa"/>
              <w:start w:w="85" w:type="dxa"/>
              <w:bottom w:w="70" w:type="dxa"/>
              <w:end w:w="85" w:type="dxa"/>
            </w:tcMar>
          </w:tcPr>
          <w:p>
            <w:pPr>
              <w:spacing w:after="0"/>
            </w:pPr>
            <w:r>
              <w:rPr>
                <w:sz w:val="14"/>
              </w:rPr>
              <w:t>176’yı sonuç olmaktan çıkarıp kuralların incelemesine geçiş cümlesine dönüştür.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B1-AK-18. 1.9.2’nin sonundaki üç paragraf aynı sentezi farklı kelimelerle tekrarlıyor</w:t>
            </w:r>
          </w:p>
        </w:tc>
        <w:tc>
          <w:tcPr>
            <w:tcW w:type="dxa" w:w="1984"/>
            <w:vAlign w:val="top"/>
            <w:tcMar>
              <w:top w:w="70" w:type="dxa"/>
              <w:start w:w="85" w:type="dxa"/>
              <w:bottom w:w="70" w:type="dxa"/>
              <w:end w:w="85" w:type="dxa"/>
            </w:tcMar>
          </w:tcPr>
          <w:p>
            <w:pPr>
              <w:spacing w:after="0"/>
            </w:pPr>
            <w:r>
              <w:rPr>
                <w:sz w:val="14"/>
              </w:rPr>
              <w:t>1.9.2, 199–201</w:t>
            </w:r>
          </w:p>
        </w:tc>
        <w:tc>
          <w:tcPr>
            <w:tcW w:type="dxa" w:w="3515"/>
            <w:vAlign w:val="top"/>
            <w:tcMar>
              <w:top w:w="70" w:type="dxa"/>
              <w:start w:w="85" w:type="dxa"/>
              <w:bottom w:w="70" w:type="dxa"/>
              <w:end w:w="85" w:type="dxa"/>
            </w:tcMar>
          </w:tcPr>
          <w:p>
            <w:pPr>
              <w:spacing w:after="0"/>
            </w:pPr>
            <w:r>
              <w:rPr>
                <w:sz w:val="14"/>
              </w:rPr>
              <w:t>199–201’i tek, ihtiyatlı sentez paragrafında birleştir.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B1-AK-19. 1.10 kabul ölçülerini kronolojik ilerleme yerine döngüsel biçimde anlatıyor</w:t>
            </w:r>
          </w:p>
        </w:tc>
        <w:tc>
          <w:tcPr>
            <w:tcW w:type="dxa" w:w="1984"/>
            <w:vAlign w:val="top"/>
            <w:tcMar>
              <w:top w:w="70" w:type="dxa"/>
              <w:start w:w="85" w:type="dxa"/>
              <w:bottom w:w="70" w:type="dxa"/>
              <w:end w:w="85" w:type="dxa"/>
            </w:tcMar>
          </w:tcPr>
          <w:p>
            <w:pPr>
              <w:spacing w:after="0"/>
            </w:pPr>
            <w:r>
              <w:rPr>
                <w:sz w:val="14"/>
              </w:rPr>
              <w:t>1.10, s.40–44; 205–218</w:t>
            </w:r>
          </w:p>
        </w:tc>
        <w:tc>
          <w:tcPr>
            <w:tcW w:type="dxa" w:w="3515"/>
            <w:vAlign w:val="top"/>
            <w:tcMar>
              <w:top w:w="70" w:type="dxa"/>
              <w:start w:w="85" w:type="dxa"/>
              <w:bottom w:w="70" w:type="dxa"/>
              <w:end w:w="85" w:type="dxa"/>
            </w:tcMar>
          </w:tcPr>
          <w:p>
            <w:pPr>
              <w:spacing w:after="0"/>
            </w:pPr>
            <w:r>
              <w:rPr>
                <w:sz w:val="14"/>
              </w:rPr>
              <w:t>Tek kronoloji kur: erken pratik → İbn Mücâhid → İbnü’l-Cezerî’nin sistemleştirmesi → sonraki kabul. 205/207, 215/216 ve 217/218 tekrarlarını birleştir.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B2-AK-01. 2.1’in sonu 2.2’nin konusunu önceden ayrıntılı biçimde tüketiyor</w:t>
            </w:r>
          </w:p>
        </w:tc>
        <w:tc>
          <w:tcPr>
            <w:tcW w:type="dxa" w:w="1984"/>
            <w:vAlign w:val="top"/>
            <w:tcMar>
              <w:top w:w="70" w:type="dxa"/>
              <w:start w:w="85" w:type="dxa"/>
              <w:bottom w:w="70" w:type="dxa"/>
              <w:end w:w="85" w:type="dxa"/>
            </w:tcMar>
          </w:tcPr>
          <w:p>
            <w:pPr>
              <w:spacing w:after="0"/>
            </w:pPr>
            <w:r>
              <w:rPr>
                <w:sz w:val="14"/>
              </w:rPr>
              <w:t>2.1 → 2.2; 230–235</w:t>
            </w:r>
          </w:p>
        </w:tc>
        <w:tc>
          <w:tcPr>
            <w:tcW w:type="dxa" w:w="3515"/>
            <w:vAlign w:val="top"/>
            <w:tcMar>
              <w:top w:w="70" w:type="dxa"/>
              <w:start w:w="85" w:type="dxa"/>
              <w:bottom w:w="70" w:type="dxa"/>
              <w:end w:w="85" w:type="dxa"/>
            </w:tcMar>
          </w:tcPr>
          <w:p>
            <w:pPr>
              <w:spacing w:after="0"/>
            </w:pPr>
            <w:r>
              <w:rPr>
                <w:sz w:val="14"/>
              </w:rPr>
              <w:t>2.1’i tanım ve kısa tarihçeyle kapat; rivâyet/sened/kabul ölçülerini 2.2’ye bırak.</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B2-AK-03. Rivâyet, sened ve otorite alt başlıkları aynı negatif tanım kalıbıyla açılıyor</w:t>
            </w:r>
          </w:p>
        </w:tc>
        <w:tc>
          <w:tcPr>
            <w:tcW w:type="dxa" w:w="1984"/>
            <w:vAlign w:val="top"/>
            <w:tcMar>
              <w:top w:w="70" w:type="dxa"/>
              <w:start w:w="85" w:type="dxa"/>
              <w:bottom w:w="70" w:type="dxa"/>
              <w:end w:w="85" w:type="dxa"/>
            </w:tcMar>
          </w:tcPr>
          <w:p>
            <w:pPr>
              <w:spacing w:after="0"/>
            </w:pPr>
            <w:r>
              <w:rPr>
                <w:sz w:val="14"/>
              </w:rPr>
              <w:t>2.2.1, 2.2.2 ve 2.2.3 açılışları</w:t>
            </w:r>
          </w:p>
        </w:tc>
        <w:tc>
          <w:tcPr>
            <w:tcW w:type="dxa" w:w="3515"/>
            <w:vAlign w:val="top"/>
            <w:tcMar>
              <w:top w:w="70" w:type="dxa"/>
              <w:start w:w="85" w:type="dxa"/>
              <w:bottom w:w="70" w:type="dxa"/>
              <w:end w:w="85" w:type="dxa"/>
            </w:tcMar>
          </w:tcPr>
          <w:p>
            <w:pPr>
              <w:spacing w:after="0"/>
            </w:pPr>
            <w:r>
              <w:rPr>
                <w:sz w:val="14"/>
              </w:rPr>
              <w:t>Her alt başlığı kendi işlevinden başlat: rivâyet = nakledilen okuyuş ve aktarım eylemi; sened = aktarım zinciri ve doğrulama; otorite = öğretim/kabul ağı.</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B2-AK-04. Rivâyet ve sened paragrafları işlev bakımından yer yer birbirinin kopyasına dönüşüyor</w:t>
            </w:r>
          </w:p>
        </w:tc>
        <w:tc>
          <w:tcPr>
            <w:tcW w:type="dxa" w:w="1984"/>
            <w:vAlign w:val="top"/>
            <w:tcMar>
              <w:top w:w="70" w:type="dxa"/>
              <w:start w:w="85" w:type="dxa"/>
              <w:bottom w:w="70" w:type="dxa"/>
              <w:end w:w="85" w:type="dxa"/>
            </w:tcMar>
          </w:tcPr>
          <w:p>
            <w:pPr>
              <w:spacing w:after="0"/>
            </w:pPr>
            <w:r>
              <w:rPr>
                <w:sz w:val="14"/>
              </w:rPr>
              <w:t>2.2.1–2.2.2</w:t>
            </w:r>
          </w:p>
        </w:tc>
        <w:tc>
          <w:tcPr>
            <w:tcW w:type="dxa" w:w="3515"/>
            <w:vAlign w:val="top"/>
            <w:tcMar>
              <w:top w:w="70" w:type="dxa"/>
              <w:start w:w="85" w:type="dxa"/>
              <w:bottom w:w="70" w:type="dxa"/>
              <w:end w:w="85" w:type="dxa"/>
            </w:tcMar>
          </w:tcPr>
          <w:p>
            <w:pPr>
              <w:spacing w:after="0"/>
            </w:pPr>
            <w:r>
              <w:rPr>
                <w:sz w:val="14"/>
              </w:rPr>
              <w:t>Rivâyette “neyin nasıl aktarıldığı”, senedde “bu aktarımın kimler üzerinden doğrulandığı” ayrımını koru.</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B2-AK-05. 2.3 yedi harf malzemesini Birinci Bölümden fazla ölçüde yeniden anlatıyor</w:t>
            </w:r>
          </w:p>
        </w:tc>
        <w:tc>
          <w:tcPr>
            <w:tcW w:type="dxa" w:w="1984"/>
            <w:vAlign w:val="top"/>
            <w:tcMar>
              <w:top w:w="70" w:type="dxa"/>
              <w:start w:w="85" w:type="dxa"/>
              <w:bottom w:w="70" w:type="dxa"/>
              <w:end w:w="85" w:type="dxa"/>
            </w:tcMar>
          </w:tcPr>
          <w:p>
            <w:pPr>
              <w:spacing w:after="0"/>
            </w:pPr>
            <w:r>
              <w:rPr>
                <w:sz w:val="14"/>
              </w:rPr>
              <w:t>2.3, özellikle ilk paragraflar</w:t>
            </w:r>
          </w:p>
        </w:tc>
        <w:tc>
          <w:tcPr>
            <w:tcW w:type="dxa" w:w="3515"/>
            <w:vAlign w:val="top"/>
            <w:tcMar>
              <w:top w:w="70" w:type="dxa"/>
              <w:start w:w="85" w:type="dxa"/>
              <w:bottom w:w="70" w:type="dxa"/>
              <w:end w:w="85" w:type="dxa"/>
            </w:tcMar>
          </w:tcPr>
          <w:p>
            <w:pPr>
              <w:spacing w:after="0"/>
            </w:pPr>
            <w:r>
              <w:rPr>
                <w:sz w:val="14"/>
              </w:rPr>
              <w:t>Tarihsel arka planı iki-üç cümlelik hatırlatmaya indir; ağırlığı yedi harf–resm ilişkisi hakkındaki görüş ayrılıklarına ver.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B2-AK-06. 2.3’ün “Sonuç olarak” paragrafı uzun özet yerine 2.4’e köprü olmalı</w:t>
            </w:r>
          </w:p>
        </w:tc>
        <w:tc>
          <w:tcPr>
            <w:tcW w:type="dxa" w:w="1984"/>
            <w:vAlign w:val="top"/>
            <w:tcMar>
              <w:top w:w="70" w:type="dxa"/>
              <w:start w:w="85" w:type="dxa"/>
              <w:bottom w:w="70" w:type="dxa"/>
              <w:end w:w="85" w:type="dxa"/>
            </w:tcMar>
          </w:tcPr>
          <w:p>
            <w:pPr>
              <w:spacing w:after="0"/>
            </w:pPr>
            <w:r>
              <w:rPr>
                <w:sz w:val="14"/>
              </w:rPr>
              <w:t>2.3 son paragraf, 260</w:t>
            </w:r>
          </w:p>
        </w:tc>
        <w:tc>
          <w:tcPr>
            <w:tcW w:type="dxa" w:w="3515"/>
            <w:vAlign w:val="top"/>
            <w:tcMar>
              <w:top w:w="70" w:type="dxa"/>
              <w:start w:w="85" w:type="dxa"/>
              <w:bottom w:w="70" w:type="dxa"/>
              <w:end w:w="85" w:type="dxa"/>
            </w:tcMar>
          </w:tcPr>
          <w:p>
            <w:pPr>
              <w:spacing w:after="0"/>
            </w:pPr>
            <w:r>
              <w:rPr>
                <w:sz w:val="14"/>
              </w:rPr>
              <w:t>Özeti kısalt ve 2.4’ün sorusuna bağla.</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B2-AK-07. 2.4 art arda “etki/sonuç” cümleleriyle mekanikleşiyor</w:t>
            </w:r>
          </w:p>
        </w:tc>
        <w:tc>
          <w:tcPr>
            <w:tcW w:type="dxa" w:w="1984"/>
            <w:vAlign w:val="top"/>
            <w:tcMar>
              <w:top w:w="70" w:type="dxa"/>
              <w:start w:w="85" w:type="dxa"/>
              <w:bottom w:w="70" w:type="dxa"/>
              <w:end w:w="85" w:type="dxa"/>
            </w:tcMar>
          </w:tcPr>
          <w:p>
            <w:pPr>
              <w:spacing w:after="0"/>
            </w:pPr>
            <w:r>
              <w:rPr>
                <w:sz w:val="14"/>
              </w:rPr>
              <w:t>2.4, 262–273</w:t>
            </w:r>
          </w:p>
        </w:tc>
        <w:tc>
          <w:tcPr>
            <w:tcW w:type="dxa" w:w="3515"/>
            <w:vAlign w:val="top"/>
            <w:tcMar>
              <w:top w:w="70" w:type="dxa"/>
              <w:start w:w="85" w:type="dxa"/>
              <w:bottom w:w="70" w:type="dxa"/>
              <w:end w:w="85" w:type="dxa"/>
            </w:tcMar>
          </w:tcPr>
          <w:p>
            <w:pPr>
              <w:spacing w:after="0"/>
            </w:pPr>
            <w:r>
              <w:rPr>
                <w:sz w:val="14"/>
              </w:rPr>
              <w:t>Her paragrafta bir sonuç cümlesi zorunluluğunu kaldır; olgu ve sonucu aynı cümlede ölçülü bağla. Son paragrafı 3. bölüme köprü yap.</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B2-AK-08. İkinci Bölümden Üçüncü Bölüme düşünsel köprü zayıf</w:t>
            </w:r>
          </w:p>
        </w:tc>
        <w:tc>
          <w:tcPr>
            <w:tcW w:type="dxa" w:w="1984"/>
            <w:vAlign w:val="top"/>
            <w:tcMar>
              <w:top w:w="70" w:type="dxa"/>
              <w:start w:w="85" w:type="dxa"/>
              <w:bottom w:w="70" w:type="dxa"/>
              <w:end w:w="85" w:type="dxa"/>
            </w:tcMar>
          </w:tcPr>
          <w:p>
            <w:pPr>
              <w:spacing w:after="0"/>
            </w:pPr>
            <w:r>
              <w:rPr>
                <w:sz w:val="14"/>
              </w:rPr>
              <w:t>2.4 sonu → 3.1 başlangıcı</w:t>
            </w:r>
          </w:p>
        </w:tc>
        <w:tc>
          <w:tcPr>
            <w:tcW w:type="dxa" w:w="3515"/>
            <w:vAlign w:val="top"/>
            <w:tcMar>
              <w:top w:w="70" w:type="dxa"/>
              <w:start w:w="85" w:type="dxa"/>
              <w:bottom w:w="70" w:type="dxa"/>
              <w:end w:w="85" w:type="dxa"/>
            </w:tcMar>
          </w:tcPr>
          <w:p>
            <w:pPr>
              <w:spacing w:after="0"/>
            </w:pPr>
            <w:r>
              <w:rPr>
                <w:sz w:val="14"/>
              </w:rPr>
              <w:t>273’ün sonunu 3. bölümün somut inceleme işlevine bağla.</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B3-AK-01. 3.1 önceki bölümlere meta-gönderme yaparak başlıyor ve aynı giriş iki kez kuruluyor</w:t>
            </w:r>
          </w:p>
        </w:tc>
        <w:tc>
          <w:tcPr>
            <w:tcW w:type="dxa" w:w="1984"/>
            <w:vAlign w:val="top"/>
            <w:tcMar>
              <w:top w:w="70" w:type="dxa"/>
              <w:start w:w="85" w:type="dxa"/>
              <w:bottom w:w="70" w:type="dxa"/>
              <w:end w:w="85" w:type="dxa"/>
            </w:tcMar>
          </w:tcPr>
          <w:p>
            <w:pPr>
              <w:spacing w:after="0"/>
            </w:pPr>
            <w:r>
              <w:rPr>
                <w:sz w:val="14"/>
              </w:rPr>
              <w:t>3.1, 281–282</w:t>
            </w:r>
          </w:p>
        </w:tc>
        <w:tc>
          <w:tcPr>
            <w:tcW w:type="dxa" w:w="3515"/>
            <w:vAlign w:val="top"/>
            <w:tcMar>
              <w:top w:w="70" w:type="dxa"/>
              <w:start w:w="85" w:type="dxa"/>
              <w:bottom w:w="70" w:type="dxa"/>
              <w:end w:w="85" w:type="dxa"/>
            </w:tcMar>
          </w:tcPr>
          <w:p>
            <w:pPr>
              <w:spacing w:after="0"/>
            </w:pPr>
            <w:r>
              <w:rPr>
                <w:sz w:val="14"/>
              </w:rPr>
              <w:t>Meta-göndermeyi kaldır; iki paragrafı birleştir.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B3-AK-02. 3.2 üç paragrafta aynı “dil hafızası / yalnız yazı değil” sonucunu tekrar ediyor</w:t>
            </w:r>
          </w:p>
        </w:tc>
        <w:tc>
          <w:tcPr>
            <w:tcW w:type="dxa" w:w="1984"/>
            <w:vAlign w:val="top"/>
            <w:tcMar>
              <w:top w:w="70" w:type="dxa"/>
              <w:start w:w="85" w:type="dxa"/>
              <w:bottom w:w="70" w:type="dxa"/>
              <w:end w:w="85" w:type="dxa"/>
            </w:tcMar>
          </w:tcPr>
          <w:p>
            <w:pPr>
              <w:spacing w:after="0"/>
            </w:pPr>
            <w:r>
              <w:rPr>
                <w:sz w:val="14"/>
              </w:rPr>
              <w:t>3.2, 287–289</w:t>
            </w:r>
          </w:p>
        </w:tc>
        <w:tc>
          <w:tcPr>
            <w:tcW w:type="dxa" w:w="3515"/>
            <w:vAlign w:val="top"/>
            <w:tcMar>
              <w:top w:w="70" w:type="dxa"/>
              <w:start w:w="85" w:type="dxa"/>
              <w:bottom w:w="70" w:type="dxa"/>
              <w:end w:w="85" w:type="dxa"/>
            </w:tcMar>
          </w:tcPr>
          <w:p>
            <w:pPr>
              <w:spacing w:after="0"/>
            </w:pPr>
            <w:r>
              <w:rPr>
                <w:sz w:val="14"/>
              </w:rPr>
              <w:t>287 giriş, 288 örnek, 289 tek ihtiyatlı değerlendirme olacak şekilde kısalt.</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B3-AK-03. 3.3’ün son kısmı fonetik/hareke tartışmasından mana-hikmet alanına kayıyor</w:t>
            </w:r>
          </w:p>
        </w:tc>
        <w:tc>
          <w:tcPr>
            <w:tcW w:type="dxa" w:w="1984"/>
            <w:vAlign w:val="top"/>
            <w:tcMar>
              <w:top w:w="70" w:type="dxa"/>
              <w:start w:w="85" w:type="dxa"/>
              <w:bottom w:w="70" w:type="dxa"/>
              <w:end w:w="85" w:type="dxa"/>
            </w:tcMar>
          </w:tcPr>
          <w:p>
            <w:pPr>
              <w:spacing w:after="0"/>
            </w:pPr>
            <w:r>
              <w:rPr>
                <w:sz w:val="14"/>
              </w:rPr>
              <w:t>3.3 sonu → 3.4</w:t>
            </w:r>
          </w:p>
        </w:tc>
        <w:tc>
          <w:tcPr>
            <w:tcW w:type="dxa" w:w="3515"/>
            <w:vAlign w:val="top"/>
            <w:tcMar>
              <w:top w:w="70" w:type="dxa"/>
              <w:start w:w="85" w:type="dxa"/>
              <w:bottom w:w="70" w:type="dxa"/>
              <w:end w:w="85" w:type="dxa"/>
            </w:tcMar>
          </w:tcPr>
          <w:p>
            <w:pPr>
              <w:spacing w:after="0"/>
            </w:pPr>
            <w:r>
              <w:rPr>
                <w:sz w:val="14"/>
              </w:rPr>
              <w:t>Mana ağırlıklı kısmı 3.4’e taşı; 3.3’ü yazı–ses/hareke ilişkisiyle kapat.</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B3-AK-04. 3.4’te genel sonuç, örnek dizisi tamamlanmadan geliyor</w:t>
            </w:r>
          </w:p>
        </w:tc>
        <w:tc>
          <w:tcPr>
            <w:tcW w:type="dxa" w:w="1984"/>
            <w:vAlign w:val="top"/>
            <w:tcMar>
              <w:top w:w="70" w:type="dxa"/>
              <w:start w:w="85" w:type="dxa"/>
              <w:bottom w:w="70" w:type="dxa"/>
              <w:end w:w="85" w:type="dxa"/>
            </w:tcMar>
          </w:tcPr>
          <w:p>
            <w:pPr>
              <w:spacing w:after="0"/>
            </w:pPr>
            <w:r>
              <w:rPr>
                <w:sz w:val="14"/>
              </w:rPr>
              <w:t>3.4, 299–305; özellikle 303</w:t>
            </w:r>
          </w:p>
        </w:tc>
        <w:tc>
          <w:tcPr>
            <w:tcW w:type="dxa" w:w="3515"/>
            <w:vAlign w:val="top"/>
            <w:tcMar>
              <w:top w:w="70" w:type="dxa"/>
              <w:start w:w="85" w:type="dxa"/>
              <w:bottom w:w="70" w:type="dxa"/>
              <w:end w:w="85" w:type="dxa"/>
            </w:tcMar>
          </w:tcPr>
          <w:p>
            <w:pPr>
              <w:spacing w:after="0"/>
            </w:pPr>
            <w:r>
              <w:rPr>
                <w:sz w:val="14"/>
              </w:rPr>
              <w:t>303’ü sona taşı veya kaldır; önce bütün örnekleri ver, sonra tek sınırlı sentez yap.</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B3-AK-05. 3.5 iki ardışık sonuç paragrafıyla kapanıyor</w:t>
            </w:r>
          </w:p>
        </w:tc>
        <w:tc>
          <w:tcPr>
            <w:tcW w:type="dxa" w:w="1984"/>
            <w:vAlign w:val="top"/>
            <w:tcMar>
              <w:top w:w="70" w:type="dxa"/>
              <w:start w:w="85" w:type="dxa"/>
              <w:bottom w:w="70" w:type="dxa"/>
              <w:end w:w="85" w:type="dxa"/>
            </w:tcMar>
          </w:tcPr>
          <w:p>
            <w:pPr>
              <w:spacing w:after="0"/>
            </w:pPr>
            <w:r>
              <w:rPr>
                <w:sz w:val="14"/>
              </w:rPr>
              <w:t>3.5, 310–311</w:t>
            </w:r>
          </w:p>
        </w:tc>
        <w:tc>
          <w:tcPr>
            <w:tcW w:type="dxa" w:w="3515"/>
            <w:vAlign w:val="top"/>
            <w:tcMar>
              <w:top w:w="70" w:type="dxa"/>
              <w:start w:w="85" w:type="dxa"/>
              <w:bottom w:w="70" w:type="dxa"/>
              <w:end w:w="85" w:type="dxa"/>
            </w:tcMar>
          </w:tcPr>
          <w:p>
            <w:pPr>
              <w:spacing w:after="0"/>
            </w:pPr>
            <w:r>
              <w:rPr>
                <w:sz w:val="14"/>
              </w:rPr>
              <w:t>Tek sentez bırak; son cümleyi 3.6’ya geçişe dönüştür.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B3-AK-06. 3.6’nın açılış paragrafı üç ayrı tartışmayı tek paragrafta yığıyor</w:t>
            </w:r>
          </w:p>
        </w:tc>
        <w:tc>
          <w:tcPr>
            <w:tcW w:type="dxa" w:w="1984"/>
            <w:vAlign w:val="top"/>
            <w:tcMar>
              <w:top w:w="70" w:type="dxa"/>
              <w:start w:w="85" w:type="dxa"/>
              <w:bottom w:w="70" w:type="dxa"/>
              <w:end w:w="85" w:type="dxa"/>
            </w:tcMar>
          </w:tcPr>
          <w:p>
            <w:pPr>
              <w:spacing w:after="0"/>
            </w:pPr>
            <w:r>
              <w:rPr>
                <w:sz w:val="14"/>
              </w:rPr>
              <w:t>3.6, 313. paragraf</w:t>
            </w:r>
          </w:p>
        </w:tc>
        <w:tc>
          <w:tcPr>
            <w:tcW w:type="dxa" w:w="3515"/>
            <w:vAlign w:val="top"/>
            <w:tcMar>
              <w:top w:w="70" w:type="dxa"/>
              <w:start w:w="85" w:type="dxa"/>
              <w:bottom w:w="70" w:type="dxa"/>
              <w:end w:w="85" w:type="dxa"/>
            </w:tcMar>
          </w:tcPr>
          <w:p>
            <w:pPr>
              <w:spacing w:after="0"/>
            </w:pPr>
            <w:r>
              <w:rPr>
                <w:sz w:val="14"/>
              </w:rPr>
              <w:t>313’ü bağlayıcılık çerçevesiyle sınırlandır; hikmet yorumlarını sonraki paragrafa, eleştirel yaklaşımı ayrı bloğa bırak.</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B3-AK-07. 3.6 bağlayıcılık → hikmet → nahiv → İbn Haldûn → savunmacı cevap → i‘câz şeklinde zikzak çiziyor</w:t>
            </w:r>
          </w:p>
        </w:tc>
        <w:tc>
          <w:tcPr>
            <w:tcW w:type="dxa" w:w="1984"/>
            <w:vAlign w:val="top"/>
            <w:tcMar>
              <w:top w:w="70" w:type="dxa"/>
              <w:start w:w="85" w:type="dxa"/>
              <w:bottom w:w="70" w:type="dxa"/>
              <w:end w:w="85" w:type="dxa"/>
            </w:tcMar>
          </w:tcPr>
          <w:p>
            <w:pPr>
              <w:spacing w:after="0"/>
            </w:pPr>
            <w:r>
              <w:rPr>
                <w:sz w:val="14"/>
              </w:rPr>
              <w:t>3.6, 313–321</w:t>
            </w:r>
          </w:p>
        </w:tc>
        <w:tc>
          <w:tcPr>
            <w:tcW w:type="dxa" w:w="3515"/>
            <w:vAlign w:val="top"/>
            <w:tcMar>
              <w:top w:w="70" w:type="dxa"/>
              <w:start w:w="85" w:type="dxa"/>
              <w:bottom w:w="70" w:type="dxa"/>
              <w:end w:w="85" w:type="dxa"/>
            </w:tcMar>
          </w:tcPr>
          <w:p>
            <w:pPr>
              <w:spacing w:after="0"/>
            </w:pPr>
            <w:r>
              <w:rPr>
                <w:sz w:val="14"/>
              </w:rPr>
              <w:t>İç sıralamayı üç blokta kur: (1) bağlayıcılık görüşleri, (2) hikmet/işaret yorumları, (3) tarihsel-filolojik ve eleştirel açıklamalar; sonunda karşılaştırmalı sentez.</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B3-AK-08. “Üç ana çizgi” cümlesi iki çizgi sayıyor</w:t>
            </w:r>
          </w:p>
        </w:tc>
        <w:tc>
          <w:tcPr>
            <w:tcW w:type="dxa" w:w="1984"/>
            <w:vAlign w:val="top"/>
            <w:tcMar>
              <w:top w:w="70" w:type="dxa"/>
              <w:start w:w="85" w:type="dxa"/>
              <w:bottom w:w="70" w:type="dxa"/>
              <w:end w:w="85" w:type="dxa"/>
            </w:tcMar>
          </w:tcPr>
          <w:p>
            <w:pPr>
              <w:spacing w:after="0"/>
            </w:pPr>
            <w:r>
              <w:rPr>
                <w:sz w:val="14"/>
              </w:rPr>
              <w:t>3.6 son paragraf, 321</w:t>
            </w:r>
          </w:p>
        </w:tc>
        <w:tc>
          <w:tcPr>
            <w:tcW w:type="dxa" w:w="3515"/>
            <w:vAlign w:val="top"/>
            <w:tcMar>
              <w:top w:w="70" w:type="dxa"/>
              <w:start w:w="85" w:type="dxa"/>
              <w:bottom w:w="70" w:type="dxa"/>
              <w:end w:w="85" w:type="dxa"/>
            </w:tcMar>
          </w:tcPr>
          <w:p>
            <w:pPr>
              <w:spacing w:after="0"/>
            </w:pPr>
            <w:r>
              <w:rPr>
                <w:sz w:val="14"/>
              </w:rPr>
              <w:t>Üç yaklaşımı açık ve paralel biçimde say.</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B3-AK-09. 3.7’nin sonundaki “üç görüş” tartışması içerik bakımından 3.6’ya ait</w:t>
            </w:r>
          </w:p>
        </w:tc>
        <w:tc>
          <w:tcPr>
            <w:tcW w:type="dxa" w:w="1984"/>
            <w:vAlign w:val="top"/>
            <w:tcMar>
              <w:top w:w="70" w:type="dxa"/>
              <w:start w:w="85" w:type="dxa"/>
              <w:bottom w:w="70" w:type="dxa"/>
              <w:end w:w="85" w:type="dxa"/>
            </w:tcMar>
          </w:tcPr>
          <w:p>
            <w:pPr>
              <w:spacing w:after="0"/>
            </w:pPr>
            <w:r>
              <w:rPr>
                <w:sz w:val="14"/>
              </w:rPr>
              <w:t>3.7, 327–330</w:t>
            </w:r>
          </w:p>
        </w:tc>
        <w:tc>
          <w:tcPr>
            <w:tcW w:type="dxa" w:w="3515"/>
            <w:vAlign w:val="top"/>
            <w:tcMar>
              <w:top w:w="70" w:type="dxa"/>
              <w:start w:w="85" w:type="dxa"/>
              <w:bottom w:w="70" w:type="dxa"/>
              <w:end w:w="85" w:type="dxa"/>
            </w:tcMar>
          </w:tcPr>
          <w:p>
            <w:pPr>
              <w:spacing w:after="0"/>
            </w:pPr>
            <w:r>
              <w:rPr>
                <w:sz w:val="14"/>
              </w:rPr>
              <w:t>327–330’u 3.6’ya taşı; 3.7’yi metin güvenliği ve yazım sürekliliği gerekçesiyle sınırlı tut.</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B3-AK-10. 3.7’de aynı “değişken modern imlâ → risk → ittiba” argümanı birkaç paragrafta yeniden kuruluyor</w:t>
            </w:r>
          </w:p>
        </w:tc>
        <w:tc>
          <w:tcPr>
            <w:tcW w:type="dxa" w:w="1984"/>
            <w:vAlign w:val="top"/>
            <w:tcMar>
              <w:top w:w="70" w:type="dxa"/>
              <w:start w:w="85" w:type="dxa"/>
              <w:bottom w:w="70" w:type="dxa"/>
              <w:end w:w="85" w:type="dxa"/>
            </w:tcMar>
          </w:tcPr>
          <w:p>
            <w:pPr>
              <w:spacing w:after="0"/>
            </w:pPr>
            <w:r>
              <w:rPr>
                <w:sz w:val="14"/>
              </w:rPr>
              <w:t>3.7, 323–326</w:t>
            </w:r>
          </w:p>
        </w:tc>
        <w:tc>
          <w:tcPr>
            <w:tcW w:type="dxa" w:w="3515"/>
            <w:vAlign w:val="top"/>
            <w:tcMar>
              <w:top w:w="70" w:type="dxa"/>
              <w:start w:w="85" w:type="dxa"/>
              <w:bottom w:w="70" w:type="dxa"/>
              <w:end w:w="85" w:type="dxa"/>
            </w:tcMar>
          </w:tcPr>
          <w:p>
            <w:pPr>
              <w:spacing w:after="0"/>
            </w:pPr>
            <w:r>
              <w:rPr>
                <w:sz w:val="14"/>
              </w:rPr>
              <w:t>Her paragrafa tek işlev ver; nihai sonucu yalnız bir kez söyle.</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B3-AK-11. 3.8–3.10 aynı normatif faydayı farklı başlıklarla yeniden kuruyor</w:t>
            </w:r>
          </w:p>
        </w:tc>
        <w:tc>
          <w:tcPr>
            <w:tcW w:type="dxa" w:w="1984"/>
            <w:vAlign w:val="top"/>
            <w:tcMar>
              <w:top w:w="70" w:type="dxa"/>
              <w:start w:w="85" w:type="dxa"/>
              <w:bottom w:w="70" w:type="dxa"/>
              <w:end w:w="85" w:type="dxa"/>
            </w:tcMar>
          </w:tcPr>
          <w:p>
            <w:pPr>
              <w:spacing w:after="0"/>
            </w:pPr>
            <w:r>
              <w:rPr>
                <w:sz w:val="14"/>
              </w:rPr>
              <w:t>3.8–3.10, s.74–80</w:t>
            </w:r>
          </w:p>
        </w:tc>
        <w:tc>
          <w:tcPr>
            <w:tcW w:type="dxa" w:w="3515"/>
            <w:vAlign w:val="top"/>
            <w:tcMar>
              <w:top w:w="70" w:type="dxa"/>
              <w:start w:w="85" w:type="dxa"/>
              <w:bottom w:w="70" w:type="dxa"/>
              <w:end w:w="85" w:type="dxa"/>
            </w:tcMar>
          </w:tcPr>
          <w:p>
            <w:pPr>
              <w:spacing w:after="0"/>
            </w:pPr>
            <w:r>
              <w:rPr>
                <w:sz w:val="14"/>
              </w:rPr>
              <w:t>Her başlığın tek sorusunu belirle veya 3.7–3.12’yi önceki raporda önerildiği gibi daha az sayıda üst başlıkta birleştir.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B3-AK-12. 3.10’da resme fail rolü veren ve aynı sonucu tekrarlayan kapanışlar yoğunlaşıyor</w:t>
            </w:r>
          </w:p>
        </w:tc>
        <w:tc>
          <w:tcPr>
            <w:tcW w:type="dxa" w:w="1984"/>
            <w:vAlign w:val="top"/>
            <w:tcMar>
              <w:top w:w="70" w:type="dxa"/>
              <w:start w:w="85" w:type="dxa"/>
              <w:bottom w:w="70" w:type="dxa"/>
              <w:end w:w="85" w:type="dxa"/>
            </w:tcMar>
          </w:tcPr>
          <w:p>
            <w:pPr>
              <w:spacing w:after="0"/>
            </w:pPr>
            <w:r>
              <w:rPr>
                <w:sz w:val="14"/>
              </w:rPr>
              <w:t>3.10, s.77–80; 345–350</w:t>
            </w:r>
          </w:p>
        </w:tc>
        <w:tc>
          <w:tcPr>
            <w:tcW w:type="dxa" w:w="3515"/>
            <w:vAlign w:val="top"/>
            <w:tcMar>
              <w:top w:w="70" w:type="dxa"/>
              <w:start w:w="85" w:type="dxa"/>
              <w:bottom w:w="70" w:type="dxa"/>
              <w:end w:w="85" w:type="dxa"/>
            </w:tcMar>
          </w:tcPr>
          <w:p>
            <w:pPr>
              <w:spacing w:after="0"/>
            </w:pPr>
            <w:r>
              <w:rPr>
                <w:sz w:val="14"/>
              </w:rPr>
              <w:t>Resmi özneleştiren sonuçları çıkar; yazının sınırlı fonetik gösterimi ile sözlü öğretim ihtiyacı arasındaki ilişkiyi bir kez kur.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B3-AK-13. 3.11 başlık kapsamı ile paragraf ağırlığı arasında dengesizlik var; son iki paragraf çift sonuç oluşturuyor</w:t>
            </w:r>
          </w:p>
        </w:tc>
        <w:tc>
          <w:tcPr>
            <w:tcW w:type="dxa" w:w="1984"/>
            <w:vAlign w:val="top"/>
            <w:tcMar>
              <w:top w:w="70" w:type="dxa"/>
              <w:start w:w="85" w:type="dxa"/>
              <w:bottom w:w="70" w:type="dxa"/>
              <w:end w:w="85" w:type="dxa"/>
            </w:tcMar>
          </w:tcPr>
          <w:p>
            <w:pPr>
              <w:spacing w:after="0"/>
            </w:pPr>
            <w:r>
              <w:rPr>
                <w:sz w:val="14"/>
              </w:rPr>
              <w:t>3.11, s.80–83; 351–368</w:t>
            </w:r>
          </w:p>
        </w:tc>
        <w:tc>
          <w:tcPr>
            <w:tcW w:type="dxa" w:w="3515"/>
            <w:vAlign w:val="top"/>
            <w:tcMar>
              <w:top w:w="70" w:type="dxa"/>
              <w:start w:w="85" w:type="dxa"/>
              <w:bottom w:w="70" w:type="dxa"/>
              <w:end w:w="85" w:type="dxa"/>
            </w:tcMar>
          </w:tcPr>
          <w:p>
            <w:pPr>
              <w:spacing w:after="0"/>
            </w:pPr>
            <w:r>
              <w:rPr>
                <w:sz w:val="14"/>
              </w:rPr>
              <w:t>Tarihsel örnekleri kısalt; koruma gerekçelerini merkeze al; 367–368’i tek sonuçta birleştir.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B3-AK-14. 3.12’nin son üç paragrafı ardışık sentezler hâline geliyor</w:t>
            </w:r>
          </w:p>
        </w:tc>
        <w:tc>
          <w:tcPr>
            <w:tcW w:type="dxa" w:w="1984"/>
            <w:vAlign w:val="top"/>
            <w:tcMar>
              <w:top w:w="70" w:type="dxa"/>
              <w:start w:w="85" w:type="dxa"/>
              <w:bottom w:w="70" w:type="dxa"/>
              <w:end w:w="85" w:type="dxa"/>
            </w:tcMar>
          </w:tcPr>
          <w:p>
            <w:pPr>
              <w:spacing w:after="0"/>
            </w:pPr>
            <w:r>
              <w:rPr>
                <w:sz w:val="14"/>
              </w:rPr>
              <w:t>3.12, s.83–86; 375–377</w:t>
            </w:r>
          </w:p>
        </w:tc>
        <w:tc>
          <w:tcPr>
            <w:tcW w:type="dxa" w:w="3515"/>
            <w:vAlign w:val="top"/>
            <w:tcMar>
              <w:top w:w="70" w:type="dxa"/>
              <w:start w:w="85" w:type="dxa"/>
              <w:bottom w:w="70" w:type="dxa"/>
              <w:end w:w="85" w:type="dxa"/>
            </w:tcMar>
          </w:tcPr>
          <w:p>
            <w:pPr>
              <w:spacing w:after="0"/>
            </w:pPr>
            <w:r>
              <w:rPr>
                <w:sz w:val="14"/>
              </w:rPr>
              <w:t>Üç paragrafı tek sentez ve tek bölüm köprüsünde birleştir.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B3-AK-15. Üçüncü Bölümden Dördüncü Bölüme ana probleme dönüş açıkça kurulmamış</w:t>
            </w:r>
          </w:p>
        </w:tc>
        <w:tc>
          <w:tcPr>
            <w:tcW w:type="dxa" w:w="1984"/>
            <w:vAlign w:val="top"/>
            <w:tcMar>
              <w:top w:w="70" w:type="dxa"/>
              <w:start w:w="85" w:type="dxa"/>
              <w:bottom w:w="70" w:type="dxa"/>
              <w:end w:w="85" w:type="dxa"/>
            </w:tcMar>
          </w:tcPr>
          <w:p>
            <w:pPr>
              <w:spacing w:after="0"/>
            </w:pPr>
            <w:r>
              <w:rPr>
                <w:sz w:val="14"/>
              </w:rPr>
              <w:t>3.12 sonu → 4.1</w:t>
            </w:r>
          </w:p>
        </w:tc>
        <w:tc>
          <w:tcPr>
            <w:tcW w:type="dxa" w:w="3515"/>
            <w:vAlign w:val="top"/>
            <w:tcMar>
              <w:top w:w="70" w:type="dxa"/>
              <w:start w:w="85" w:type="dxa"/>
              <w:bottom w:w="70" w:type="dxa"/>
              <w:end w:w="85" w:type="dxa"/>
            </w:tcMar>
          </w:tcPr>
          <w:p>
            <w:pPr>
              <w:spacing w:after="0"/>
            </w:pPr>
            <w:r>
              <w:rPr>
                <w:sz w:val="14"/>
              </w:rPr>
              <w:t>3.12’nin son cümlesini Dördüncü Bölümün uygulama sorusuna bağla.</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B4-AK-01. 4.1 aynı ana tezi art arda birkaç paragrafta yeniden kuruyor</w:t>
            </w:r>
          </w:p>
        </w:tc>
        <w:tc>
          <w:tcPr>
            <w:tcW w:type="dxa" w:w="1984"/>
            <w:vAlign w:val="top"/>
            <w:tcMar>
              <w:top w:w="70" w:type="dxa"/>
              <w:start w:w="85" w:type="dxa"/>
              <w:bottom w:w="70" w:type="dxa"/>
              <w:end w:w="85" w:type="dxa"/>
            </w:tcMar>
          </w:tcPr>
          <w:p>
            <w:pPr>
              <w:spacing w:after="0"/>
            </w:pPr>
            <w:r>
              <w:rPr>
                <w:sz w:val="14"/>
              </w:rPr>
              <w:t>4.1, 384–393</w:t>
            </w:r>
          </w:p>
        </w:tc>
        <w:tc>
          <w:tcPr>
            <w:tcW w:type="dxa" w:w="3515"/>
            <w:vAlign w:val="top"/>
            <w:tcMar>
              <w:top w:w="70" w:type="dxa"/>
              <w:start w:w="85" w:type="dxa"/>
              <w:bottom w:w="70" w:type="dxa"/>
              <w:end w:w="85" w:type="dxa"/>
            </w:tcMar>
          </w:tcPr>
          <w:p>
            <w:pPr>
              <w:spacing w:after="0"/>
            </w:pPr>
            <w:r>
              <w:rPr>
                <w:sz w:val="14"/>
              </w:rPr>
              <w:t>384’te ana ilkeyi bir kez açık kur; sonraki paragrafları somut işlevlere ayır: yazılı eşik, bölgesel mushaf–mukrî ilişkisi, sınırlandırma, sentez.</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B4-AK-02. 4.1’den 4.2’ye sahâbe mushaflarına geçiş hazırlanabilir</w:t>
            </w:r>
          </w:p>
        </w:tc>
        <w:tc>
          <w:tcPr>
            <w:tcW w:type="dxa" w:w="1984"/>
            <w:vAlign w:val="top"/>
            <w:tcMar>
              <w:top w:w="70" w:type="dxa"/>
              <w:start w:w="85" w:type="dxa"/>
              <w:bottom w:w="70" w:type="dxa"/>
              <w:end w:w="85" w:type="dxa"/>
            </w:tcMar>
          </w:tcPr>
          <w:p>
            <w:pPr>
              <w:spacing w:after="0"/>
            </w:pPr>
            <w:r>
              <w:rPr>
                <w:sz w:val="14"/>
              </w:rPr>
              <w:t>4.1 sonu → 4.2</w:t>
            </w:r>
          </w:p>
        </w:tc>
        <w:tc>
          <w:tcPr>
            <w:tcW w:type="dxa" w:w="3515"/>
            <w:vAlign w:val="top"/>
            <w:tcMar>
              <w:top w:w="70" w:type="dxa"/>
              <w:start w:w="85" w:type="dxa"/>
              <w:bottom w:w="70" w:type="dxa"/>
              <w:end w:w="85" w:type="dxa"/>
            </w:tcMar>
          </w:tcPr>
          <w:p>
            <w:pPr>
              <w:spacing w:after="0"/>
            </w:pPr>
            <w:r>
              <w:rPr>
                <w:sz w:val="14"/>
              </w:rPr>
              <w:t>4.1’in son cümlesini sahâbe mushaflarının tarihsel tanıklığı ile ortak normatif otorite ayrımına bağla.</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B4-AK-03. 4.2’de “tarihsel tanıklık var, normatif otorite yok” ayrımı birkaç kez yeniden kuruluyor</w:t>
            </w:r>
          </w:p>
        </w:tc>
        <w:tc>
          <w:tcPr>
            <w:tcW w:type="dxa" w:w="1984"/>
            <w:vAlign w:val="top"/>
            <w:tcMar>
              <w:top w:w="70" w:type="dxa"/>
              <w:start w:w="85" w:type="dxa"/>
              <w:bottom w:w="70" w:type="dxa"/>
              <w:end w:w="85" w:type="dxa"/>
            </w:tcMar>
          </w:tcPr>
          <w:p>
            <w:pPr>
              <w:spacing w:after="0"/>
            </w:pPr>
            <w:r>
              <w:rPr>
                <w:sz w:val="14"/>
              </w:rPr>
              <w:t>4.2, 395–401</w:t>
            </w:r>
          </w:p>
        </w:tc>
        <w:tc>
          <w:tcPr>
            <w:tcW w:type="dxa" w:w="3515"/>
            <w:vAlign w:val="top"/>
            <w:tcMar>
              <w:top w:w="70" w:type="dxa"/>
              <w:start w:w="85" w:type="dxa"/>
              <w:bottom w:w="70" w:type="dxa"/>
              <w:end w:w="85" w:type="dxa"/>
            </w:tcMar>
          </w:tcPr>
          <w:p>
            <w:pPr>
              <w:spacing w:after="0"/>
            </w:pPr>
            <w:r>
              <w:rPr>
                <w:sz w:val="14"/>
              </w:rPr>
              <w:t>Temel ayrımı girişte bir kez kur; her örnekte yalnız örneğin bu ayrımın hangi yönünü gösterdiğini belirt.</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B4-AK-04. 4.2’de 401 ve 406 iki ayrı genel sonuç oluşturuyor</w:t>
            </w:r>
          </w:p>
        </w:tc>
        <w:tc>
          <w:tcPr>
            <w:tcW w:type="dxa" w:w="1984"/>
            <w:vAlign w:val="top"/>
            <w:tcMar>
              <w:top w:w="70" w:type="dxa"/>
              <w:start w:w="85" w:type="dxa"/>
              <w:bottom w:w="70" w:type="dxa"/>
              <w:end w:w="85" w:type="dxa"/>
            </w:tcMar>
          </w:tcPr>
          <w:p>
            <w:pPr>
              <w:spacing w:after="0"/>
            </w:pPr>
            <w:r>
              <w:rPr>
                <w:sz w:val="14"/>
              </w:rPr>
              <w:t>4.2; 401 ve 406</w:t>
            </w:r>
          </w:p>
        </w:tc>
        <w:tc>
          <w:tcPr>
            <w:tcW w:type="dxa" w:w="3515"/>
            <w:vAlign w:val="top"/>
            <w:tcMar>
              <w:top w:w="70" w:type="dxa"/>
              <w:start w:w="85" w:type="dxa"/>
              <w:bottom w:w="70" w:type="dxa"/>
              <w:end w:w="85" w:type="dxa"/>
            </w:tcMar>
          </w:tcPr>
          <w:p>
            <w:pPr>
              <w:spacing w:after="0"/>
            </w:pPr>
            <w:r>
              <w:rPr>
                <w:sz w:val="14"/>
              </w:rPr>
              <w:t>401’i ara geçişe dönüştür; 406’yı tarihsel tanıklık/normatif otorite ayrımını sonuçlandıran ölçülü cümleyle değiştir.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B4-AK-05. 4.3 aynı bağlayıcılık sonucunu her örnekten sonra yeniden kuruyor</w:t>
            </w:r>
          </w:p>
        </w:tc>
        <w:tc>
          <w:tcPr>
            <w:tcW w:type="dxa" w:w="1984"/>
            <w:vAlign w:val="top"/>
            <w:tcMar>
              <w:top w:w="70" w:type="dxa"/>
              <w:start w:w="85" w:type="dxa"/>
              <w:bottom w:w="70" w:type="dxa"/>
              <w:end w:w="85" w:type="dxa"/>
            </w:tcMar>
          </w:tcPr>
          <w:p>
            <w:pPr>
              <w:spacing w:after="0"/>
            </w:pPr>
            <w:r>
              <w:rPr>
                <w:sz w:val="14"/>
              </w:rPr>
              <w:t>4.3, 408–415</w:t>
            </w:r>
          </w:p>
        </w:tc>
        <w:tc>
          <w:tcPr>
            <w:tcW w:type="dxa" w:w="3515"/>
            <w:vAlign w:val="top"/>
            <w:tcMar>
              <w:top w:w="70" w:type="dxa"/>
              <w:start w:w="85" w:type="dxa"/>
              <w:bottom w:w="70" w:type="dxa"/>
              <w:end w:w="85" w:type="dxa"/>
            </w:tcMar>
          </w:tcPr>
          <w:p>
            <w:pPr>
              <w:spacing w:after="0"/>
            </w:pPr>
            <w:r>
              <w:rPr>
                <w:sz w:val="14"/>
              </w:rPr>
              <w:t>Örnekleri koru; son cümle tekrarlarını azalt; 415’i kısa ve ihtiyatlı senteze dönüştür.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B4-AK-06. 4.3’ten 4.4’e “kabul”den “tercih/tevcîh/vakıf”a geçiş daha açık kurulmalı</w:t>
            </w:r>
          </w:p>
        </w:tc>
        <w:tc>
          <w:tcPr>
            <w:tcW w:type="dxa" w:w="1984"/>
            <w:vAlign w:val="top"/>
            <w:tcMar>
              <w:top w:w="70" w:type="dxa"/>
              <w:start w:w="85" w:type="dxa"/>
              <w:bottom w:w="70" w:type="dxa"/>
              <w:end w:w="85" w:type="dxa"/>
            </w:tcMar>
          </w:tcPr>
          <w:p>
            <w:pPr>
              <w:spacing w:after="0"/>
            </w:pPr>
            <w:r>
              <w:rPr>
                <w:sz w:val="14"/>
              </w:rPr>
              <w:t>4.3 sonu → 4.4</w:t>
            </w:r>
          </w:p>
        </w:tc>
        <w:tc>
          <w:tcPr>
            <w:tcW w:type="dxa" w:w="3515"/>
            <w:vAlign w:val="top"/>
            <w:tcMar>
              <w:top w:w="70" w:type="dxa"/>
              <w:start w:w="85" w:type="dxa"/>
              <w:bottom w:w="70" w:type="dxa"/>
              <w:end w:w="85" w:type="dxa"/>
            </w:tcMar>
          </w:tcPr>
          <w:p>
            <w:pPr>
              <w:spacing w:after="0"/>
            </w:pPr>
            <w:r>
              <w:rPr>
                <w:sz w:val="14"/>
              </w:rPr>
              <w:t>4.4’ü “kabul eşiğini geçen rivâyetler içinde resm verisinin kullanımı” şeklinde başlat.</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B4-AK-07. 4.4 tercih, tevcîh ve vakıf arasında iç geçiş işaretleri yetersiz</w:t>
            </w:r>
          </w:p>
        </w:tc>
        <w:tc>
          <w:tcPr>
            <w:tcW w:type="dxa" w:w="1984"/>
            <w:vAlign w:val="top"/>
            <w:tcMar>
              <w:top w:w="70" w:type="dxa"/>
              <w:start w:w="85" w:type="dxa"/>
              <w:bottom w:w="70" w:type="dxa"/>
              <w:end w:w="85" w:type="dxa"/>
            </w:tcMar>
          </w:tcPr>
          <w:p>
            <w:pPr>
              <w:spacing w:after="0"/>
            </w:pPr>
            <w:r>
              <w:rPr>
                <w:sz w:val="14"/>
              </w:rPr>
              <w:t>4.4, 417–429</w:t>
            </w:r>
          </w:p>
        </w:tc>
        <w:tc>
          <w:tcPr>
            <w:tcW w:type="dxa" w:w="3515"/>
            <w:vAlign w:val="top"/>
            <w:tcMar>
              <w:top w:w="70" w:type="dxa"/>
              <w:start w:w="85" w:type="dxa"/>
              <w:bottom w:w="70" w:type="dxa"/>
              <w:end w:w="85" w:type="dxa"/>
            </w:tcMar>
          </w:tcPr>
          <w:p>
            <w:pPr>
              <w:spacing w:after="0"/>
            </w:pPr>
            <w:r>
              <w:rPr>
                <w:sz w:val="14"/>
              </w:rPr>
              <w:t>Yeni numaralı alt başlık şart değil; üç kısa işaret cümlesiyle iç blokları belirginleştir.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B4-AK-08. 4.5’te genel hüküm, üçlü tasniften önce sonuç cümlesi gibi kuruluyor</w:t>
            </w:r>
          </w:p>
        </w:tc>
        <w:tc>
          <w:tcPr>
            <w:tcW w:type="dxa" w:w="1984"/>
            <w:vAlign w:val="top"/>
            <w:tcMar>
              <w:top w:w="70" w:type="dxa"/>
              <w:start w:w="85" w:type="dxa"/>
              <w:bottom w:w="70" w:type="dxa"/>
              <w:end w:w="85" w:type="dxa"/>
            </w:tcMar>
          </w:tcPr>
          <w:p>
            <w:pPr>
              <w:spacing w:after="0"/>
            </w:pPr>
            <w:r>
              <w:rPr>
                <w:sz w:val="14"/>
              </w:rPr>
              <w:t>4.5, 434 → 435–437</w:t>
            </w:r>
          </w:p>
        </w:tc>
        <w:tc>
          <w:tcPr>
            <w:tcW w:type="dxa" w:w="3515"/>
            <w:vAlign w:val="top"/>
            <w:tcMar>
              <w:top w:w="70" w:type="dxa"/>
              <w:start w:w="85" w:type="dxa"/>
              <w:bottom w:w="70" w:type="dxa"/>
              <w:end w:w="85" w:type="dxa"/>
            </w:tcMar>
          </w:tcPr>
          <w:p>
            <w:pPr>
              <w:spacing w:after="0"/>
            </w:pPr>
            <w:r>
              <w:rPr>
                <w:sz w:val="14"/>
              </w:rPr>
              <w:t>434’ü sonuç değil tasnif girişine dönüştür.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B4-AK-09. 4.5 üç örnek türünü verdikten sonra aynı “bilinçli ve işlevsel yapı” sonucuyla fazla geniş kapanıyor</w:t>
            </w:r>
          </w:p>
        </w:tc>
        <w:tc>
          <w:tcPr>
            <w:tcW w:type="dxa" w:w="1984"/>
            <w:vAlign w:val="top"/>
            <w:tcMar>
              <w:top w:w="70" w:type="dxa"/>
              <w:start w:w="85" w:type="dxa"/>
              <w:bottom w:w="70" w:type="dxa"/>
              <w:end w:w="85" w:type="dxa"/>
            </w:tcMar>
          </w:tcPr>
          <w:p>
            <w:pPr>
              <w:spacing w:after="0"/>
            </w:pPr>
            <w:r>
              <w:rPr>
                <w:sz w:val="14"/>
              </w:rPr>
              <w:t>4.5 son paragraf, 438</w:t>
            </w:r>
          </w:p>
        </w:tc>
        <w:tc>
          <w:tcPr>
            <w:tcW w:type="dxa" w:w="3515"/>
            <w:vAlign w:val="top"/>
            <w:tcMar>
              <w:top w:w="70" w:type="dxa"/>
              <w:start w:w="85" w:type="dxa"/>
              <w:bottom w:w="70" w:type="dxa"/>
              <w:end w:w="85" w:type="dxa"/>
            </w:tcMar>
          </w:tcPr>
          <w:p>
            <w:pPr>
              <w:spacing w:after="0"/>
            </w:pPr>
            <w:r>
              <w:rPr>
                <w:sz w:val="14"/>
              </w:rPr>
              <w:t>Kapanışı amaç atfetmeden üç tür ilişkinin ortak sınırını gösteren kısa cümleye indir.</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B4-AK-10. 4.5’ten 4.6’ya erken resm rivâyetlerinden modern neşre zaman sıçraması var</w:t>
            </w:r>
          </w:p>
        </w:tc>
        <w:tc>
          <w:tcPr>
            <w:tcW w:type="dxa" w:w="1984"/>
            <w:vAlign w:val="top"/>
            <w:tcMar>
              <w:top w:w="70" w:type="dxa"/>
              <w:start w:w="85" w:type="dxa"/>
              <w:bottom w:w="70" w:type="dxa"/>
              <w:end w:w="85" w:type="dxa"/>
            </w:tcMar>
          </w:tcPr>
          <w:p>
            <w:pPr>
              <w:spacing w:after="0"/>
            </w:pPr>
            <w:r>
              <w:rPr>
                <w:sz w:val="14"/>
              </w:rPr>
              <w:t>4.5 sonu → 4.6</w:t>
            </w:r>
          </w:p>
        </w:tc>
        <w:tc>
          <w:tcPr>
            <w:tcW w:type="dxa" w:w="3515"/>
            <w:vAlign w:val="top"/>
            <w:tcMar>
              <w:top w:w="70" w:type="dxa"/>
              <w:start w:w="85" w:type="dxa"/>
              <w:bottom w:w="70" w:type="dxa"/>
              <w:end w:w="85" w:type="dxa"/>
            </w:tcMar>
          </w:tcPr>
          <w:p>
            <w:pPr>
              <w:spacing w:after="0"/>
            </w:pPr>
            <w:r>
              <w:rPr>
                <w:sz w:val="14"/>
              </w:rPr>
              <w:t>4.6’nın açılışını tarihsel süreklilik üzerinden kur; “asıl maksat” gibi niyet dilini çıkart.</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B4-AK-11. 4.6’da modern neşrin klasik resme dayanması dört kez sonuçlandırılıyor</w:t>
            </w:r>
          </w:p>
        </w:tc>
        <w:tc>
          <w:tcPr>
            <w:tcW w:type="dxa" w:w="1984"/>
            <w:vAlign w:val="top"/>
            <w:tcMar>
              <w:top w:w="70" w:type="dxa"/>
              <w:start w:w="85" w:type="dxa"/>
              <w:bottom w:w="70" w:type="dxa"/>
              <w:end w:w="85" w:type="dxa"/>
            </w:tcMar>
          </w:tcPr>
          <w:p>
            <w:pPr>
              <w:spacing w:after="0"/>
            </w:pPr>
            <w:r>
              <w:rPr>
                <w:sz w:val="14"/>
              </w:rPr>
              <w:t>4.6, 445–455; özellikle 445, 446, 454, 455</w:t>
            </w:r>
          </w:p>
        </w:tc>
        <w:tc>
          <w:tcPr>
            <w:tcW w:type="dxa" w:w="3515"/>
            <w:vAlign w:val="top"/>
            <w:tcMar>
              <w:top w:w="70" w:type="dxa"/>
              <w:start w:w="85" w:type="dxa"/>
              <w:bottom w:w="70" w:type="dxa"/>
              <w:end w:w="85" w:type="dxa"/>
            </w:tcMar>
          </w:tcPr>
          <w:p>
            <w:pPr>
              <w:spacing w:after="0"/>
            </w:pPr>
            <w:r>
              <w:rPr>
                <w:sz w:val="14"/>
              </w:rPr>
              <w:t>445–446’yı tek geçişe indir; 454–455’i tek final sentezde birleştir.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B4-AK-12. Dânî ve Ebû Dâvud’un modern neşirdeki yeri tekrar tekrar açıklanıyor</w:t>
            </w:r>
          </w:p>
        </w:tc>
        <w:tc>
          <w:tcPr>
            <w:tcW w:type="dxa" w:w="1984"/>
            <w:vAlign w:val="top"/>
            <w:tcMar>
              <w:top w:w="70" w:type="dxa"/>
              <w:start w:w="85" w:type="dxa"/>
              <w:bottom w:w="70" w:type="dxa"/>
              <w:end w:w="85" w:type="dxa"/>
            </w:tcMar>
          </w:tcPr>
          <w:p>
            <w:pPr>
              <w:spacing w:after="0"/>
            </w:pPr>
            <w:r>
              <w:rPr>
                <w:sz w:val="14"/>
              </w:rPr>
              <w:t>4.6, 449–454</w:t>
            </w:r>
          </w:p>
        </w:tc>
        <w:tc>
          <w:tcPr>
            <w:tcW w:type="dxa" w:w="3515"/>
            <w:vAlign w:val="top"/>
            <w:tcMar>
              <w:top w:w="70" w:type="dxa"/>
              <w:start w:w="85" w:type="dxa"/>
              <w:bottom w:w="70" w:type="dxa"/>
              <w:end w:w="85" w:type="dxa"/>
            </w:tcMar>
          </w:tcPr>
          <w:p>
            <w:pPr>
              <w:spacing w:after="0"/>
            </w:pPr>
            <w:r>
              <w:rPr>
                <w:sz w:val="14"/>
              </w:rPr>
              <w:t>449’da iki eseri tanıt; 450–452 yöntem farklarını koru; 453 uygulama; 454’te yalnız tek cümlelik sonuç bırak.</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B4-AK-13. 4.7 gerçek konusuna iki paragraf gecikmeyle başlıyor</w:t>
            </w:r>
          </w:p>
        </w:tc>
        <w:tc>
          <w:tcPr>
            <w:tcW w:type="dxa" w:w="1984"/>
            <w:vAlign w:val="top"/>
            <w:tcMar>
              <w:top w:w="70" w:type="dxa"/>
              <w:start w:w="85" w:type="dxa"/>
              <w:bottom w:w="70" w:type="dxa"/>
              <w:end w:w="85" w:type="dxa"/>
            </w:tcMar>
          </w:tcPr>
          <w:p>
            <w:pPr>
              <w:spacing w:after="0"/>
            </w:pPr>
            <w:r>
              <w:rPr>
                <w:sz w:val="14"/>
              </w:rPr>
              <w:t>4.7 başlangıcı; 457–459</w:t>
            </w:r>
          </w:p>
        </w:tc>
        <w:tc>
          <w:tcPr>
            <w:tcW w:type="dxa" w:w="3515"/>
            <w:vAlign w:val="top"/>
            <w:tcMar>
              <w:top w:w="70" w:type="dxa"/>
              <w:start w:w="85" w:type="dxa"/>
              <w:bottom w:w="70" w:type="dxa"/>
              <w:end w:w="85" w:type="dxa"/>
            </w:tcMar>
          </w:tcPr>
          <w:p>
            <w:pPr>
              <w:spacing w:after="0"/>
            </w:pPr>
            <w:r>
              <w:rPr>
                <w:sz w:val="14"/>
              </w:rPr>
              <w:t>4.7’yi 459 ile başlat; 457–458’i 4.6’ya kısaltarak taşı veya konuya katkısı sınırlıysa çıkar.</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B4-AK-14. 4.7’de genel ilke, erken tercih, matbaa tarihi ve Türkiye örneği arasında mikro-yapı görünmüyor</w:t>
            </w:r>
          </w:p>
        </w:tc>
        <w:tc>
          <w:tcPr>
            <w:tcW w:type="dxa" w:w="1984"/>
            <w:vAlign w:val="top"/>
            <w:tcMar>
              <w:top w:w="70" w:type="dxa"/>
              <w:start w:w="85" w:type="dxa"/>
              <w:bottom w:w="70" w:type="dxa"/>
              <w:end w:w="85" w:type="dxa"/>
            </w:tcMar>
          </w:tcPr>
          <w:p>
            <w:pPr>
              <w:spacing w:after="0"/>
            </w:pPr>
            <w:r>
              <w:rPr>
                <w:sz w:val="14"/>
              </w:rPr>
              <w:t>4.7, 459–475</w:t>
            </w:r>
          </w:p>
        </w:tc>
        <w:tc>
          <w:tcPr>
            <w:tcW w:type="dxa" w:w="3515"/>
            <w:vAlign w:val="top"/>
            <w:tcMar>
              <w:top w:w="70" w:type="dxa"/>
              <w:start w:w="85" w:type="dxa"/>
              <w:bottom w:w="70" w:type="dxa"/>
              <w:end w:w="85" w:type="dxa"/>
            </w:tcMar>
          </w:tcPr>
          <w:p>
            <w:pPr>
              <w:spacing w:after="0"/>
            </w:pPr>
            <w:r>
              <w:rPr>
                <w:sz w:val="14"/>
              </w:rPr>
              <w:t>Numaralı alt başlık açmak zorunlu değil; üç blok arasında kısa geçiş cümleleri kullan.</w:t>
            </w:r>
          </w:p>
        </w:tc>
      </w:tr>
      <w:tr>
        <w:trPr>
          <w:cantSplit/>
        </w:trPr>
        <w:tc>
          <w:tcPr>
            <w:tcW w:type="dxa" w:w="907"/>
            <w:vAlign w:val="top"/>
            <w:tcMar>
              <w:top w:w="70" w:type="dxa"/>
              <w:start w:w="85" w:type="dxa"/>
              <w:bottom w:w="70" w:type="dxa"/>
              <w:end w:w="85" w:type="dxa"/>
            </w:tcMar>
          </w:tcPr>
          <w:p>
            <w:pPr>
              <w:spacing w:after="0"/>
            </w:pPr>
            <w:r>
              <w:rPr>
                <w:sz w:val="14"/>
              </w:rPr>
              <w:t>Yüksek</w:t>
            </w:r>
          </w:p>
        </w:tc>
        <w:tc>
          <w:tcPr>
            <w:tcW w:type="dxa" w:w="3969"/>
            <w:vAlign w:val="top"/>
            <w:tcMar>
              <w:top w:w="70" w:type="dxa"/>
              <w:start w:w="85" w:type="dxa"/>
              <w:bottom w:w="70" w:type="dxa"/>
              <w:end w:w="85" w:type="dxa"/>
            </w:tcMar>
          </w:tcPr>
          <w:p>
            <w:pPr>
              <w:spacing w:after="0"/>
            </w:pPr>
            <w:r>
              <w:rPr>
                <w:sz w:val="14"/>
              </w:rPr>
              <w:t>B4-AK-15. 471. paragraf genel sonuç verip Türkiye alt bloğundan önce bölümü erken kapatıyor</w:t>
            </w:r>
          </w:p>
        </w:tc>
        <w:tc>
          <w:tcPr>
            <w:tcW w:type="dxa" w:w="1984"/>
            <w:vAlign w:val="top"/>
            <w:tcMar>
              <w:top w:w="70" w:type="dxa"/>
              <w:start w:w="85" w:type="dxa"/>
              <w:bottom w:w="70" w:type="dxa"/>
              <w:end w:w="85" w:type="dxa"/>
            </w:tcMar>
          </w:tcPr>
          <w:p>
            <w:pPr>
              <w:spacing w:after="0"/>
            </w:pPr>
            <w:r>
              <w:rPr>
                <w:sz w:val="14"/>
              </w:rPr>
              <w:t>4.7, 471 → 472</w:t>
            </w:r>
          </w:p>
        </w:tc>
        <w:tc>
          <w:tcPr>
            <w:tcW w:type="dxa" w:w="3515"/>
            <w:vAlign w:val="top"/>
            <w:tcMar>
              <w:top w:w="70" w:type="dxa"/>
              <w:start w:w="85" w:type="dxa"/>
              <w:bottom w:w="70" w:type="dxa"/>
              <w:end w:w="85" w:type="dxa"/>
            </w:tcMar>
          </w:tcPr>
          <w:p>
            <w:pPr>
              <w:spacing w:after="0"/>
            </w:pPr>
            <w:r>
              <w:rPr>
                <w:sz w:val="14"/>
              </w:rPr>
              <w:t>471’i sonuçtan Türkiye’ye geçiş paragrafına dönüştür; nihai sentezi 475 sonuna bırak.</w:t>
            </w:r>
          </w:p>
        </w:tc>
      </w:tr>
      <w:tr>
        <w:trPr>
          <w:cantSplit/>
        </w:trPr>
        <w:tc>
          <w:tcPr>
            <w:tcW w:type="dxa" w:w="907"/>
            <w:vAlign w:val="top"/>
            <w:tcMar>
              <w:top w:w="70" w:type="dxa"/>
              <w:start w:w="85" w:type="dxa"/>
              <w:bottom w:w="70" w:type="dxa"/>
              <w:end w:w="85" w:type="dxa"/>
            </w:tcMar>
          </w:tcPr>
          <w:p>
            <w:pPr>
              <w:spacing w:after="0"/>
            </w:pPr>
            <w:r>
              <w:rPr>
                <w:sz w:val="14"/>
              </w:rPr>
              <w:t>Orta</w:t>
            </w:r>
          </w:p>
        </w:tc>
        <w:tc>
          <w:tcPr>
            <w:tcW w:type="dxa" w:w="3969"/>
            <w:vAlign w:val="top"/>
            <w:tcMar>
              <w:top w:w="70" w:type="dxa"/>
              <w:start w:w="85" w:type="dxa"/>
              <w:bottom w:w="70" w:type="dxa"/>
              <w:end w:w="85" w:type="dxa"/>
            </w:tcMar>
          </w:tcPr>
          <w:p>
            <w:pPr>
              <w:spacing w:after="0"/>
            </w:pPr>
            <w:r>
              <w:rPr>
                <w:sz w:val="14"/>
              </w:rPr>
              <w:t>B4-AK-16. 475 hem Türkiye örneğini hem bütün 4.7’yi aynı paragrafta ikinci kez sonuçlandırıyor</w:t>
            </w:r>
          </w:p>
        </w:tc>
        <w:tc>
          <w:tcPr>
            <w:tcW w:type="dxa" w:w="1984"/>
            <w:vAlign w:val="top"/>
            <w:tcMar>
              <w:top w:w="70" w:type="dxa"/>
              <w:start w:w="85" w:type="dxa"/>
              <w:bottom w:w="70" w:type="dxa"/>
              <w:end w:w="85" w:type="dxa"/>
            </w:tcMar>
          </w:tcPr>
          <w:p>
            <w:pPr>
              <w:spacing w:after="0"/>
            </w:pPr>
            <w:r>
              <w:rPr>
                <w:sz w:val="14"/>
              </w:rPr>
              <w:t>4.7 son paragraf, 475</w:t>
            </w:r>
          </w:p>
        </w:tc>
        <w:tc>
          <w:tcPr>
            <w:tcW w:type="dxa" w:w="3515"/>
            <w:vAlign w:val="top"/>
            <w:tcMar>
              <w:top w:w="70" w:type="dxa"/>
              <w:start w:w="85" w:type="dxa"/>
              <w:bottom w:w="70" w:type="dxa"/>
              <w:end w:w="85" w:type="dxa"/>
            </w:tcMar>
          </w:tcPr>
          <w:p>
            <w:pPr>
              <w:spacing w:after="0"/>
            </w:pPr>
            <w:r>
              <w:rPr>
                <w:sz w:val="14"/>
              </w:rPr>
              <w:t>Paragrafı güncel denetim + imlâ tercihi olarak iki düşünceye ayır; tek kısa kapanış bırak.</w:t>
            </w:r>
          </w:p>
        </w:tc>
      </w:tr>
    </w:tbl>
    <w:p>
      <w:pPr>
        <w:pStyle w:val="Heading3"/>
        <w:keepNext/>
      </w:pPr>
      <w:r>
        <w:t>6.1. İkinci rapordaki 26 somut geçiş noktası: kapatma listesi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454"/>
            <w:shd w:fill="D9EAF7"/>
          </w:tcPr>
          <w:p>
            <w:r>
              <w:rPr>
                <w:b/>
                <w:sz w:val="13"/>
              </w:rPr>
              <w:t>No</w:t>
            </w:r>
          </w:p>
        </w:tc>
        <w:tc>
          <w:tcPr>
            <w:tcW w:type="dxa" w:w="1587"/>
            <w:shd w:fill="D9EAF7"/>
          </w:tcPr>
          <w:p>
            <w:r>
              <w:rPr>
                <w:b/>
                <w:sz w:val="13"/>
              </w:rPr>
              <w:t>Yer</w:t>
            </w:r>
          </w:p>
        </w:tc>
        <w:tc>
          <w:tcPr>
            <w:tcW w:type="dxa" w:w="1304"/>
            <w:shd w:fill="D9EAF7"/>
          </w:tcPr>
          <w:p>
            <w:r>
              <w:rPr>
                <w:b/>
                <w:sz w:val="13"/>
              </w:rPr>
              <w:t>Düzey</w:t>
            </w:r>
          </w:p>
        </w:tc>
        <w:tc>
          <w:tcPr>
            <w:tcW w:type="dxa" w:w="2494"/>
            <w:shd w:fill="D9EAF7"/>
          </w:tcPr>
          <w:p>
            <w:r>
              <w:rPr>
                <w:b/>
                <w:sz w:val="13"/>
              </w:rPr>
              <w:t>Sorun</w:t>
            </w:r>
          </w:p>
        </w:tc>
        <w:tc>
          <w:tcPr>
            <w:tcW w:type="dxa" w:w="1928"/>
            <w:shd w:fill="D9EAF7"/>
          </w:tcPr>
          <w:p>
            <w:r>
              <w:rPr>
                <w:b/>
                <w:sz w:val="13"/>
              </w:rPr>
              <w:t>İşlem</w:t>
            </w:r>
          </w:p>
        </w:tc>
        <w:tc>
          <w:tcPr>
            <w:tcW w:type="dxa" w:w="2835"/>
            <w:shd w:fill="D9EAF7"/>
          </w:tcPr>
          <w:p>
            <w:r>
              <w:rPr>
                <w:b/>
                <w:sz w:val="13"/>
              </w:rPr>
              <w:t>Önerilen geçiş</w:t>
            </w:r>
          </w:p>
        </w:tc>
      </w:tr>
      <w:tr>
        <w:trPr>
          <w:cantSplit/>
        </w:trPr>
        <w:tc>
          <w:tcPr>
            <w:tcW w:type="dxa" w:w="454"/>
            <w:vAlign w:val="top"/>
            <w:tcMar>
              <w:top w:w="70" w:type="dxa"/>
              <w:start w:w="85" w:type="dxa"/>
              <w:bottom w:w="70" w:type="dxa"/>
              <w:end w:w="85" w:type="dxa"/>
            </w:tcMar>
          </w:tcPr>
          <w:p>
            <w:pPr>
              <w:spacing w:after="0"/>
            </w:pPr>
            <w:r>
              <w:rPr>
                <w:sz w:val="13"/>
              </w:rPr>
              <w:t>1</w:t>
            </w:r>
          </w:p>
        </w:tc>
        <w:tc>
          <w:tcPr>
            <w:tcW w:type="dxa" w:w="1587"/>
            <w:vAlign w:val="top"/>
            <w:tcMar>
              <w:top w:w="70" w:type="dxa"/>
              <w:start w:w="85" w:type="dxa"/>
              <w:bottom w:w="70" w:type="dxa"/>
              <w:end w:w="85" w:type="dxa"/>
            </w:tcMar>
          </w:tcPr>
          <w:p>
            <w:pPr>
              <w:spacing w:after="0"/>
            </w:pPr>
            <w:r>
              <w:rPr>
                <w:sz w:val="13"/>
              </w:rPr>
              <w:t>Giriş içi</w:t>
            </w:r>
          </w:p>
        </w:tc>
        <w:tc>
          <w:tcPr>
            <w:tcW w:type="dxa" w:w="1304"/>
            <w:vAlign w:val="top"/>
            <w:tcMar>
              <w:top w:w="70" w:type="dxa"/>
              <w:start w:w="85" w:type="dxa"/>
              <w:bottom w:w="70" w:type="dxa"/>
              <w:end w:w="85" w:type="dxa"/>
            </w:tcMar>
          </w:tcPr>
          <w:p>
            <w:pPr>
              <w:spacing w:after="0"/>
            </w:pPr>
            <w:r>
              <w:rPr>
                <w:sz w:val="13"/>
              </w:rPr>
              <w:t>Paragraf sırası</w:t>
            </w:r>
          </w:p>
        </w:tc>
        <w:tc>
          <w:tcPr>
            <w:tcW w:type="dxa" w:w="2494"/>
            <w:vAlign w:val="top"/>
            <w:tcMar>
              <w:top w:w="70" w:type="dxa"/>
              <w:start w:w="85" w:type="dxa"/>
              <w:bottom w:w="70" w:type="dxa"/>
              <w:end w:w="85" w:type="dxa"/>
            </w:tcMar>
          </w:tcPr>
          <w:p>
            <w:pPr>
              <w:spacing w:after="0"/>
            </w:pPr>
            <w:r>
              <w:rPr>
                <w:sz w:val="13"/>
              </w:rPr>
              <w:t>Kapsamdan sonra yalnız 4. bölüm ön izlemesi geliyor; yöntem daha sonra başlıyor.</w:t>
            </w:r>
          </w:p>
        </w:tc>
        <w:tc>
          <w:tcPr>
            <w:tcW w:type="dxa" w:w="1928"/>
            <w:vAlign w:val="top"/>
            <w:tcMar>
              <w:top w:w="70" w:type="dxa"/>
              <w:start w:w="85" w:type="dxa"/>
              <w:bottom w:w="70" w:type="dxa"/>
              <w:end w:w="85" w:type="dxa"/>
            </w:tcMar>
          </w:tcPr>
          <w:p>
            <w:pPr>
              <w:spacing w:after="0"/>
            </w:pPr>
            <w:r>
              <w:rPr>
                <w:sz w:val="13"/>
              </w:rPr>
              <w:t>30. paragrafı bölüm planına taşı.</w:t>
            </w:r>
          </w:p>
        </w:tc>
        <w:tc>
          <w:tcPr>
            <w:tcW w:type="dxa" w:w="2835"/>
            <w:vAlign w:val="top"/>
            <w:tcMar>
              <w:top w:w="70" w:type="dxa"/>
              <w:start w:w="85" w:type="dxa"/>
              <w:bottom w:w="70" w:type="dxa"/>
              <w:end w:w="85" w:type="dxa"/>
            </w:tcMar>
          </w:tcPr>
          <w:p>
            <w:pPr>
              <w:spacing w:after="0"/>
            </w:pPr>
            <w:r>
              <w:rPr>
                <w:sz w:val="13"/>
              </w:rPr>
              <w:t>Kapsamdan sonra doğrudan yöntem paragrafına geç.</w:t>
            </w:r>
          </w:p>
        </w:tc>
      </w:tr>
      <w:tr>
        <w:trPr>
          <w:cantSplit/>
        </w:trPr>
        <w:tc>
          <w:tcPr>
            <w:tcW w:type="dxa" w:w="454"/>
            <w:vAlign w:val="top"/>
            <w:tcMar>
              <w:top w:w="70" w:type="dxa"/>
              <w:start w:w="85" w:type="dxa"/>
              <w:bottom w:w="70" w:type="dxa"/>
              <w:end w:w="85" w:type="dxa"/>
            </w:tcMar>
          </w:tcPr>
          <w:p>
            <w:pPr>
              <w:spacing w:after="0"/>
            </w:pPr>
            <w:r>
              <w:rPr>
                <w:sz w:val="13"/>
              </w:rPr>
              <w:t>2</w:t>
            </w:r>
          </w:p>
        </w:tc>
        <w:tc>
          <w:tcPr>
            <w:tcW w:type="dxa" w:w="1587"/>
            <w:vAlign w:val="top"/>
            <w:tcMar>
              <w:top w:w="70" w:type="dxa"/>
              <w:start w:w="85" w:type="dxa"/>
              <w:bottom w:w="70" w:type="dxa"/>
              <w:end w:w="85" w:type="dxa"/>
            </w:tcMar>
          </w:tcPr>
          <w:p>
            <w:pPr>
              <w:spacing w:after="0"/>
            </w:pPr>
            <w:r>
              <w:rPr>
                <w:sz w:val="13"/>
              </w:rPr>
              <w:t>Giriş → 1. Bölüm</w:t>
            </w:r>
          </w:p>
        </w:tc>
        <w:tc>
          <w:tcPr>
            <w:tcW w:type="dxa" w:w="1304"/>
            <w:vAlign w:val="top"/>
            <w:tcMar>
              <w:top w:w="70" w:type="dxa"/>
              <w:start w:w="85" w:type="dxa"/>
              <w:bottom w:w="70" w:type="dxa"/>
              <w:end w:w="85" w:type="dxa"/>
            </w:tcMar>
          </w:tcPr>
          <w:p>
            <w:pPr>
              <w:spacing w:after="0"/>
            </w:pPr>
            <w:r>
              <w:rPr>
                <w:sz w:val="13"/>
              </w:rPr>
              <w:t>Bölüm</w:t>
            </w:r>
          </w:p>
        </w:tc>
        <w:tc>
          <w:tcPr>
            <w:tcW w:type="dxa" w:w="2494"/>
            <w:vAlign w:val="top"/>
            <w:tcMar>
              <w:top w:w="70" w:type="dxa"/>
              <w:start w:w="85" w:type="dxa"/>
              <w:bottom w:w="70" w:type="dxa"/>
              <w:end w:w="85" w:type="dxa"/>
            </w:tcMar>
          </w:tcPr>
          <w:p>
            <w:pPr>
              <w:spacing w:after="0"/>
            </w:pPr>
            <w:r>
              <w:rPr>
                <w:sz w:val="13"/>
              </w:rPr>
              <w:t>Ana soru ikinci kez tekrar ediliyor.</w:t>
            </w:r>
          </w:p>
        </w:tc>
        <w:tc>
          <w:tcPr>
            <w:tcW w:type="dxa" w:w="1928"/>
            <w:vAlign w:val="top"/>
            <w:tcMar>
              <w:top w:w="70" w:type="dxa"/>
              <w:start w:w="85" w:type="dxa"/>
              <w:bottom w:w="70" w:type="dxa"/>
              <w:end w:w="85" w:type="dxa"/>
            </w:tcMar>
          </w:tcPr>
          <w:p>
            <w:pPr>
              <w:spacing w:after="0"/>
            </w:pPr>
            <w:r>
              <w:rPr>
                <w:sz w:val="13"/>
              </w:rPr>
              <w:t>Son Giriş paragrafını tarihsel zemine bağla.</w:t>
            </w:r>
          </w:p>
        </w:tc>
        <w:tc>
          <w:tcPr>
            <w:tcW w:type="dxa" w:w="2835"/>
            <w:vAlign w:val="top"/>
            <w:tcMar>
              <w:top w:w="70" w:type="dxa"/>
              <w:start w:w="85" w:type="dxa"/>
              <w:bottom w:w="70" w:type="dxa"/>
              <w:end w:w="85" w:type="dxa"/>
            </w:tcMar>
          </w:tcPr>
          <w:p>
            <w:pPr>
              <w:spacing w:after="0"/>
            </w:pPr>
            <w:r>
              <w:rPr>
                <w:sz w:val="13"/>
              </w:rPr>
              <w:t>“Bu ilişkinin nasıl kurulduğunu açıklayabilmek için önce resm-i Osmânî’nin ortaya çıktığı tarihsel ve kavramsal zemini belirlemek gerekir.”</w:t>
            </w:r>
          </w:p>
        </w:tc>
      </w:tr>
      <w:tr>
        <w:trPr>
          <w:cantSplit/>
        </w:trPr>
        <w:tc>
          <w:tcPr>
            <w:tcW w:type="dxa" w:w="454"/>
            <w:vAlign w:val="top"/>
            <w:tcMar>
              <w:top w:w="70" w:type="dxa"/>
              <w:start w:w="85" w:type="dxa"/>
              <w:bottom w:w="70" w:type="dxa"/>
              <w:end w:w="85" w:type="dxa"/>
            </w:tcMar>
          </w:tcPr>
          <w:p>
            <w:pPr>
              <w:spacing w:after="0"/>
            </w:pPr>
            <w:r>
              <w:rPr>
                <w:sz w:val="13"/>
              </w:rPr>
              <w:t>3</w:t>
            </w:r>
          </w:p>
        </w:tc>
        <w:tc>
          <w:tcPr>
            <w:tcW w:type="dxa" w:w="1587"/>
            <w:vAlign w:val="top"/>
            <w:tcMar>
              <w:top w:w="70" w:type="dxa"/>
              <w:start w:w="85" w:type="dxa"/>
              <w:bottom w:w="70" w:type="dxa"/>
              <w:end w:w="85" w:type="dxa"/>
            </w:tcMar>
          </w:tcPr>
          <w:p>
            <w:pPr>
              <w:spacing w:after="0"/>
            </w:pPr>
            <w:r>
              <w:rPr>
                <w:sz w:val="13"/>
              </w:rPr>
              <w:t>1.1 içi</w:t>
            </w:r>
          </w:p>
        </w:tc>
        <w:tc>
          <w:tcPr>
            <w:tcW w:type="dxa" w:w="1304"/>
            <w:vAlign w:val="top"/>
            <w:tcMar>
              <w:top w:w="70" w:type="dxa"/>
              <w:start w:w="85" w:type="dxa"/>
              <w:bottom w:w="70" w:type="dxa"/>
              <w:end w:w="85" w:type="dxa"/>
            </w:tcMar>
          </w:tcPr>
          <w:p>
            <w:pPr>
              <w:spacing w:after="0"/>
            </w:pPr>
            <w:r>
              <w:rPr>
                <w:sz w:val="13"/>
              </w:rPr>
              <w:t>Paragraflar arası</w:t>
            </w:r>
          </w:p>
        </w:tc>
        <w:tc>
          <w:tcPr>
            <w:tcW w:type="dxa" w:w="2494"/>
            <w:vAlign w:val="top"/>
            <w:tcMar>
              <w:top w:w="70" w:type="dxa"/>
              <w:start w:w="85" w:type="dxa"/>
              <w:bottom w:w="70" w:type="dxa"/>
              <w:end w:w="85" w:type="dxa"/>
            </w:tcMar>
          </w:tcPr>
          <w:p>
            <w:pPr>
              <w:spacing w:after="0"/>
            </w:pPr>
            <w:r>
              <w:rPr>
                <w:sz w:val="13"/>
              </w:rPr>
              <w:t>Sentezden ve İslâm dönemine geçişten sonra İslâm öncesi örneklere geri dönülüyor.</w:t>
            </w:r>
          </w:p>
        </w:tc>
        <w:tc>
          <w:tcPr>
            <w:tcW w:type="dxa" w:w="1928"/>
            <w:vAlign w:val="top"/>
            <w:tcMar>
              <w:top w:w="70" w:type="dxa"/>
              <w:start w:w="85" w:type="dxa"/>
              <w:bottom w:w="70" w:type="dxa"/>
              <w:end w:w="85" w:type="dxa"/>
            </w:tcMar>
          </w:tcPr>
          <w:p>
            <w:pPr>
              <w:spacing w:after="0"/>
            </w:pPr>
            <w:r>
              <w:rPr>
                <w:sz w:val="13"/>
              </w:rPr>
              <w:t>49–50’yi sona taşı/erit.</w:t>
            </w:r>
          </w:p>
        </w:tc>
        <w:tc>
          <w:tcPr>
            <w:tcW w:type="dxa" w:w="2835"/>
            <w:vAlign w:val="top"/>
            <w:tcMar>
              <w:top w:w="70" w:type="dxa"/>
              <w:start w:w="85" w:type="dxa"/>
              <w:bottom w:w="70" w:type="dxa"/>
              <w:end w:w="85" w:type="dxa"/>
            </w:tcMar>
          </w:tcPr>
          <w:p>
            <w:pPr>
              <w:spacing w:after="0"/>
            </w:pPr>
            <w:r>
              <w:rPr>
                <w:sz w:val="13"/>
              </w:rPr>
              <w:t>Kanıtlar → tek sentez → 1.2.</w:t>
            </w:r>
          </w:p>
        </w:tc>
      </w:tr>
      <w:tr>
        <w:trPr>
          <w:cantSplit/>
        </w:trPr>
        <w:tc>
          <w:tcPr>
            <w:tcW w:type="dxa" w:w="454"/>
            <w:vAlign w:val="top"/>
            <w:tcMar>
              <w:top w:w="70" w:type="dxa"/>
              <w:start w:w="85" w:type="dxa"/>
              <w:bottom w:w="70" w:type="dxa"/>
              <w:end w:w="85" w:type="dxa"/>
            </w:tcMar>
          </w:tcPr>
          <w:p>
            <w:pPr>
              <w:spacing w:after="0"/>
            </w:pPr>
            <w:r>
              <w:rPr>
                <w:sz w:val="13"/>
              </w:rPr>
              <w:t>4</w:t>
            </w:r>
          </w:p>
        </w:tc>
        <w:tc>
          <w:tcPr>
            <w:tcW w:type="dxa" w:w="1587"/>
            <w:vAlign w:val="top"/>
            <w:tcMar>
              <w:top w:w="70" w:type="dxa"/>
              <w:start w:w="85" w:type="dxa"/>
              <w:bottom w:w="70" w:type="dxa"/>
              <w:end w:w="85" w:type="dxa"/>
            </w:tcMar>
          </w:tcPr>
          <w:p>
            <w:pPr>
              <w:spacing w:after="0"/>
            </w:pPr>
            <w:r>
              <w:rPr>
                <w:sz w:val="13"/>
              </w:rPr>
              <w:t>1.1 → 1.2</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1.1 zaten İslâm’ın gelişiyle yazının değişimini anlatıyor; 1.2 aynı başlangıcı tekrarlıyor.</w:t>
            </w:r>
          </w:p>
        </w:tc>
        <w:tc>
          <w:tcPr>
            <w:tcW w:type="dxa" w:w="1928"/>
            <w:vAlign w:val="top"/>
            <w:tcMar>
              <w:top w:w="70" w:type="dxa"/>
              <w:start w:w="85" w:type="dxa"/>
              <w:bottom w:w="70" w:type="dxa"/>
              <w:end w:w="85" w:type="dxa"/>
            </w:tcMar>
          </w:tcPr>
          <w:p>
            <w:pPr>
              <w:spacing w:after="0"/>
            </w:pPr>
            <w:r>
              <w:rPr>
                <w:sz w:val="13"/>
              </w:rPr>
              <w:t>1.1 sonunda yalnız “işlev değişimi”ne işaret et.</w:t>
            </w:r>
          </w:p>
        </w:tc>
        <w:tc>
          <w:tcPr>
            <w:tcW w:type="dxa" w:w="2835"/>
            <w:vAlign w:val="top"/>
            <w:tcMar>
              <w:top w:w="70" w:type="dxa"/>
              <w:start w:w="85" w:type="dxa"/>
              <w:bottom w:w="70" w:type="dxa"/>
              <w:end w:w="85" w:type="dxa"/>
            </w:tcMar>
          </w:tcPr>
          <w:p>
            <w:pPr>
              <w:spacing w:after="0"/>
            </w:pPr>
            <w:r>
              <w:rPr>
                <w:sz w:val="13"/>
              </w:rPr>
              <w:t>“Vahyin nüzûlüyle yazının kullanım alanı yeni bir boyut kazanmıştır.”</w:t>
            </w:r>
          </w:p>
        </w:tc>
      </w:tr>
      <w:tr>
        <w:trPr>
          <w:cantSplit/>
        </w:trPr>
        <w:tc>
          <w:tcPr>
            <w:tcW w:type="dxa" w:w="454"/>
            <w:vAlign w:val="top"/>
            <w:tcMar>
              <w:top w:w="70" w:type="dxa"/>
              <w:start w:w="85" w:type="dxa"/>
              <w:bottom w:w="70" w:type="dxa"/>
              <w:end w:w="85" w:type="dxa"/>
            </w:tcMar>
          </w:tcPr>
          <w:p>
            <w:pPr>
              <w:spacing w:after="0"/>
            </w:pPr>
            <w:r>
              <w:rPr>
                <w:sz w:val="13"/>
              </w:rPr>
              <w:t>5</w:t>
            </w:r>
          </w:p>
        </w:tc>
        <w:tc>
          <w:tcPr>
            <w:tcW w:type="dxa" w:w="1587"/>
            <w:vAlign w:val="top"/>
            <w:tcMar>
              <w:top w:w="70" w:type="dxa"/>
              <w:start w:w="85" w:type="dxa"/>
              <w:bottom w:w="70" w:type="dxa"/>
              <w:end w:w="85" w:type="dxa"/>
            </w:tcMar>
          </w:tcPr>
          <w:p>
            <w:pPr>
              <w:spacing w:after="0"/>
            </w:pPr>
            <w:r>
              <w:rPr>
                <w:sz w:val="13"/>
              </w:rPr>
              <w:t>1.2 → 1.3</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Aynı “yazıldı fakat kitap hâline getirilmedi” bilgisi iki kez söyleniyor.</w:t>
            </w:r>
          </w:p>
        </w:tc>
        <w:tc>
          <w:tcPr>
            <w:tcW w:type="dxa" w:w="1928"/>
            <w:vAlign w:val="top"/>
            <w:tcMar>
              <w:top w:w="70" w:type="dxa"/>
              <w:start w:w="85" w:type="dxa"/>
              <w:bottom w:w="70" w:type="dxa"/>
              <w:end w:w="85" w:type="dxa"/>
            </w:tcMar>
          </w:tcPr>
          <w:p>
            <w:pPr>
              <w:spacing w:after="0"/>
            </w:pPr>
            <w:r>
              <w:rPr>
                <w:sz w:val="13"/>
              </w:rPr>
              <w:t>İki cümleyi tek köprüde birleştir.</w:t>
            </w:r>
          </w:p>
        </w:tc>
        <w:tc>
          <w:tcPr>
            <w:tcW w:type="dxa" w:w="2835"/>
            <w:vAlign w:val="top"/>
            <w:tcMar>
              <w:top w:w="70" w:type="dxa"/>
              <w:start w:w="85" w:type="dxa"/>
              <w:bottom w:w="70" w:type="dxa"/>
              <w:end w:w="85" w:type="dxa"/>
            </w:tcMar>
          </w:tcPr>
          <w:p>
            <w:pPr>
              <w:spacing w:after="0"/>
            </w:pPr>
            <w:r>
              <w:rPr>
                <w:sz w:val="13"/>
              </w:rPr>
              <w:t>“Nüzûl döneminde kaydedilen malzemenin tek bir derleme hâlinde toplanmamış olması, Hz. Peygamber’in vefatından sonra cem meselesini gündeme getirmiştir.”</w:t>
            </w:r>
          </w:p>
        </w:tc>
      </w:tr>
      <w:tr>
        <w:trPr>
          <w:cantSplit/>
        </w:trPr>
        <w:tc>
          <w:tcPr>
            <w:tcW w:type="dxa" w:w="454"/>
            <w:vAlign w:val="top"/>
            <w:tcMar>
              <w:top w:w="70" w:type="dxa"/>
              <w:start w:w="85" w:type="dxa"/>
              <w:bottom w:w="70" w:type="dxa"/>
              <w:end w:w="85" w:type="dxa"/>
            </w:tcMar>
          </w:tcPr>
          <w:p>
            <w:pPr>
              <w:spacing w:after="0"/>
            </w:pPr>
            <w:r>
              <w:rPr>
                <w:sz w:val="13"/>
              </w:rPr>
              <w:t>6</w:t>
            </w:r>
          </w:p>
        </w:tc>
        <w:tc>
          <w:tcPr>
            <w:tcW w:type="dxa" w:w="1587"/>
            <w:vAlign w:val="top"/>
            <w:tcMar>
              <w:top w:w="70" w:type="dxa"/>
              <w:start w:w="85" w:type="dxa"/>
              <w:bottom w:w="70" w:type="dxa"/>
              <w:end w:w="85" w:type="dxa"/>
            </w:tcMar>
          </w:tcPr>
          <w:p>
            <w:pPr>
              <w:spacing w:after="0"/>
            </w:pPr>
            <w:r>
              <w:rPr>
                <w:sz w:val="13"/>
              </w:rPr>
              <w:t>1.3 → 1.4</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1.3 yedi harf/arza tartışmasını ayrıntılandırarak 1.4’e taşma yapıyor.</w:t>
            </w:r>
          </w:p>
        </w:tc>
        <w:tc>
          <w:tcPr>
            <w:tcW w:type="dxa" w:w="1928"/>
            <w:vAlign w:val="top"/>
            <w:tcMar>
              <w:top w:w="70" w:type="dxa"/>
              <w:start w:w="85" w:type="dxa"/>
              <w:bottom w:w="70" w:type="dxa"/>
              <w:end w:w="85" w:type="dxa"/>
            </w:tcMar>
          </w:tcPr>
          <w:p>
            <w:pPr>
              <w:spacing w:after="0"/>
            </w:pPr>
            <w:r>
              <w:rPr>
                <w:sz w:val="13"/>
              </w:rPr>
              <w:t>Ayrıntıyı taşı; kısa ileri gönderme bırak.</w:t>
            </w:r>
          </w:p>
        </w:tc>
        <w:tc>
          <w:tcPr>
            <w:tcW w:type="dxa" w:w="2835"/>
            <w:vAlign w:val="top"/>
            <w:tcMar>
              <w:top w:w="70" w:type="dxa"/>
              <w:start w:w="85" w:type="dxa"/>
              <w:bottom w:w="70" w:type="dxa"/>
              <w:end w:w="85" w:type="dxa"/>
            </w:tcMar>
          </w:tcPr>
          <w:p>
            <w:pPr>
              <w:spacing w:after="0"/>
            </w:pPr>
            <w:r>
              <w:rPr>
                <w:sz w:val="13"/>
              </w:rPr>
              <w:t>“Bu sahifelerin sonraki istinsah faaliyetiyle ilişkisi, çoğaltmayı gerektiren şartlarla birlikte ele alınacaktır.”</w:t>
            </w:r>
          </w:p>
        </w:tc>
      </w:tr>
      <w:tr>
        <w:trPr>
          <w:cantSplit/>
        </w:trPr>
        <w:tc>
          <w:tcPr>
            <w:tcW w:type="dxa" w:w="454"/>
            <w:vAlign w:val="top"/>
            <w:tcMar>
              <w:top w:w="70" w:type="dxa"/>
              <w:start w:w="85" w:type="dxa"/>
              <w:bottom w:w="70" w:type="dxa"/>
              <w:end w:w="85" w:type="dxa"/>
            </w:tcMar>
          </w:tcPr>
          <w:p>
            <w:pPr>
              <w:spacing w:after="0"/>
            </w:pPr>
            <w:r>
              <w:rPr>
                <w:sz w:val="13"/>
              </w:rPr>
              <w:t>7</w:t>
            </w:r>
          </w:p>
        </w:tc>
        <w:tc>
          <w:tcPr>
            <w:tcW w:type="dxa" w:w="1587"/>
            <w:vAlign w:val="top"/>
            <w:tcMar>
              <w:top w:w="70" w:type="dxa"/>
              <w:start w:w="85" w:type="dxa"/>
              <w:bottom w:w="70" w:type="dxa"/>
              <w:end w:w="85" w:type="dxa"/>
            </w:tcMar>
          </w:tcPr>
          <w:p>
            <w:pPr>
              <w:spacing w:after="0"/>
            </w:pPr>
            <w:r>
              <w:rPr>
                <w:sz w:val="13"/>
              </w:rPr>
              <w:t>1.4 → 1.5</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“Hülasa” paragrafı bölümü kapatıyor ancak dağıtım sorusuna bağlamıyor.</w:t>
            </w:r>
          </w:p>
        </w:tc>
        <w:tc>
          <w:tcPr>
            <w:tcW w:type="dxa" w:w="1928"/>
            <w:vAlign w:val="top"/>
            <w:tcMar>
              <w:top w:w="70" w:type="dxa"/>
              <w:start w:w="85" w:type="dxa"/>
              <w:bottom w:w="70" w:type="dxa"/>
              <w:end w:w="85" w:type="dxa"/>
            </w:tcMar>
          </w:tcPr>
          <w:p>
            <w:pPr>
              <w:spacing w:after="0"/>
            </w:pPr>
            <w:r>
              <w:rPr>
                <w:sz w:val="13"/>
              </w:rPr>
              <w:t>98’i geçişe dönüştür.</w:t>
            </w:r>
          </w:p>
        </w:tc>
        <w:tc>
          <w:tcPr>
            <w:tcW w:type="dxa" w:w="2835"/>
            <w:vAlign w:val="top"/>
            <w:tcMar>
              <w:top w:w="70" w:type="dxa"/>
              <w:start w:w="85" w:type="dxa"/>
              <w:bottom w:w="70" w:type="dxa"/>
              <w:end w:w="85" w:type="dxa"/>
            </w:tcMar>
          </w:tcPr>
          <w:p>
            <w:pPr>
              <w:spacing w:after="0"/>
            </w:pPr>
            <w:r>
              <w:rPr>
                <w:sz w:val="13"/>
              </w:rPr>
              <w:t>“İstinsah kararının uygulanışını değerlendirebilmek için çoğaltılan nüshaların sayısı ve gönderildikleri merkezler üzerinde durmak gerekir.”</w:t>
            </w:r>
          </w:p>
        </w:tc>
      </w:tr>
      <w:tr>
        <w:trPr>
          <w:cantSplit/>
        </w:trPr>
        <w:tc>
          <w:tcPr>
            <w:tcW w:type="dxa" w:w="454"/>
            <w:vAlign w:val="top"/>
            <w:tcMar>
              <w:top w:w="70" w:type="dxa"/>
              <w:start w:w="85" w:type="dxa"/>
              <w:bottom w:w="70" w:type="dxa"/>
              <w:end w:w="85" w:type="dxa"/>
            </w:tcMar>
          </w:tcPr>
          <w:p>
            <w:pPr>
              <w:spacing w:after="0"/>
            </w:pPr>
            <w:r>
              <w:rPr>
                <w:sz w:val="13"/>
              </w:rPr>
              <w:t>8</w:t>
            </w:r>
          </w:p>
        </w:tc>
        <w:tc>
          <w:tcPr>
            <w:tcW w:type="dxa" w:w="1587"/>
            <w:vAlign w:val="top"/>
            <w:tcMar>
              <w:top w:w="70" w:type="dxa"/>
              <w:start w:w="85" w:type="dxa"/>
              <w:bottom w:w="70" w:type="dxa"/>
              <w:end w:w="85" w:type="dxa"/>
            </w:tcMar>
          </w:tcPr>
          <w:p>
            <w:pPr>
              <w:spacing w:after="0"/>
            </w:pPr>
            <w:r>
              <w:rPr>
                <w:sz w:val="13"/>
              </w:rPr>
              <w:t>1.5 → 1.6</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Nüsha sayısından kavram tanımına ani geçiş.</w:t>
            </w:r>
          </w:p>
        </w:tc>
        <w:tc>
          <w:tcPr>
            <w:tcW w:type="dxa" w:w="1928"/>
            <w:vAlign w:val="top"/>
            <w:tcMar>
              <w:top w:w="70" w:type="dxa"/>
              <w:start w:w="85" w:type="dxa"/>
              <w:bottom w:w="70" w:type="dxa"/>
              <w:end w:w="85" w:type="dxa"/>
            </w:tcMar>
          </w:tcPr>
          <w:p>
            <w:pPr>
              <w:spacing w:after="0"/>
            </w:pPr>
            <w:r>
              <w:rPr>
                <w:sz w:val="13"/>
              </w:rPr>
              <w:t>1.6 ilk cümlesini değiştir.</w:t>
            </w:r>
          </w:p>
        </w:tc>
        <w:tc>
          <w:tcPr>
            <w:tcW w:type="dxa" w:w="2835"/>
            <w:vAlign w:val="top"/>
            <w:tcMar>
              <w:top w:w="70" w:type="dxa"/>
              <w:start w:w="85" w:type="dxa"/>
              <w:bottom w:w="70" w:type="dxa"/>
              <w:end w:w="85" w:type="dxa"/>
            </w:tcMar>
          </w:tcPr>
          <w:p>
            <w:pPr>
              <w:spacing w:after="0"/>
            </w:pPr>
            <w:r>
              <w:rPr>
                <w:sz w:val="13"/>
              </w:rPr>
              <w:t>“Osmânî mushafların ortak başvuru nüshaları hâline gelmesi, bu nüshalara nispet edilen yazım geleneğinin kavramsal sınırlarını açıklamayı gerekli kılmaktadır.”</w:t>
            </w:r>
          </w:p>
        </w:tc>
      </w:tr>
      <w:tr>
        <w:trPr>
          <w:cantSplit/>
        </w:trPr>
        <w:tc>
          <w:tcPr>
            <w:tcW w:type="dxa" w:w="454"/>
            <w:vAlign w:val="top"/>
            <w:tcMar>
              <w:top w:w="70" w:type="dxa"/>
              <w:start w:w="85" w:type="dxa"/>
              <w:bottom w:w="70" w:type="dxa"/>
              <w:end w:w="85" w:type="dxa"/>
            </w:tcMar>
          </w:tcPr>
          <w:p>
            <w:pPr>
              <w:spacing w:after="0"/>
            </w:pPr>
            <w:r>
              <w:rPr>
                <w:sz w:val="13"/>
              </w:rPr>
              <w:t>9</w:t>
            </w:r>
          </w:p>
        </w:tc>
        <w:tc>
          <w:tcPr>
            <w:tcW w:type="dxa" w:w="1587"/>
            <w:vAlign w:val="top"/>
            <w:tcMar>
              <w:top w:w="70" w:type="dxa"/>
              <w:start w:w="85" w:type="dxa"/>
              <w:bottom w:w="70" w:type="dxa"/>
              <w:end w:w="85" w:type="dxa"/>
            </w:tcMar>
          </w:tcPr>
          <w:p>
            <w:pPr>
              <w:spacing w:after="0"/>
            </w:pPr>
            <w:r>
              <w:rPr>
                <w:sz w:val="13"/>
              </w:rPr>
              <w:t>1.6.1 → 1.6.2</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Istılâhî bölüm lügat anlamını tekrar ediyor.</w:t>
            </w:r>
          </w:p>
        </w:tc>
        <w:tc>
          <w:tcPr>
            <w:tcW w:type="dxa" w:w="1928"/>
            <w:vAlign w:val="top"/>
            <w:tcMar>
              <w:top w:w="70" w:type="dxa"/>
              <w:start w:w="85" w:type="dxa"/>
              <w:bottom w:w="70" w:type="dxa"/>
              <w:end w:w="85" w:type="dxa"/>
            </w:tcMar>
          </w:tcPr>
          <w:p>
            <w:pPr>
              <w:spacing w:after="0"/>
            </w:pPr>
            <w:r>
              <w:rPr>
                <w:sz w:val="13"/>
              </w:rPr>
              <w:t>1.6.2 doğrudan teknik kullanımla başlasın.</w:t>
            </w:r>
          </w:p>
        </w:tc>
        <w:tc>
          <w:tcPr>
            <w:tcW w:type="dxa" w:w="2835"/>
            <w:vAlign w:val="top"/>
            <w:tcMar>
              <w:top w:w="70" w:type="dxa"/>
              <w:start w:w="85" w:type="dxa"/>
              <w:bottom w:w="70" w:type="dxa"/>
              <w:end w:w="85" w:type="dxa"/>
            </w:tcMar>
          </w:tcPr>
          <w:p>
            <w:pPr>
              <w:spacing w:after="0"/>
            </w:pPr>
            <w:r>
              <w:rPr>
                <w:sz w:val="13"/>
              </w:rPr>
              <w:t>“Lügavî zeminden sonra resm kavramı mushaf literatüründe teknik bir anlam kazanmıştır.”</w:t>
            </w:r>
          </w:p>
        </w:tc>
      </w:tr>
      <w:tr>
        <w:trPr>
          <w:cantSplit/>
        </w:trPr>
        <w:tc>
          <w:tcPr>
            <w:tcW w:type="dxa" w:w="454"/>
            <w:vAlign w:val="top"/>
            <w:tcMar>
              <w:top w:w="70" w:type="dxa"/>
              <w:start w:w="85" w:type="dxa"/>
              <w:bottom w:w="70" w:type="dxa"/>
              <w:end w:w="85" w:type="dxa"/>
            </w:tcMar>
          </w:tcPr>
          <w:p>
            <w:pPr>
              <w:spacing w:after="0"/>
            </w:pPr>
            <w:r>
              <w:rPr>
                <w:sz w:val="13"/>
              </w:rPr>
              <w:t>10</w:t>
            </w:r>
          </w:p>
        </w:tc>
        <w:tc>
          <w:tcPr>
            <w:tcW w:type="dxa" w:w="1587"/>
            <w:vAlign w:val="top"/>
            <w:tcMar>
              <w:top w:w="70" w:type="dxa"/>
              <w:start w:w="85" w:type="dxa"/>
              <w:bottom w:w="70" w:type="dxa"/>
              <w:end w:w="85" w:type="dxa"/>
            </w:tcMar>
          </w:tcPr>
          <w:p>
            <w:pPr>
              <w:spacing w:after="0"/>
            </w:pPr>
            <w:r>
              <w:rPr>
                <w:sz w:val="13"/>
              </w:rPr>
              <w:t>1.6.2 → 1.7</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“Sonuç olarak” tekrarından sonra tanım/mahiyet başlığı yeniden açılıyor.</w:t>
            </w:r>
          </w:p>
        </w:tc>
        <w:tc>
          <w:tcPr>
            <w:tcW w:type="dxa" w:w="1928"/>
            <w:vAlign w:val="top"/>
            <w:tcMar>
              <w:top w:w="70" w:type="dxa"/>
              <w:start w:w="85" w:type="dxa"/>
              <w:bottom w:w="70" w:type="dxa"/>
              <w:end w:w="85" w:type="dxa"/>
            </w:tcMar>
          </w:tcPr>
          <w:p>
            <w:pPr>
              <w:spacing w:after="0"/>
            </w:pPr>
            <w:r>
              <w:rPr>
                <w:sz w:val="13"/>
              </w:rPr>
              <w:t>133’ü köprüye dönüştür.</w:t>
            </w:r>
          </w:p>
        </w:tc>
        <w:tc>
          <w:tcPr>
            <w:tcW w:type="dxa" w:w="2835"/>
            <w:vAlign w:val="top"/>
            <w:tcMar>
              <w:top w:w="70" w:type="dxa"/>
              <w:start w:w="85" w:type="dxa"/>
              <w:bottom w:w="70" w:type="dxa"/>
              <w:end w:w="85" w:type="dxa"/>
            </w:tcMar>
          </w:tcPr>
          <w:p>
            <w:pPr>
              <w:spacing w:after="0"/>
            </w:pPr>
            <w:r>
              <w:rPr>
                <w:sz w:val="13"/>
              </w:rPr>
              <w:t>“Bu iki ilke, resm-i Osmânî’nin tanımı ve mahiyetini ele alan sonraki tartışma için kavramsal zemin sağlar.”</w:t>
            </w:r>
          </w:p>
        </w:tc>
      </w:tr>
      <w:tr>
        <w:trPr>
          <w:cantSplit/>
        </w:trPr>
        <w:tc>
          <w:tcPr>
            <w:tcW w:type="dxa" w:w="454"/>
            <w:vAlign w:val="top"/>
            <w:tcMar>
              <w:top w:w="70" w:type="dxa"/>
              <w:start w:w="85" w:type="dxa"/>
              <w:bottom w:w="70" w:type="dxa"/>
              <w:end w:w="85" w:type="dxa"/>
            </w:tcMar>
          </w:tcPr>
          <w:p>
            <w:pPr>
              <w:spacing w:after="0"/>
            </w:pPr>
            <w:r>
              <w:rPr>
                <w:sz w:val="13"/>
              </w:rPr>
              <w:t>11</w:t>
            </w:r>
          </w:p>
        </w:tc>
        <w:tc>
          <w:tcPr>
            <w:tcW w:type="dxa" w:w="1587"/>
            <w:vAlign w:val="top"/>
            <w:tcMar>
              <w:top w:w="70" w:type="dxa"/>
              <w:start w:w="85" w:type="dxa"/>
              <w:bottom w:w="70" w:type="dxa"/>
              <w:end w:w="85" w:type="dxa"/>
            </w:tcMar>
          </w:tcPr>
          <w:p>
            <w:pPr>
              <w:spacing w:after="0"/>
            </w:pPr>
            <w:r>
              <w:rPr>
                <w:sz w:val="13"/>
              </w:rPr>
              <w:t>1.9 → 1.9.1</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Ayrıntılar başlamadan genel sonuç verilmiş.</w:t>
            </w:r>
          </w:p>
        </w:tc>
        <w:tc>
          <w:tcPr>
            <w:tcW w:type="dxa" w:w="1928"/>
            <w:vAlign w:val="top"/>
            <w:tcMar>
              <w:top w:w="70" w:type="dxa"/>
              <w:start w:w="85" w:type="dxa"/>
              <w:bottom w:w="70" w:type="dxa"/>
              <w:end w:w="85" w:type="dxa"/>
            </w:tcMar>
          </w:tcPr>
          <w:p>
            <w:pPr>
              <w:spacing w:after="0"/>
            </w:pPr>
            <w:r>
              <w:rPr>
                <w:sz w:val="13"/>
              </w:rPr>
              <w:t>176’yı incelemeye davet eden köprü yap.</w:t>
            </w:r>
          </w:p>
        </w:tc>
        <w:tc>
          <w:tcPr>
            <w:tcW w:type="dxa" w:w="2835"/>
            <w:vAlign w:val="top"/>
            <w:tcMar>
              <w:top w:w="70" w:type="dxa"/>
              <w:start w:w="85" w:type="dxa"/>
              <w:bottom w:w="70" w:type="dxa"/>
              <w:end w:w="85" w:type="dxa"/>
            </w:tcMar>
          </w:tcPr>
          <w:p>
            <w:pPr>
              <w:spacing w:after="0"/>
            </w:pPr>
            <w:r>
              <w:rPr>
                <w:sz w:val="13"/>
              </w:rPr>
              <w:t>“Bu genel çerçevenin hangi yazım özellikleri üzerinden ortaya çıktığını görmek için kuralları ayrı ayrı incelemek gerekir.”</w:t>
            </w:r>
          </w:p>
        </w:tc>
      </w:tr>
      <w:tr>
        <w:trPr>
          <w:cantSplit/>
        </w:trPr>
        <w:tc>
          <w:tcPr>
            <w:tcW w:type="dxa" w:w="454"/>
            <w:vAlign w:val="top"/>
            <w:tcMar>
              <w:top w:w="70" w:type="dxa"/>
              <w:start w:w="85" w:type="dxa"/>
              <w:bottom w:w="70" w:type="dxa"/>
              <w:end w:w="85" w:type="dxa"/>
            </w:tcMar>
          </w:tcPr>
          <w:p>
            <w:pPr>
              <w:spacing w:after="0"/>
            </w:pPr>
            <w:r>
              <w:rPr>
                <w:sz w:val="13"/>
              </w:rPr>
              <w:t>12</w:t>
            </w:r>
          </w:p>
        </w:tc>
        <w:tc>
          <w:tcPr>
            <w:tcW w:type="dxa" w:w="1587"/>
            <w:vAlign w:val="top"/>
            <w:tcMar>
              <w:top w:w="70" w:type="dxa"/>
              <w:start w:w="85" w:type="dxa"/>
              <w:bottom w:w="70" w:type="dxa"/>
              <w:end w:w="85" w:type="dxa"/>
            </w:tcMar>
          </w:tcPr>
          <w:p>
            <w:pPr>
              <w:spacing w:after="0"/>
            </w:pPr>
            <w:r>
              <w:rPr>
                <w:sz w:val="13"/>
              </w:rPr>
              <w:t>1.9.1 → 1.9.2</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Kural listesi biterken birkaç genelleme yeni başlığın örneğini önceden sonuçlandırıyor.</w:t>
            </w:r>
          </w:p>
        </w:tc>
        <w:tc>
          <w:tcPr>
            <w:tcW w:type="dxa" w:w="1928"/>
            <w:vAlign w:val="top"/>
            <w:tcMar>
              <w:top w:w="70" w:type="dxa"/>
              <w:start w:w="85" w:type="dxa"/>
              <w:bottom w:w="70" w:type="dxa"/>
              <w:end w:w="85" w:type="dxa"/>
            </w:tcMar>
          </w:tcPr>
          <w:p>
            <w:pPr>
              <w:spacing w:after="0"/>
            </w:pPr>
            <w:r>
              <w:rPr>
                <w:sz w:val="13"/>
              </w:rPr>
              <w:t>Genel sonucu tek cümleye indir.</w:t>
            </w:r>
          </w:p>
        </w:tc>
        <w:tc>
          <w:tcPr>
            <w:tcW w:type="dxa" w:w="2835"/>
            <w:vAlign w:val="top"/>
            <w:tcMar>
              <w:top w:w="70" w:type="dxa"/>
              <w:start w:w="85" w:type="dxa"/>
              <w:bottom w:w="70" w:type="dxa"/>
              <w:end w:w="85" w:type="dxa"/>
            </w:tcMar>
          </w:tcPr>
          <w:p>
            <w:pPr>
              <w:spacing w:after="0"/>
            </w:pPr>
            <w:r>
              <w:rPr>
                <w:sz w:val="13"/>
              </w:rPr>
              <w:t>“Bu kuralların kırâatle ilişkisi örnekten örneğe değişir; bazı kelimelerde ise aynı resmin birden fazla sahih okuyuşla bağdaşması ayrıca önem taşır.”</w:t>
            </w:r>
          </w:p>
        </w:tc>
      </w:tr>
      <w:tr>
        <w:trPr>
          <w:cantSplit/>
        </w:trPr>
        <w:tc>
          <w:tcPr>
            <w:tcW w:type="dxa" w:w="454"/>
            <w:vAlign w:val="top"/>
            <w:tcMar>
              <w:top w:w="70" w:type="dxa"/>
              <w:start w:w="85" w:type="dxa"/>
              <w:bottom w:w="70" w:type="dxa"/>
              <w:end w:w="85" w:type="dxa"/>
            </w:tcMar>
          </w:tcPr>
          <w:p>
            <w:pPr>
              <w:spacing w:after="0"/>
            </w:pPr>
            <w:r>
              <w:rPr>
                <w:sz w:val="13"/>
              </w:rPr>
              <w:t>13</w:t>
            </w:r>
          </w:p>
        </w:tc>
        <w:tc>
          <w:tcPr>
            <w:tcW w:type="dxa" w:w="1587"/>
            <w:vAlign w:val="top"/>
            <w:tcMar>
              <w:top w:w="70" w:type="dxa"/>
              <w:start w:w="85" w:type="dxa"/>
              <w:bottom w:w="70" w:type="dxa"/>
              <w:end w:w="85" w:type="dxa"/>
            </w:tcMar>
          </w:tcPr>
          <w:p>
            <w:pPr>
              <w:spacing w:after="0"/>
            </w:pPr>
            <w:r>
              <w:rPr>
                <w:sz w:val="13"/>
              </w:rPr>
              <w:t>1.10 → 2. Bölüm</w:t>
            </w:r>
          </w:p>
        </w:tc>
        <w:tc>
          <w:tcPr>
            <w:tcW w:type="dxa" w:w="1304"/>
            <w:vAlign w:val="top"/>
            <w:tcMar>
              <w:top w:w="70" w:type="dxa"/>
              <w:start w:w="85" w:type="dxa"/>
              <w:bottom w:w="70" w:type="dxa"/>
              <w:end w:w="85" w:type="dxa"/>
            </w:tcMar>
          </w:tcPr>
          <w:p>
            <w:pPr>
              <w:spacing w:after="0"/>
            </w:pPr>
            <w:r>
              <w:rPr>
                <w:sz w:val="13"/>
              </w:rPr>
              <w:t>Bölüm</w:t>
            </w:r>
          </w:p>
        </w:tc>
        <w:tc>
          <w:tcPr>
            <w:tcW w:type="dxa" w:w="2494"/>
            <w:vAlign w:val="top"/>
            <w:tcMar>
              <w:top w:w="70" w:type="dxa"/>
              <w:start w:w="85" w:type="dxa"/>
              <w:bottom w:w="70" w:type="dxa"/>
              <w:end w:w="85" w:type="dxa"/>
            </w:tcMar>
          </w:tcPr>
          <w:p>
            <w:pPr>
              <w:spacing w:after="0"/>
            </w:pPr>
            <w:r>
              <w:rPr>
                <w:sz w:val="13"/>
              </w:rPr>
              <w:t>1.10 uzun kabul şartı döngüsüyle bittiğinden 2. bölüm yeniden aynı zemini açıyor.</w:t>
            </w:r>
          </w:p>
        </w:tc>
        <w:tc>
          <w:tcPr>
            <w:tcW w:type="dxa" w:w="1928"/>
            <w:vAlign w:val="top"/>
            <w:tcMar>
              <w:top w:w="70" w:type="dxa"/>
              <w:start w:w="85" w:type="dxa"/>
              <w:bottom w:w="70" w:type="dxa"/>
              <w:end w:w="85" w:type="dxa"/>
            </w:tcMar>
          </w:tcPr>
          <w:p>
            <w:pPr>
              <w:spacing w:after="0"/>
            </w:pPr>
            <w:r>
              <w:rPr>
                <w:sz w:val="13"/>
              </w:rPr>
              <w:t>1.10 son cümleyi rivâyet mantığına bağla.</w:t>
            </w:r>
          </w:p>
        </w:tc>
        <w:tc>
          <w:tcPr>
            <w:tcW w:type="dxa" w:w="2835"/>
            <w:vAlign w:val="top"/>
            <w:tcMar>
              <w:top w:w="70" w:type="dxa"/>
              <w:start w:w="85" w:type="dxa"/>
              <w:bottom w:w="70" w:type="dxa"/>
              <w:end w:w="85" w:type="dxa"/>
            </w:tcMar>
          </w:tcPr>
          <w:p>
            <w:pPr>
              <w:spacing w:after="0"/>
            </w:pPr>
            <w:r>
              <w:rPr>
                <w:sz w:val="13"/>
              </w:rPr>
              <w:t>“Bu yazılı ölçünün sözlü aktarım içindeki yerini belirlemek için kırâatlerin rivâyet mantığını ayrıca incelemek gerekir.”</w:t>
            </w:r>
          </w:p>
        </w:tc>
      </w:tr>
      <w:tr>
        <w:trPr>
          <w:cantSplit/>
        </w:trPr>
        <w:tc>
          <w:tcPr>
            <w:tcW w:type="dxa" w:w="454"/>
            <w:vAlign w:val="top"/>
            <w:tcMar>
              <w:top w:w="70" w:type="dxa"/>
              <w:start w:w="85" w:type="dxa"/>
              <w:bottom w:w="70" w:type="dxa"/>
              <w:end w:w="85" w:type="dxa"/>
            </w:tcMar>
          </w:tcPr>
          <w:p>
            <w:pPr>
              <w:spacing w:after="0"/>
            </w:pPr>
            <w:r>
              <w:rPr>
                <w:sz w:val="13"/>
              </w:rPr>
              <w:t>14</w:t>
            </w:r>
          </w:p>
        </w:tc>
        <w:tc>
          <w:tcPr>
            <w:tcW w:type="dxa" w:w="1587"/>
            <w:vAlign w:val="top"/>
            <w:tcMar>
              <w:top w:w="70" w:type="dxa"/>
              <w:start w:w="85" w:type="dxa"/>
              <w:bottom w:w="70" w:type="dxa"/>
              <w:end w:w="85" w:type="dxa"/>
            </w:tcMar>
          </w:tcPr>
          <w:p>
            <w:pPr>
              <w:spacing w:after="0"/>
            </w:pPr>
            <w:r>
              <w:rPr>
                <w:sz w:val="13"/>
              </w:rPr>
              <w:t>2.1 → 2.2</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Rivâyet/sened ayrıntısı 2.1’de tüketiliyor.</w:t>
            </w:r>
          </w:p>
        </w:tc>
        <w:tc>
          <w:tcPr>
            <w:tcW w:type="dxa" w:w="1928"/>
            <w:vAlign w:val="top"/>
            <w:tcMar>
              <w:top w:w="70" w:type="dxa"/>
              <w:start w:w="85" w:type="dxa"/>
              <w:bottom w:w="70" w:type="dxa"/>
              <w:end w:w="85" w:type="dxa"/>
            </w:tcMar>
          </w:tcPr>
          <w:p>
            <w:pPr>
              <w:spacing w:after="0"/>
            </w:pPr>
            <w:r>
              <w:rPr>
                <w:sz w:val="13"/>
              </w:rPr>
              <w:t>2.1 sonunu ileri gönderme yap.</w:t>
            </w:r>
          </w:p>
        </w:tc>
        <w:tc>
          <w:tcPr>
            <w:tcW w:type="dxa" w:w="2835"/>
            <w:vAlign w:val="top"/>
            <w:tcMar>
              <w:top w:w="70" w:type="dxa"/>
              <w:start w:w="85" w:type="dxa"/>
              <w:bottom w:w="70" w:type="dxa"/>
              <w:end w:w="85" w:type="dxa"/>
            </w:tcMar>
          </w:tcPr>
          <w:p>
            <w:pPr>
              <w:spacing w:after="0"/>
            </w:pPr>
            <w:r>
              <w:rPr>
                <w:sz w:val="13"/>
              </w:rPr>
              <w:t>“Bu rivâyet temelli yapının sened ve ilmî otoriteyle ilişkisi sonraki başlıkta ele alınacaktır.”</w:t>
            </w:r>
          </w:p>
        </w:tc>
      </w:tr>
      <w:tr>
        <w:trPr>
          <w:cantSplit/>
        </w:trPr>
        <w:tc>
          <w:tcPr>
            <w:tcW w:type="dxa" w:w="454"/>
            <w:vAlign w:val="top"/>
            <w:tcMar>
              <w:top w:w="70" w:type="dxa"/>
              <w:start w:w="85" w:type="dxa"/>
              <w:bottom w:w="70" w:type="dxa"/>
              <w:end w:w="85" w:type="dxa"/>
            </w:tcMar>
          </w:tcPr>
          <w:p>
            <w:pPr>
              <w:spacing w:after="0"/>
            </w:pPr>
            <w:r>
              <w:rPr>
                <w:sz w:val="13"/>
              </w:rPr>
              <w:t>15</w:t>
            </w:r>
          </w:p>
        </w:tc>
        <w:tc>
          <w:tcPr>
            <w:tcW w:type="dxa" w:w="1587"/>
            <w:vAlign w:val="top"/>
            <w:tcMar>
              <w:top w:w="70" w:type="dxa"/>
              <w:start w:w="85" w:type="dxa"/>
              <w:bottom w:w="70" w:type="dxa"/>
              <w:end w:w="85" w:type="dxa"/>
            </w:tcMar>
          </w:tcPr>
          <w:p>
            <w:pPr>
              <w:spacing w:after="0"/>
            </w:pPr>
            <w:r>
              <w:rPr>
                <w:sz w:val="13"/>
              </w:rPr>
              <w:t>2.2 → 2.3</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Otorite ekseni uzun özetle kapanıyor; yedi harf aniden başlıyor.</w:t>
            </w:r>
          </w:p>
        </w:tc>
        <w:tc>
          <w:tcPr>
            <w:tcW w:type="dxa" w:w="1928"/>
            <w:vAlign w:val="top"/>
            <w:tcMar>
              <w:top w:w="70" w:type="dxa"/>
              <w:start w:w="85" w:type="dxa"/>
              <w:bottom w:w="70" w:type="dxa"/>
              <w:end w:w="85" w:type="dxa"/>
            </w:tcMar>
          </w:tcPr>
          <w:p>
            <w:pPr>
              <w:spacing w:after="0"/>
            </w:pPr>
            <w:r>
              <w:rPr>
                <w:sz w:val="13"/>
              </w:rPr>
              <w:t>250’yi soruya bağla.</w:t>
            </w:r>
          </w:p>
        </w:tc>
        <w:tc>
          <w:tcPr>
            <w:tcW w:type="dxa" w:w="2835"/>
            <w:vAlign w:val="top"/>
            <w:tcMar>
              <w:top w:w="70" w:type="dxa"/>
              <w:start w:w="85" w:type="dxa"/>
              <w:bottom w:w="70" w:type="dxa"/>
              <w:end w:w="85" w:type="dxa"/>
            </w:tcMar>
          </w:tcPr>
          <w:p>
            <w:pPr>
              <w:spacing w:after="0"/>
            </w:pPr>
            <w:r>
              <w:rPr>
                <w:sz w:val="13"/>
              </w:rPr>
              <w:t>“Bu aktarım düzeninin yazılı mushafla ilişkisi, yedi harf ile Osmânî mushaf meselesinde daha belirgin hâle gelir.”</w:t>
            </w:r>
          </w:p>
        </w:tc>
      </w:tr>
      <w:tr>
        <w:trPr>
          <w:cantSplit/>
        </w:trPr>
        <w:tc>
          <w:tcPr>
            <w:tcW w:type="dxa" w:w="454"/>
            <w:vAlign w:val="top"/>
            <w:tcMar>
              <w:top w:w="70" w:type="dxa"/>
              <w:start w:w="85" w:type="dxa"/>
              <w:bottom w:w="70" w:type="dxa"/>
              <w:end w:w="85" w:type="dxa"/>
            </w:tcMar>
          </w:tcPr>
          <w:p>
            <w:pPr>
              <w:spacing w:after="0"/>
            </w:pPr>
            <w:r>
              <w:rPr>
                <w:sz w:val="13"/>
              </w:rPr>
              <w:t>16</w:t>
            </w:r>
          </w:p>
        </w:tc>
        <w:tc>
          <w:tcPr>
            <w:tcW w:type="dxa" w:w="1587"/>
            <w:vAlign w:val="top"/>
            <w:tcMar>
              <w:top w:w="70" w:type="dxa"/>
              <w:start w:w="85" w:type="dxa"/>
              <w:bottom w:w="70" w:type="dxa"/>
              <w:end w:w="85" w:type="dxa"/>
            </w:tcMar>
          </w:tcPr>
          <w:p>
            <w:pPr>
              <w:spacing w:after="0"/>
            </w:pPr>
            <w:r>
              <w:rPr>
                <w:sz w:val="13"/>
              </w:rPr>
              <w:t>2.3 → 2.4</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Yedi harf yeniden uzun özetleniyor.</w:t>
            </w:r>
          </w:p>
        </w:tc>
        <w:tc>
          <w:tcPr>
            <w:tcW w:type="dxa" w:w="1928"/>
            <w:vAlign w:val="top"/>
            <w:tcMar>
              <w:top w:w="70" w:type="dxa"/>
              <w:start w:w="85" w:type="dxa"/>
              <w:bottom w:w="70" w:type="dxa"/>
              <w:end w:w="85" w:type="dxa"/>
            </w:tcMar>
          </w:tcPr>
          <w:p>
            <w:pPr>
              <w:spacing w:after="0"/>
            </w:pPr>
            <w:r>
              <w:rPr>
                <w:sz w:val="13"/>
              </w:rPr>
              <w:t>260’ı ortak başvuru metnine köprü yap.</w:t>
            </w:r>
          </w:p>
        </w:tc>
        <w:tc>
          <w:tcPr>
            <w:tcW w:type="dxa" w:w="2835"/>
            <w:vAlign w:val="top"/>
            <w:tcMar>
              <w:top w:w="70" w:type="dxa"/>
              <w:start w:w="85" w:type="dxa"/>
              <w:bottom w:w="70" w:type="dxa"/>
              <w:end w:w="85" w:type="dxa"/>
            </w:tcMar>
          </w:tcPr>
          <w:p>
            <w:pPr>
              <w:spacing w:after="0"/>
            </w:pPr>
            <w:r>
              <w:rPr>
                <w:sz w:val="13"/>
              </w:rPr>
              <w:t>“Bu farklı görüşler, Osmânî mushafların kırâat ve tefsirde ortak başvuru zemini hâline gelişinin ayrıca incelenmesini gerekli kılar.”</w:t>
            </w:r>
          </w:p>
        </w:tc>
      </w:tr>
      <w:tr>
        <w:trPr>
          <w:cantSplit/>
        </w:trPr>
        <w:tc>
          <w:tcPr>
            <w:tcW w:type="dxa" w:w="454"/>
            <w:vAlign w:val="top"/>
            <w:tcMar>
              <w:top w:w="70" w:type="dxa"/>
              <w:start w:w="85" w:type="dxa"/>
              <w:bottom w:w="70" w:type="dxa"/>
              <w:end w:w="85" w:type="dxa"/>
            </w:tcMar>
          </w:tcPr>
          <w:p>
            <w:pPr>
              <w:spacing w:after="0"/>
            </w:pPr>
            <w:r>
              <w:rPr>
                <w:sz w:val="13"/>
              </w:rPr>
              <w:t>17</w:t>
            </w:r>
          </w:p>
        </w:tc>
        <w:tc>
          <w:tcPr>
            <w:tcW w:type="dxa" w:w="1587"/>
            <w:vAlign w:val="top"/>
            <w:tcMar>
              <w:top w:w="70" w:type="dxa"/>
              <w:start w:w="85" w:type="dxa"/>
              <w:bottom w:w="70" w:type="dxa"/>
              <w:end w:w="85" w:type="dxa"/>
            </w:tcMar>
          </w:tcPr>
          <w:p>
            <w:pPr>
              <w:spacing w:after="0"/>
            </w:pPr>
            <w:r>
              <w:rPr>
                <w:sz w:val="13"/>
              </w:rPr>
              <w:t>2.4 → 3. Bölüm</w:t>
            </w:r>
          </w:p>
        </w:tc>
        <w:tc>
          <w:tcPr>
            <w:tcW w:type="dxa" w:w="1304"/>
            <w:vAlign w:val="top"/>
            <w:tcMar>
              <w:top w:w="70" w:type="dxa"/>
              <w:start w:w="85" w:type="dxa"/>
              <w:bottom w:w="70" w:type="dxa"/>
              <w:end w:w="85" w:type="dxa"/>
            </w:tcMar>
          </w:tcPr>
          <w:p>
            <w:pPr>
              <w:spacing w:after="0"/>
            </w:pPr>
            <w:r>
              <w:rPr>
                <w:sz w:val="13"/>
              </w:rPr>
              <w:t>Bölüm</w:t>
            </w:r>
          </w:p>
        </w:tc>
        <w:tc>
          <w:tcPr>
            <w:tcW w:type="dxa" w:w="2494"/>
            <w:vAlign w:val="top"/>
            <w:tcMar>
              <w:top w:w="70" w:type="dxa"/>
              <w:start w:w="85" w:type="dxa"/>
              <w:bottom w:w="70" w:type="dxa"/>
              <w:end w:w="85" w:type="dxa"/>
            </w:tcMar>
          </w:tcPr>
          <w:p>
            <w:pPr>
              <w:spacing w:after="0"/>
            </w:pPr>
            <w:r>
              <w:rPr>
                <w:sz w:val="13"/>
              </w:rPr>
              <w:t>Genel etki tartışmasından somut resm–lafız–mana örneklerine bağ görünmüyor.</w:t>
            </w:r>
          </w:p>
        </w:tc>
        <w:tc>
          <w:tcPr>
            <w:tcW w:type="dxa" w:w="1928"/>
            <w:vAlign w:val="top"/>
            <w:tcMar>
              <w:top w:w="70" w:type="dxa"/>
              <w:start w:w="85" w:type="dxa"/>
              <w:bottom w:w="70" w:type="dxa"/>
              <w:end w:w="85" w:type="dxa"/>
            </w:tcMar>
          </w:tcPr>
          <w:p>
            <w:pPr>
              <w:spacing w:after="0"/>
            </w:pPr>
            <w:r>
              <w:rPr>
                <w:sz w:val="13"/>
              </w:rPr>
              <w:t>273’ü somut incelemeye bağla.</w:t>
            </w:r>
          </w:p>
        </w:tc>
        <w:tc>
          <w:tcPr>
            <w:tcW w:type="dxa" w:w="2835"/>
            <w:vAlign w:val="top"/>
            <w:tcMar>
              <w:top w:w="70" w:type="dxa"/>
              <w:start w:w="85" w:type="dxa"/>
              <w:bottom w:w="70" w:type="dxa"/>
              <w:end w:w="85" w:type="dxa"/>
            </w:tcMar>
          </w:tcPr>
          <w:p>
            <w:pPr>
              <w:spacing w:after="0"/>
            </w:pPr>
            <w:r>
              <w:rPr>
                <w:sz w:val="13"/>
              </w:rPr>
              <w:t>“Bu genel çerçevenin nasıl işlediği, resm, kırâat, lafız ve mana arasındaki somut örneklerde daha açık görülebilir.”</w:t>
            </w:r>
          </w:p>
        </w:tc>
      </w:tr>
      <w:tr>
        <w:trPr>
          <w:cantSplit/>
        </w:trPr>
        <w:tc>
          <w:tcPr>
            <w:tcW w:type="dxa" w:w="454"/>
            <w:vAlign w:val="top"/>
            <w:tcMar>
              <w:top w:w="70" w:type="dxa"/>
              <w:start w:w="85" w:type="dxa"/>
              <w:bottom w:w="70" w:type="dxa"/>
              <w:end w:w="85" w:type="dxa"/>
            </w:tcMar>
          </w:tcPr>
          <w:p>
            <w:pPr>
              <w:spacing w:after="0"/>
            </w:pPr>
            <w:r>
              <w:rPr>
                <w:sz w:val="13"/>
              </w:rPr>
              <w:t>18</w:t>
            </w:r>
          </w:p>
        </w:tc>
        <w:tc>
          <w:tcPr>
            <w:tcW w:type="dxa" w:w="1587"/>
            <w:vAlign w:val="top"/>
            <w:tcMar>
              <w:top w:w="70" w:type="dxa"/>
              <w:start w:w="85" w:type="dxa"/>
              <w:bottom w:w="70" w:type="dxa"/>
              <w:end w:w="85" w:type="dxa"/>
            </w:tcMar>
          </w:tcPr>
          <w:p>
            <w:pPr>
              <w:spacing w:after="0"/>
            </w:pPr>
            <w:r>
              <w:rPr>
                <w:sz w:val="13"/>
              </w:rPr>
              <w:t>3.3 → 3.4</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3.3 sonu mana alanına taşıyor, 3.4 aynı alanı yeniden açıyor.</w:t>
            </w:r>
          </w:p>
        </w:tc>
        <w:tc>
          <w:tcPr>
            <w:tcW w:type="dxa" w:w="1928"/>
            <w:vAlign w:val="top"/>
            <w:tcMar>
              <w:top w:w="70" w:type="dxa"/>
              <w:start w:w="85" w:type="dxa"/>
              <w:bottom w:w="70" w:type="dxa"/>
              <w:end w:w="85" w:type="dxa"/>
            </w:tcMar>
          </w:tcPr>
          <w:p>
            <w:pPr>
              <w:spacing w:after="0"/>
            </w:pPr>
            <w:r>
              <w:rPr>
                <w:sz w:val="13"/>
              </w:rPr>
              <w:t>Mana kısmını 3.4’e taşı.</w:t>
            </w:r>
          </w:p>
        </w:tc>
        <w:tc>
          <w:tcPr>
            <w:tcW w:type="dxa" w:w="2835"/>
            <w:vAlign w:val="top"/>
            <w:tcMar>
              <w:top w:w="70" w:type="dxa"/>
              <w:start w:w="85" w:type="dxa"/>
              <w:bottom w:w="70" w:type="dxa"/>
              <w:end w:w="85" w:type="dxa"/>
            </w:tcMar>
          </w:tcPr>
          <w:p>
            <w:pPr>
              <w:spacing w:after="0"/>
            </w:pPr>
            <w:r>
              <w:rPr>
                <w:sz w:val="13"/>
              </w:rPr>
              <w:t>3.3 fonetik/yazısal ilişkiyle bitsin; 3.4 mana-hikmet yorumlarıyla başlasın.</w:t>
            </w:r>
          </w:p>
        </w:tc>
      </w:tr>
      <w:tr>
        <w:trPr>
          <w:cantSplit/>
        </w:trPr>
        <w:tc>
          <w:tcPr>
            <w:tcW w:type="dxa" w:w="454"/>
            <w:vAlign w:val="top"/>
            <w:tcMar>
              <w:top w:w="70" w:type="dxa"/>
              <w:start w:w="85" w:type="dxa"/>
              <w:bottom w:w="70" w:type="dxa"/>
              <w:end w:w="85" w:type="dxa"/>
            </w:tcMar>
          </w:tcPr>
          <w:p>
            <w:pPr>
              <w:spacing w:after="0"/>
            </w:pPr>
            <w:r>
              <w:rPr>
                <w:sz w:val="13"/>
              </w:rPr>
              <w:t>19</w:t>
            </w:r>
          </w:p>
        </w:tc>
        <w:tc>
          <w:tcPr>
            <w:tcW w:type="dxa" w:w="1587"/>
            <w:vAlign w:val="top"/>
            <w:tcMar>
              <w:top w:w="70" w:type="dxa"/>
              <w:start w:w="85" w:type="dxa"/>
              <w:bottom w:w="70" w:type="dxa"/>
              <w:end w:w="85" w:type="dxa"/>
            </w:tcMar>
          </w:tcPr>
          <w:p>
            <w:pPr>
              <w:spacing w:after="0"/>
            </w:pPr>
            <w:r>
              <w:rPr>
                <w:sz w:val="13"/>
              </w:rPr>
              <w:t>3.5 → 3.6</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İki sonuç paragrafından sonra bağlayıcılık başlığı başlıyor.</w:t>
            </w:r>
          </w:p>
        </w:tc>
        <w:tc>
          <w:tcPr>
            <w:tcW w:type="dxa" w:w="1928"/>
            <w:vAlign w:val="top"/>
            <w:tcMar>
              <w:top w:w="70" w:type="dxa"/>
              <w:start w:w="85" w:type="dxa"/>
              <w:bottom w:w="70" w:type="dxa"/>
              <w:end w:w="85" w:type="dxa"/>
            </w:tcMar>
          </w:tcPr>
          <w:p>
            <w:pPr>
              <w:spacing w:after="0"/>
            </w:pPr>
            <w:r>
              <w:rPr>
                <w:sz w:val="13"/>
              </w:rPr>
              <w:t>311’i bağlayıcılık sorusuna dönüştür.</w:t>
            </w:r>
          </w:p>
        </w:tc>
        <w:tc>
          <w:tcPr>
            <w:tcW w:type="dxa" w:w="2835"/>
            <w:vAlign w:val="top"/>
            <w:tcMar>
              <w:top w:w="70" w:type="dxa"/>
              <w:start w:w="85" w:type="dxa"/>
              <w:bottom w:w="70" w:type="dxa"/>
              <w:end w:w="85" w:type="dxa"/>
            </w:tcMar>
          </w:tcPr>
          <w:p>
            <w:pPr>
              <w:spacing w:after="0"/>
            </w:pPr>
            <w:r>
              <w:rPr>
                <w:sz w:val="13"/>
              </w:rPr>
              <w:t>“Bu dilsel ve anlamsal kullanımlar, resm verisinin yorumdaki yerini gösterir; bu verinin normatif bağlayıcılığı ise ayrı bir meseledir.”</w:t>
            </w:r>
          </w:p>
        </w:tc>
      </w:tr>
      <w:tr>
        <w:trPr>
          <w:cantSplit/>
        </w:trPr>
        <w:tc>
          <w:tcPr>
            <w:tcW w:type="dxa" w:w="454"/>
            <w:vAlign w:val="top"/>
            <w:tcMar>
              <w:top w:w="70" w:type="dxa"/>
              <w:start w:w="85" w:type="dxa"/>
              <w:bottom w:w="70" w:type="dxa"/>
              <w:end w:w="85" w:type="dxa"/>
            </w:tcMar>
          </w:tcPr>
          <w:p>
            <w:pPr>
              <w:spacing w:after="0"/>
            </w:pPr>
            <w:r>
              <w:rPr>
                <w:sz w:val="13"/>
              </w:rPr>
              <w:t>20</w:t>
            </w:r>
          </w:p>
        </w:tc>
        <w:tc>
          <w:tcPr>
            <w:tcW w:type="dxa" w:w="1587"/>
            <w:vAlign w:val="top"/>
            <w:tcMar>
              <w:top w:w="70" w:type="dxa"/>
              <w:start w:w="85" w:type="dxa"/>
              <w:bottom w:w="70" w:type="dxa"/>
              <w:end w:w="85" w:type="dxa"/>
            </w:tcMar>
          </w:tcPr>
          <w:p>
            <w:pPr>
              <w:spacing w:after="0"/>
            </w:pPr>
            <w:r>
              <w:rPr>
                <w:sz w:val="13"/>
              </w:rPr>
              <w:t>3.12 → 4. Bölüm</w:t>
            </w:r>
          </w:p>
        </w:tc>
        <w:tc>
          <w:tcPr>
            <w:tcW w:type="dxa" w:w="1304"/>
            <w:vAlign w:val="top"/>
            <w:tcMar>
              <w:top w:w="70" w:type="dxa"/>
              <w:start w:w="85" w:type="dxa"/>
              <w:bottom w:w="70" w:type="dxa"/>
              <w:end w:w="85" w:type="dxa"/>
            </w:tcMar>
          </w:tcPr>
          <w:p>
            <w:pPr>
              <w:spacing w:after="0"/>
            </w:pPr>
            <w:r>
              <w:rPr>
                <w:sz w:val="13"/>
              </w:rPr>
              <w:t>Bölüm</w:t>
            </w:r>
          </w:p>
        </w:tc>
        <w:tc>
          <w:tcPr>
            <w:tcW w:type="dxa" w:w="2494"/>
            <w:vAlign w:val="top"/>
            <w:tcMar>
              <w:top w:w="70" w:type="dxa"/>
              <w:start w:w="85" w:type="dxa"/>
              <w:bottom w:w="70" w:type="dxa"/>
              <w:end w:w="85" w:type="dxa"/>
            </w:tcMar>
          </w:tcPr>
          <w:p>
            <w:pPr>
              <w:spacing w:after="0"/>
            </w:pPr>
            <w:r>
              <w:rPr>
                <w:sz w:val="13"/>
              </w:rPr>
              <w:t>Ümmet birliğinden teknik rivâyet işlevine ani dönüş.</w:t>
            </w:r>
          </w:p>
        </w:tc>
        <w:tc>
          <w:tcPr>
            <w:tcW w:type="dxa" w:w="1928"/>
            <w:vAlign w:val="top"/>
            <w:tcMar>
              <w:top w:w="70" w:type="dxa"/>
              <w:start w:w="85" w:type="dxa"/>
              <w:bottom w:w="70" w:type="dxa"/>
              <w:end w:w="85" w:type="dxa"/>
            </w:tcMar>
          </w:tcPr>
          <w:p>
            <w:pPr>
              <w:spacing w:after="0"/>
            </w:pPr>
            <w:r>
              <w:rPr>
                <w:sz w:val="13"/>
              </w:rPr>
              <w:t>Son cümlede kitabın ana sorusuna dön.</w:t>
            </w:r>
          </w:p>
        </w:tc>
        <w:tc>
          <w:tcPr>
            <w:tcW w:type="dxa" w:w="2835"/>
            <w:vAlign w:val="top"/>
            <w:tcMar>
              <w:top w:w="70" w:type="dxa"/>
              <w:start w:w="85" w:type="dxa"/>
              <w:bottom w:w="70" w:type="dxa"/>
              <w:end w:w="85" w:type="dxa"/>
            </w:tcMar>
          </w:tcPr>
          <w:p>
            <w:pPr>
              <w:spacing w:after="0"/>
            </w:pPr>
            <w:r>
              <w:rPr>
                <w:sz w:val="13"/>
              </w:rPr>
              <w:t>“Bu gerekçelerden sonra, resm verilerinin kırâat vecihlerinin rivâyet ve değerlendirilmesinde nasıl kullanıldığına geçilebilir.”</w:t>
            </w:r>
          </w:p>
        </w:tc>
      </w:tr>
      <w:tr>
        <w:trPr>
          <w:cantSplit/>
        </w:trPr>
        <w:tc>
          <w:tcPr>
            <w:tcW w:type="dxa" w:w="454"/>
            <w:vAlign w:val="top"/>
            <w:tcMar>
              <w:top w:w="70" w:type="dxa"/>
              <w:start w:w="85" w:type="dxa"/>
              <w:bottom w:w="70" w:type="dxa"/>
              <w:end w:w="85" w:type="dxa"/>
            </w:tcMar>
          </w:tcPr>
          <w:p>
            <w:pPr>
              <w:spacing w:after="0"/>
            </w:pPr>
            <w:r>
              <w:rPr>
                <w:sz w:val="13"/>
              </w:rPr>
              <w:t>21</w:t>
            </w:r>
          </w:p>
        </w:tc>
        <w:tc>
          <w:tcPr>
            <w:tcW w:type="dxa" w:w="1587"/>
            <w:vAlign w:val="top"/>
            <w:tcMar>
              <w:top w:w="70" w:type="dxa"/>
              <w:start w:w="85" w:type="dxa"/>
              <w:bottom w:w="70" w:type="dxa"/>
              <w:end w:w="85" w:type="dxa"/>
            </w:tcMar>
          </w:tcPr>
          <w:p>
            <w:pPr>
              <w:spacing w:after="0"/>
            </w:pPr>
            <w:r>
              <w:rPr>
                <w:sz w:val="13"/>
              </w:rPr>
              <w:t>4.1 → 4.2</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Genel tahditten sahâbe mushaflarına neden geçildiği söylenmiyor.</w:t>
            </w:r>
          </w:p>
        </w:tc>
        <w:tc>
          <w:tcPr>
            <w:tcW w:type="dxa" w:w="1928"/>
            <w:vAlign w:val="top"/>
            <w:tcMar>
              <w:top w:w="70" w:type="dxa"/>
              <w:start w:w="85" w:type="dxa"/>
              <w:bottom w:w="70" w:type="dxa"/>
              <w:end w:w="85" w:type="dxa"/>
            </w:tcMar>
          </w:tcPr>
          <w:p>
            <w:pPr>
              <w:spacing w:after="0"/>
            </w:pPr>
            <w:r>
              <w:rPr>
                <w:sz w:val="13"/>
              </w:rPr>
              <w:t>4.1 son cümleyi tarihsel tanıklık/normatif otorite ayrımına bağla.</w:t>
            </w:r>
          </w:p>
        </w:tc>
        <w:tc>
          <w:tcPr>
            <w:tcW w:type="dxa" w:w="2835"/>
            <w:vAlign w:val="top"/>
            <w:tcMar>
              <w:top w:w="70" w:type="dxa"/>
              <w:start w:w="85" w:type="dxa"/>
              <w:bottom w:w="70" w:type="dxa"/>
              <w:end w:w="85" w:type="dxa"/>
            </w:tcMar>
          </w:tcPr>
          <w:p>
            <w:pPr>
              <w:spacing w:after="0"/>
            </w:pPr>
            <w:r>
              <w:rPr>
                <w:sz w:val="13"/>
              </w:rPr>
              <w:t>“Bu sınır, sahâbe mushaflarına nispet edilen farklı kayıtlar karşısında daha görünür hâle gelir.”</w:t>
            </w:r>
          </w:p>
        </w:tc>
      </w:tr>
      <w:tr>
        <w:trPr>
          <w:cantSplit/>
        </w:trPr>
        <w:tc>
          <w:tcPr>
            <w:tcW w:type="dxa" w:w="454"/>
            <w:vAlign w:val="top"/>
            <w:tcMar>
              <w:top w:w="70" w:type="dxa"/>
              <w:start w:w="85" w:type="dxa"/>
              <w:bottom w:w="70" w:type="dxa"/>
              <w:end w:w="85" w:type="dxa"/>
            </w:tcMar>
          </w:tcPr>
          <w:p>
            <w:pPr>
              <w:spacing w:after="0"/>
            </w:pPr>
            <w:r>
              <w:rPr>
                <w:sz w:val="13"/>
              </w:rPr>
              <w:t>22</w:t>
            </w:r>
          </w:p>
        </w:tc>
        <w:tc>
          <w:tcPr>
            <w:tcW w:type="dxa" w:w="1587"/>
            <w:vAlign w:val="top"/>
            <w:tcMar>
              <w:top w:w="70" w:type="dxa"/>
              <w:start w:w="85" w:type="dxa"/>
              <w:bottom w:w="70" w:type="dxa"/>
              <w:end w:w="85" w:type="dxa"/>
            </w:tcMar>
          </w:tcPr>
          <w:p>
            <w:pPr>
              <w:spacing w:after="0"/>
            </w:pPr>
            <w:r>
              <w:rPr>
                <w:sz w:val="13"/>
              </w:rPr>
              <w:t>4.3 → 4.4</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Kabul/ret ile tercih-tevcîh aynı düzey gibi art arda geliyor.</w:t>
            </w:r>
          </w:p>
        </w:tc>
        <w:tc>
          <w:tcPr>
            <w:tcW w:type="dxa" w:w="1928"/>
            <w:vAlign w:val="top"/>
            <w:tcMar>
              <w:top w:w="70" w:type="dxa"/>
              <w:start w:w="85" w:type="dxa"/>
              <w:bottom w:w="70" w:type="dxa"/>
              <w:end w:w="85" w:type="dxa"/>
            </w:tcMar>
          </w:tcPr>
          <w:p>
            <w:pPr>
              <w:spacing w:after="0"/>
            </w:pPr>
            <w:r>
              <w:rPr>
                <w:sz w:val="13"/>
              </w:rPr>
              <w:t>4.4’te düzey ayrımı kur.</w:t>
            </w:r>
          </w:p>
        </w:tc>
        <w:tc>
          <w:tcPr>
            <w:tcW w:type="dxa" w:w="2835"/>
            <w:vAlign w:val="top"/>
            <w:tcMar>
              <w:top w:w="70" w:type="dxa"/>
              <w:start w:w="85" w:type="dxa"/>
              <w:bottom w:w="70" w:type="dxa"/>
              <w:end w:w="85" w:type="dxa"/>
            </w:tcMar>
          </w:tcPr>
          <w:p>
            <w:pPr>
              <w:spacing w:after="0"/>
            </w:pPr>
            <w:r>
              <w:rPr>
                <w:sz w:val="13"/>
              </w:rPr>
              <w:t>“Kabul sınırı ile sahih kabul edilen okuyuşlar arasındaki tercih ve tevcîh işlemleri birbirinden ayrılmalıdır.”</w:t>
            </w:r>
          </w:p>
        </w:tc>
      </w:tr>
      <w:tr>
        <w:trPr>
          <w:cantSplit/>
        </w:trPr>
        <w:tc>
          <w:tcPr>
            <w:tcW w:type="dxa" w:w="454"/>
            <w:vAlign w:val="top"/>
            <w:tcMar>
              <w:top w:w="70" w:type="dxa"/>
              <w:start w:w="85" w:type="dxa"/>
              <w:bottom w:w="70" w:type="dxa"/>
              <w:end w:w="85" w:type="dxa"/>
            </w:tcMar>
          </w:tcPr>
          <w:p>
            <w:pPr>
              <w:spacing w:after="0"/>
            </w:pPr>
            <w:r>
              <w:rPr>
                <w:sz w:val="13"/>
              </w:rPr>
              <w:t>23</w:t>
            </w:r>
          </w:p>
        </w:tc>
        <w:tc>
          <w:tcPr>
            <w:tcW w:type="dxa" w:w="1587"/>
            <w:vAlign w:val="top"/>
            <w:tcMar>
              <w:top w:w="70" w:type="dxa"/>
              <w:start w:w="85" w:type="dxa"/>
              <w:bottom w:w="70" w:type="dxa"/>
              <w:end w:w="85" w:type="dxa"/>
            </w:tcMar>
          </w:tcPr>
          <w:p>
            <w:pPr>
              <w:spacing w:after="0"/>
            </w:pPr>
            <w:r>
              <w:rPr>
                <w:sz w:val="13"/>
              </w:rPr>
              <w:t>4.5 → 4.6</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Erken resm rivâyetlerinden modern neşre zaman sıçraması.</w:t>
            </w:r>
          </w:p>
        </w:tc>
        <w:tc>
          <w:tcPr>
            <w:tcW w:type="dxa" w:w="1928"/>
            <w:vAlign w:val="top"/>
            <w:tcMar>
              <w:top w:w="70" w:type="dxa"/>
              <w:start w:w="85" w:type="dxa"/>
              <w:bottom w:w="70" w:type="dxa"/>
              <w:end w:w="85" w:type="dxa"/>
            </w:tcMar>
          </w:tcPr>
          <w:p>
            <w:pPr>
              <w:spacing w:after="0"/>
            </w:pPr>
            <w:r>
              <w:rPr>
                <w:sz w:val="13"/>
              </w:rPr>
              <w:t>4.6 klasik birikimin neşre aktarılmasıyla başlasın.</w:t>
            </w:r>
          </w:p>
        </w:tc>
        <w:tc>
          <w:tcPr>
            <w:tcW w:type="dxa" w:w="2835"/>
            <w:vAlign w:val="top"/>
            <w:tcMar>
              <w:top w:w="70" w:type="dxa"/>
              <w:start w:w="85" w:type="dxa"/>
              <w:bottom w:w="70" w:type="dxa"/>
              <w:end w:w="85" w:type="dxa"/>
            </w:tcMar>
          </w:tcPr>
          <w:p>
            <w:pPr>
              <w:spacing w:after="0"/>
            </w:pPr>
            <w:r>
              <w:rPr>
                <w:sz w:val="13"/>
              </w:rPr>
              <w:t>“Resm rivâyetlerinin sonraki dönemdeki önemli işlevlerinden biri, mushaf istinsahı ve neşrinde başvurulan yazım geleneğini beslemesidir.”</w:t>
            </w:r>
          </w:p>
        </w:tc>
      </w:tr>
      <w:tr>
        <w:trPr>
          <w:cantSplit/>
        </w:trPr>
        <w:tc>
          <w:tcPr>
            <w:tcW w:type="dxa" w:w="454"/>
            <w:vAlign w:val="top"/>
            <w:tcMar>
              <w:top w:w="70" w:type="dxa"/>
              <w:start w:w="85" w:type="dxa"/>
              <w:bottom w:w="70" w:type="dxa"/>
              <w:end w:w="85" w:type="dxa"/>
            </w:tcMar>
          </w:tcPr>
          <w:p>
            <w:pPr>
              <w:spacing w:after="0"/>
            </w:pPr>
            <w:r>
              <w:rPr>
                <w:sz w:val="13"/>
              </w:rPr>
              <w:t>24</w:t>
            </w:r>
          </w:p>
        </w:tc>
        <w:tc>
          <w:tcPr>
            <w:tcW w:type="dxa" w:w="1587"/>
            <w:vAlign w:val="top"/>
            <w:tcMar>
              <w:top w:w="70" w:type="dxa"/>
              <w:start w:w="85" w:type="dxa"/>
              <w:bottom w:w="70" w:type="dxa"/>
              <w:end w:w="85" w:type="dxa"/>
            </w:tcMar>
          </w:tcPr>
          <w:p>
            <w:pPr>
              <w:spacing w:after="0"/>
            </w:pPr>
            <w:r>
              <w:rPr>
                <w:sz w:val="13"/>
              </w:rPr>
              <w:t>4.6 → 4.7</w:t>
            </w:r>
          </w:p>
        </w:tc>
        <w:tc>
          <w:tcPr>
            <w:tcW w:type="dxa" w:w="1304"/>
            <w:vAlign w:val="top"/>
            <w:tcMar>
              <w:top w:w="70" w:type="dxa"/>
              <w:start w:w="85" w:type="dxa"/>
              <w:bottom w:w="70" w:type="dxa"/>
              <w:end w:w="85" w:type="dxa"/>
            </w:tcMar>
          </w:tcPr>
          <w:p>
            <w:pPr>
              <w:spacing w:after="0"/>
            </w:pPr>
            <w:r>
              <w:rPr>
                <w:sz w:val="13"/>
              </w:rPr>
              <w:t>Alt başlık</w:t>
            </w:r>
          </w:p>
        </w:tc>
        <w:tc>
          <w:tcPr>
            <w:tcW w:type="dxa" w:w="2494"/>
            <w:vAlign w:val="top"/>
            <w:tcMar>
              <w:top w:w="70" w:type="dxa"/>
              <w:start w:w="85" w:type="dxa"/>
              <w:bottom w:w="70" w:type="dxa"/>
              <w:end w:w="85" w:type="dxa"/>
            </w:tcMar>
          </w:tcPr>
          <w:p>
            <w:pPr>
              <w:spacing w:after="0"/>
            </w:pPr>
            <w:r>
              <w:rPr>
                <w:sz w:val="13"/>
              </w:rPr>
              <w:t>Yeni başlık iki paragraf genel hat tarihine geri dönüyor.</w:t>
            </w:r>
          </w:p>
        </w:tc>
        <w:tc>
          <w:tcPr>
            <w:tcW w:type="dxa" w:w="1928"/>
            <w:vAlign w:val="top"/>
            <w:tcMar>
              <w:top w:w="70" w:type="dxa"/>
              <w:start w:w="85" w:type="dxa"/>
              <w:bottom w:w="70" w:type="dxa"/>
              <w:end w:w="85" w:type="dxa"/>
            </w:tcMar>
          </w:tcPr>
          <w:p>
            <w:pPr>
              <w:spacing w:after="0"/>
            </w:pPr>
            <w:r>
              <w:rPr>
                <w:sz w:val="13"/>
              </w:rPr>
              <w:t>4.7’yi mevcut 459 ile başlat.</w:t>
            </w:r>
          </w:p>
        </w:tc>
        <w:tc>
          <w:tcPr>
            <w:tcW w:type="dxa" w:w="2835"/>
            <w:vAlign w:val="top"/>
            <w:tcMar>
              <w:top w:w="70" w:type="dxa"/>
              <w:start w:w="85" w:type="dxa"/>
              <w:bottom w:w="70" w:type="dxa"/>
              <w:end w:w="85" w:type="dxa"/>
            </w:tcMar>
          </w:tcPr>
          <w:p>
            <w:pPr>
              <w:spacing w:after="0"/>
            </w:pPr>
            <w:r>
              <w:rPr>
                <w:sz w:val="13"/>
              </w:rPr>
              <w:t>“Zapt işaretlerinin gelişmesiyle mushaflar belirli kırâat rivâyetlerine göre düzenlenmeye başlamıştır.”</w:t>
            </w:r>
          </w:p>
        </w:tc>
      </w:tr>
      <w:tr>
        <w:trPr>
          <w:cantSplit/>
        </w:trPr>
        <w:tc>
          <w:tcPr>
            <w:tcW w:type="dxa" w:w="454"/>
            <w:vAlign w:val="top"/>
            <w:tcMar>
              <w:top w:w="70" w:type="dxa"/>
              <w:start w:w="85" w:type="dxa"/>
              <w:bottom w:w="70" w:type="dxa"/>
              <w:end w:w="85" w:type="dxa"/>
            </w:tcMar>
          </w:tcPr>
          <w:p>
            <w:pPr>
              <w:spacing w:after="0"/>
            </w:pPr>
            <w:r>
              <w:rPr>
                <w:sz w:val="13"/>
              </w:rPr>
              <w:t>25</w:t>
            </w:r>
          </w:p>
        </w:tc>
        <w:tc>
          <w:tcPr>
            <w:tcW w:type="dxa" w:w="1587"/>
            <w:vAlign w:val="top"/>
            <w:tcMar>
              <w:top w:w="70" w:type="dxa"/>
              <w:start w:w="85" w:type="dxa"/>
              <w:bottom w:w="70" w:type="dxa"/>
              <w:end w:w="85" w:type="dxa"/>
            </w:tcMar>
          </w:tcPr>
          <w:p>
            <w:pPr>
              <w:spacing w:after="0"/>
            </w:pPr>
            <w:r>
              <w:rPr>
                <w:sz w:val="13"/>
              </w:rPr>
              <w:t>4.7 içi</w:t>
            </w:r>
          </w:p>
        </w:tc>
        <w:tc>
          <w:tcPr>
            <w:tcW w:type="dxa" w:w="1304"/>
            <w:vAlign w:val="top"/>
            <w:tcMar>
              <w:top w:w="70" w:type="dxa"/>
              <w:start w:w="85" w:type="dxa"/>
              <w:bottom w:w="70" w:type="dxa"/>
              <w:end w:w="85" w:type="dxa"/>
            </w:tcMar>
          </w:tcPr>
          <w:p>
            <w:pPr>
              <w:spacing w:after="0"/>
            </w:pPr>
            <w:r>
              <w:rPr>
                <w:sz w:val="13"/>
              </w:rPr>
              <w:t>Paragraflar arası</w:t>
            </w:r>
          </w:p>
        </w:tc>
        <w:tc>
          <w:tcPr>
            <w:tcW w:type="dxa" w:w="2494"/>
            <w:vAlign w:val="top"/>
            <w:tcMar>
              <w:top w:w="70" w:type="dxa"/>
              <w:start w:w="85" w:type="dxa"/>
              <w:bottom w:w="70" w:type="dxa"/>
              <w:end w:w="85" w:type="dxa"/>
            </w:tcMar>
          </w:tcPr>
          <w:p>
            <w:pPr>
              <w:spacing w:after="0"/>
            </w:pPr>
            <w:r>
              <w:rPr>
                <w:sz w:val="13"/>
              </w:rPr>
              <w:t>471 genel sonuç veriyor, 472 Türkiye örneği başlıyor.</w:t>
            </w:r>
          </w:p>
        </w:tc>
        <w:tc>
          <w:tcPr>
            <w:tcW w:type="dxa" w:w="1928"/>
            <w:vAlign w:val="top"/>
            <w:tcMar>
              <w:top w:w="70" w:type="dxa"/>
              <w:start w:w="85" w:type="dxa"/>
              <w:bottom w:w="70" w:type="dxa"/>
              <w:end w:w="85" w:type="dxa"/>
            </w:tcMar>
          </w:tcPr>
          <w:p>
            <w:pPr>
              <w:spacing w:after="0"/>
            </w:pPr>
            <w:r>
              <w:rPr>
                <w:sz w:val="13"/>
              </w:rPr>
              <w:t>471’i sonuçtan geçişe dönüştür.</w:t>
            </w:r>
          </w:p>
        </w:tc>
        <w:tc>
          <w:tcPr>
            <w:tcW w:type="dxa" w:w="2835"/>
            <w:vAlign w:val="top"/>
            <w:tcMar>
              <w:top w:w="70" w:type="dxa"/>
              <w:start w:w="85" w:type="dxa"/>
              <w:bottom w:w="70" w:type="dxa"/>
              <w:end w:w="85" w:type="dxa"/>
            </w:tcMar>
          </w:tcPr>
          <w:p>
            <w:pPr>
              <w:spacing w:after="0"/>
            </w:pPr>
            <w:r>
              <w:rPr>
                <w:sz w:val="13"/>
              </w:rPr>
              <w:t>“Bu genel matbu süreç, Türkiye’de denetimli mushaf neşri bakımından farklı bir kurumsal seyir izlemiştir.”</w:t>
            </w:r>
          </w:p>
        </w:tc>
      </w:tr>
      <w:tr>
        <w:trPr>
          <w:cantSplit/>
        </w:trPr>
        <w:tc>
          <w:tcPr>
            <w:tcW w:type="dxa" w:w="454"/>
            <w:vAlign w:val="top"/>
            <w:tcMar>
              <w:top w:w="70" w:type="dxa"/>
              <w:start w:w="85" w:type="dxa"/>
              <w:bottom w:w="70" w:type="dxa"/>
              <w:end w:w="85" w:type="dxa"/>
            </w:tcMar>
          </w:tcPr>
          <w:p>
            <w:pPr>
              <w:spacing w:after="0"/>
            </w:pPr>
            <w:r>
              <w:rPr>
                <w:sz w:val="13"/>
              </w:rPr>
              <w:t>26</w:t>
            </w:r>
          </w:p>
        </w:tc>
        <w:tc>
          <w:tcPr>
            <w:tcW w:type="dxa" w:w="1587"/>
            <w:vAlign w:val="top"/>
            <w:tcMar>
              <w:top w:w="70" w:type="dxa"/>
              <w:start w:w="85" w:type="dxa"/>
              <w:bottom w:w="70" w:type="dxa"/>
              <w:end w:w="85" w:type="dxa"/>
            </w:tcMar>
          </w:tcPr>
          <w:p>
            <w:pPr>
              <w:spacing w:after="0"/>
            </w:pPr>
            <w:r>
              <w:rPr>
                <w:sz w:val="13"/>
              </w:rPr>
              <w:t>4.7 → Sonuç</w:t>
            </w:r>
          </w:p>
        </w:tc>
        <w:tc>
          <w:tcPr>
            <w:tcW w:type="dxa" w:w="1304"/>
            <w:vAlign w:val="top"/>
            <w:tcMar>
              <w:top w:w="70" w:type="dxa"/>
              <w:start w:w="85" w:type="dxa"/>
              <w:bottom w:w="70" w:type="dxa"/>
              <w:end w:w="85" w:type="dxa"/>
            </w:tcMar>
          </w:tcPr>
          <w:p>
            <w:pPr>
              <w:spacing w:after="0"/>
            </w:pPr>
            <w:r>
              <w:rPr>
                <w:sz w:val="13"/>
              </w:rPr>
              <w:t>Bölüm</w:t>
            </w:r>
          </w:p>
        </w:tc>
        <w:tc>
          <w:tcPr>
            <w:tcW w:type="dxa" w:w="2494"/>
            <w:vAlign w:val="top"/>
            <w:tcMar>
              <w:top w:w="70" w:type="dxa"/>
              <w:start w:w="85" w:type="dxa"/>
              <w:bottom w:w="70" w:type="dxa"/>
              <w:end w:w="85" w:type="dxa"/>
            </w:tcMar>
          </w:tcPr>
          <w:p>
            <w:pPr>
              <w:spacing w:after="0"/>
            </w:pPr>
            <w:r>
              <w:rPr>
                <w:sz w:val="13"/>
              </w:rPr>
              <w:t>Açık bir geçiş eksikliği zorunlu değil; Sonuç zaten ana tezi yeniden kuruyor.</w:t>
            </w:r>
          </w:p>
        </w:tc>
        <w:tc>
          <w:tcPr>
            <w:tcW w:type="dxa" w:w="1928"/>
            <w:vAlign w:val="top"/>
            <w:tcMar>
              <w:top w:w="70" w:type="dxa"/>
              <w:start w:w="85" w:type="dxa"/>
              <w:bottom w:w="70" w:type="dxa"/>
              <w:end w:w="85" w:type="dxa"/>
            </w:tcMar>
          </w:tcPr>
          <w:p>
            <w:pPr>
              <w:spacing w:after="0"/>
            </w:pPr>
            <w:r>
              <w:rPr>
                <w:sz w:val="13"/>
              </w:rPr>
              <w:t>Yeni paragraf ekleme.</w:t>
            </w:r>
          </w:p>
        </w:tc>
        <w:tc>
          <w:tcPr>
            <w:tcW w:type="dxa" w:w="2835"/>
            <w:vAlign w:val="top"/>
            <w:tcMar>
              <w:top w:w="70" w:type="dxa"/>
              <w:start w:w="85" w:type="dxa"/>
              <w:bottom w:w="70" w:type="dxa"/>
              <w:end w:w="85" w:type="dxa"/>
            </w:tcMar>
          </w:tcPr>
          <w:p>
            <w:pPr>
              <w:spacing w:after="0"/>
            </w:pPr>
            <w:r>
              <w:rPr>
                <w:sz w:val="13"/>
              </w:rPr>
              <w:t>Mevcut Sonuç açılışı korunabilir.</w:t>
            </w:r>
          </w:p>
        </w:tc>
      </w:tr>
    </w:tbl>
    <w:p>
      <w:pPr>
        <w:pStyle w:val="Heading2"/>
        <w:keepNext/>
      </w:pPr>
      <w:r>
        <w:t>7. Dipnot, İSNAD 2 ve Kaynakça: Kalan Uygulama İşleri</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757"/>
            <w:shd w:fill="D9EAF7"/>
          </w:tcPr>
          <w:p>
            <w:r>
              <w:rPr>
                <w:b/>
                <w:sz w:val="15"/>
              </w:rPr>
              <w:t>Konu</w:t>
            </w:r>
          </w:p>
        </w:tc>
        <w:tc>
          <w:tcPr>
            <w:tcW w:type="dxa" w:w="1757"/>
            <w:shd w:fill="D9EAF7"/>
          </w:tcPr>
          <w:p>
            <w:r>
              <w:rPr>
                <w:b/>
                <w:sz w:val="15"/>
              </w:rPr>
              <w:t>Durum</w:t>
            </w:r>
          </w:p>
        </w:tc>
        <w:tc>
          <w:tcPr>
            <w:tcW w:type="dxa" w:w="3628"/>
            <w:shd w:fill="D9EAF7"/>
          </w:tcPr>
          <w:p>
            <w:r>
              <w:rPr>
                <w:b/>
                <w:sz w:val="15"/>
              </w:rPr>
              <w:t>Kalan mesele</w:t>
            </w:r>
          </w:p>
        </w:tc>
        <w:tc>
          <w:tcPr>
            <w:tcW w:type="dxa" w:w="3175"/>
            <w:shd w:fill="D9EAF7"/>
          </w:tcPr>
          <w:p>
            <w:r>
              <w:rPr>
                <w:b/>
                <w:sz w:val="15"/>
              </w:rPr>
              <w:t>İşlem</w:t>
            </w:r>
          </w:p>
        </w:tc>
      </w:tr>
      <w:tr>
        <w:trPr>
          <w:cantSplit/>
        </w:trPr>
        <w:tc>
          <w:tcPr>
            <w:tcW w:type="dxa" w:w="1757"/>
            <w:vAlign w:val="top"/>
            <w:tcMar>
              <w:top w:w="70" w:type="dxa"/>
              <w:start w:w="85" w:type="dxa"/>
              <w:bottom w:w="70" w:type="dxa"/>
              <w:end w:w="85" w:type="dxa"/>
            </w:tcMar>
          </w:tcPr>
          <w:p>
            <w:pPr>
              <w:spacing w:after="0"/>
            </w:pPr>
            <w:r>
              <w:rPr>
                <w:sz w:val="15"/>
              </w:rPr>
              <w:t>Dipnot müellif artikelleri</w:t>
            </w:r>
          </w:p>
        </w:tc>
        <w:tc>
          <w:tcPr>
            <w:tcW w:type="dxa" w:w="1757"/>
            <w:vAlign w:val="top"/>
            <w:tcMar>
              <w:top w:w="70" w:type="dxa"/>
              <w:start w:w="85" w:type="dxa"/>
              <w:bottom w:w="70" w:type="dxa"/>
              <w:end w:w="85" w:type="dxa"/>
            </w:tcMar>
          </w:tcPr>
          <w:p>
            <w:pPr>
              <w:spacing w:after="0"/>
            </w:pPr>
            <w:r>
              <w:rPr>
                <w:sz w:val="15"/>
              </w:rPr>
              <w:t>Ev stili kararı bekliyor</w:t>
            </w:r>
          </w:p>
        </w:tc>
        <w:tc>
          <w:tcPr>
            <w:tcW w:type="dxa" w:w="3628"/>
            <w:vAlign w:val="top"/>
            <w:tcMar>
              <w:top w:w="70" w:type="dxa"/>
              <w:start w:w="85" w:type="dxa"/>
              <w:bottom w:w="70" w:type="dxa"/>
              <w:end w:w="85" w:type="dxa"/>
            </w:tcMar>
          </w:tcPr>
          <w:p>
            <w:pPr>
              <w:spacing w:after="0"/>
            </w:pPr>
            <w:r>
              <w:rPr>
                <w:sz w:val="15"/>
              </w:rPr>
              <w:t>“el-/ez-/eş-/en- kaldırılacak” talebi İSNAD 2 ve bibliyografik isim biçimiyle çatışabilecek bir ev stili tercihidir.</w:t>
            </w:r>
          </w:p>
        </w:tc>
        <w:tc>
          <w:tcPr>
            <w:tcW w:type="dxa" w:w="3175"/>
            <w:vAlign w:val="top"/>
            <w:tcMar>
              <w:top w:w="70" w:type="dxa"/>
              <w:start w:w="85" w:type="dxa"/>
              <w:bottom w:w="70" w:type="dxa"/>
              <w:end w:w="85" w:type="dxa"/>
            </w:tcMar>
          </w:tcPr>
          <w:p>
            <w:pPr>
              <w:spacing w:after="0"/>
            </w:pPr>
            <w:r>
              <w:rPr>
                <w:sz w:val="15"/>
              </w:rPr>
              <w:t>Önce yazılı ev stili kararı; sonra Zotero author verisi üzerinden kontrollü toplu işlem.</w:t>
            </w:r>
          </w:p>
        </w:tc>
      </w:tr>
      <w:tr>
        <w:trPr>
          <w:cantSplit/>
        </w:trPr>
        <w:tc>
          <w:tcPr>
            <w:tcW w:type="dxa" w:w="1757"/>
            <w:vAlign w:val="top"/>
            <w:tcMar>
              <w:top w:w="70" w:type="dxa"/>
              <w:start w:w="85" w:type="dxa"/>
              <w:bottom w:w="70" w:type="dxa"/>
              <w:end w:w="85" w:type="dxa"/>
            </w:tcMar>
          </w:tcPr>
          <w:p>
            <w:pPr>
              <w:spacing w:after="0"/>
            </w:pPr>
            <w:r>
              <w:rPr>
                <w:sz w:val="15"/>
              </w:rPr>
              <w:t>Sûre adları</w:t>
            </w:r>
          </w:p>
        </w:tc>
        <w:tc>
          <w:tcPr>
            <w:tcW w:type="dxa" w:w="1757"/>
            <w:vAlign w:val="top"/>
            <w:tcMar>
              <w:top w:w="70" w:type="dxa"/>
              <w:start w:w="85" w:type="dxa"/>
              <w:bottom w:w="70" w:type="dxa"/>
              <w:end w:w="85" w:type="dxa"/>
            </w:tcMar>
          </w:tcPr>
          <w:p>
            <w:pPr>
              <w:spacing w:after="0"/>
            </w:pPr>
            <w:r>
              <w:rPr>
                <w:sz w:val="15"/>
              </w:rPr>
              <w:t>Kısmen açık</w:t>
            </w:r>
          </w:p>
        </w:tc>
        <w:tc>
          <w:tcPr>
            <w:tcW w:type="dxa" w:w="3628"/>
            <w:vAlign w:val="top"/>
            <w:tcMar>
              <w:top w:w="70" w:type="dxa"/>
              <w:start w:w="85" w:type="dxa"/>
              <w:bottom w:w="70" w:type="dxa"/>
              <w:end w:w="85" w:type="dxa"/>
            </w:tcMar>
          </w:tcPr>
          <w:p>
            <w:pPr>
              <w:spacing w:after="0"/>
            </w:pPr>
            <w:r>
              <w:rPr>
                <w:sz w:val="15"/>
              </w:rPr>
              <w:t>Dipnotlarda hem artikel alan hem almayan biçimler var.</w:t>
            </w:r>
          </w:p>
        </w:tc>
        <w:tc>
          <w:tcPr>
            <w:tcW w:type="dxa" w:w="3175"/>
            <w:vAlign w:val="top"/>
            <w:tcMar>
              <w:top w:w="70" w:type="dxa"/>
              <w:start w:w="85" w:type="dxa"/>
              <w:bottom w:w="70" w:type="dxa"/>
              <w:end w:w="85" w:type="dxa"/>
            </w:tcMar>
          </w:tcPr>
          <w:p>
            <w:pPr>
              <w:spacing w:after="0"/>
            </w:pPr>
            <w:r>
              <w:rPr>
                <w:sz w:val="15"/>
              </w:rPr>
              <w:t>el-Bakara, en-Nisâ, et-Tevbe vb. proje tercihi tekleştirilmeli; bibliyografik eser başlıklarına dokunulmamalı.</w:t>
            </w:r>
          </w:p>
        </w:tc>
      </w:tr>
      <w:tr>
        <w:trPr>
          <w:cantSplit/>
        </w:trPr>
        <w:tc>
          <w:tcPr>
            <w:tcW w:type="dxa" w:w="1757"/>
            <w:vAlign w:val="top"/>
            <w:tcMar>
              <w:top w:w="70" w:type="dxa"/>
              <w:start w:w="85" w:type="dxa"/>
              <w:bottom w:w="70" w:type="dxa"/>
              <w:end w:w="85" w:type="dxa"/>
            </w:tcMar>
          </w:tcPr>
          <w:p>
            <w:pPr>
              <w:spacing w:after="0"/>
            </w:pPr>
            <w:r>
              <w:rPr>
                <w:sz w:val="15"/>
              </w:rPr>
              <w:t>İlk/kısa dipnot</w:t>
            </w:r>
          </w:p>
        </w:tc>
        <w:tc>
          <w:tcPr>
            <w:tcW w:type="dxa" w:w="1757"/>
            <w:vAlign w:val="top"/>
            <w:tcMar>
              <w:top w:w="70" w:type="dxa"/>
              <w:start w:w="85" w:type="dxa"/>
              <w:bottom w:w="70" w:type="dxa"/>
              <w:end w:w="85" w:type="dxa"/>
            </w:tcMar>
          </w:tcPr>
          <w:p>
            <w:pPr>
              <w:spacing w:after="0"/>
            </w:pPr>
            <w:r>
              <w:rPr>
                <w:sz w:val="15"/>
              </w:rPr>
              <w:t>Kontrol gerekli</w:t>
            </w:r>
          </w:p>
        </w:tc>
        <w:tc>
          <w:tcPr>
            <w:tcW w:type="dxa" w:w="3628"/>
            <w:vAlign w:val="top"/>
            <w:tcMar>
              <w:top w:w="70" w:type="dxa"/>
              <w:start w:w="85" w:type="dxa"/>
              <w:bottom w:w="70" w:type="dxa"/>
              <w:end w:w="85" w:type="dxa"/>
            </w:tcMar>
          </w:tcPr>
          <w:p>
            <w:pPr>
              <w:spacing w:after="0"/>
            </w:pPr>
            <w:r>
              <w:rPr>
                <w:sz w:val="15"/>
              </w:rPr>
              <w:t>Aynı eser bazı yerlerde yeniden tam künye ile veriliyor.</w:t>
            </w:r>
          </w:p>
        </w:tc>
        <w:tc>
          <w:tcPr>
            <w:tcW w:type="dxa" w:w="3175"/>
            <w:vAlign w:val="top"/>
            <w:tcMar>
              <w:top w:w="70" w:type="dxa"/>
              <w:start w:w="85" w:type="dxa"/>
              <w:bottom w:w="70" w:type="dxa"/>
              <w:end w:w="85" w:type="dxa"/>
            </w:tcMar>
          </w:tcPr>
          <w:p>
            <w:pPr>
              <w:spacing w:after="0"/>
            </w:pPr>
            <w:r>
              <w:rPr>
                <w:sz w:val="15"/>
              </w:rPr>
              <w:t>İSNAD 2 ilk kullanım / kısa kullanım düzeni baştan sona çapraz kontrol.</w:t>
            </w:r>
          </w:p>
        </w:tc>
      </w:tr>
      <w:tr>
        <w:trPr>
          <w:cantSplit/>
        </w:trPr>
        <w:tc>
          <w:tcPr>
            <w:tcW w:type="dxa" w:w="1757"/>
            <w:vAlign w:val="top"/>
            <w:tcMar>
              <w:top w:w="70" w:type="dxa"/>
              <w:start w:w="85" w:type="dxa"/>
              <w:bottom w:w="70" w:type="dxa"/>
              <w:end w:w="85" w:type="dxa"/>
            </w:tcMar>
          </w:tcPr>
          <w:p>
            <w:pPr>
              <w:spacing w:after="0"/>
            </w:pPr>
            <w:r>
              <w:rPr>
                <w:sz w:val="15"/>
              </w:rPr>
              <w:t>Kaynak ayraçları</w:t>
            </w:r>
          </w:p>
        </w:tc>
        <w:tc>
          <w:tcPr>
            <w:tcW w:type="dxa" w:w="1757"/>
            <w:vAlign w:val="top"/>
            <w:tcMar>
              <w:top w:w="70" w:type="dxa"/>
              <w:start w:w="85" w:type="dxa"/>
              <w:bottom w:w="70" w:type="dxa"/>
              <w:end w:w="85" w:type="dxa"/>
            </w:tcMar>
          </w:tcPr>
          <w:p>
            <w:pPr>
              <w:spacing w:after="0"/>
            </w:pPr>
            <w:r>
              <w:rPr>
                <w:sz w:val="15"/>
              </w:rPr>
              <w:t>Kontrol gerekli</w:t>
            </w:r>
          </w:p>
        </w:tc>
        <w:tc>
          <w:tcPr>
            <w:tcW w:type="dxa" w:w="3628"/>
            <w:vAlign w:val="top"/>
            <w:tcMar>
              <w:top w:w="70" w:type="dxa"/>
              <w:start w:w="85" w:type="dxa"/>
              <w:bottom w:w="70" w:type="dxa"/>
              <w:end w:w="85" w:type="dxa"/>
            </w:tcMar>
          </w:tcPr>
          <w:p>
            <w:pPr>
              <w:spacing w:after="0"/>
            </w:pPr>
            <w:r>
              <w:rPr>
                <w:sz w:val="15"/>
              </w:rPr>
              <w:t>Aynı dipnot içinde noktalı virgül/virgül ve birden çok eser sunumu tekdüze değil.</w:t>
            </w:r>
          </w:p>
        </w:tc>
        <w:tc>
          <w:tcPr>
            <w:tcW w:type="dxa" w:w="3175"/>
            <w:vAlign w:val="top"/>
            <w:tcMar>
              <w:top w:w="70" w:type="dxa"/>
              <w:start w:w="85" w:type="dxa"/>
              <w:bottom w:w="70" w:type="dxa"/>
              <w:end w:w="85" w:type="dxa"/>
            </w:tcMar>
          </w:tcPr>
          <w:p>
            <w:pPr>
              <w:spacing w:after="0"/>
            </w:pPr>
            <w:r>
              <w:rPr>
                <w:sz w:val="15"/>
              </w:rPr>
              <w:t>Bir ev stili örneğine göre standardize et.</w:t>
            </w:r>
          </w:p>
        </w:tc>
      </w:tr>
      <w:tr>
        <w:trPr>
          <w:cantSplit/>
        </w:trPr>
        <w:tc>
          <w:tcPr>
            <w:tcW w:type="dxa" w:w="1757"/>
            <w:vAlign w:val="top"/>
            <w:tcMar>
              <w:top w:w="70" w:type="dxa"/>
              <w:start w:w="85" w:type="dxa"/>
              <w:bottom w:w="70" w:type="dxa"/>
              <w:end w:w="85" w:type="dxa"/>
            </w:tcMar>
          </w:tcPr>
          <w:p>
            <w:pPr>
              <w:spacing w:after="0"/>
            </w:pPr>
            <w:r>
              <w:rPr>
                <w:sz w:val="15"/>
              </w:rPr>
              <w:t>Farklı baskılar</w:t>
            </w:r>
          </w:p>
        </w:tc>
        <w:tc>
          <w:tcPr>
            <w:tcW w:type="dxa" w:w="1757"/>
            <w:vAlign w:val="top"/>
            <w:tcMar>
              <w:top w:w="70" w:type="dxa"/>
              <w:start w:w="85" w:type="dxa"/>
              <w:bottom w:w="70" w:type="dxa"/>
              <w:end w:w="85" w:type="dxa"/>
            </w:tcMar>
          </w:tcPr>
          <w:p>
            <w:pPr>
              <w:spacing w:after="0"/>
            </w:pPr>
            <w:r>
              <w:rPr>
                <w:sz w:val="15"/>
              </w:rPr>
              <w:t>Yazar kararı / kaynak kontrolü</w:t>
            </w:r>
          </w:p>
        </w:tc>
        <w:tc>
          <w:tcPr>
            <w:tcW w:type="dxa" w:w="3628"/>
            <w:vAlign w:val="top"/>
            <w:tcMar>
              <w:top w:w="70" w:type="dxa"/>
              <w:start w:w="85" w:type="dxa"/>
              <w:bottom w:w="70" w:type="dxa"/>
              <w:end w:w="85" w:type="dxa"/>
            </w:tcMar>
          </w:tcPr>
          <w:p>
            <w:pPr>
              <w:spacing w:after="0"/>
            </w:pPr>
            <w:r>
              <w:rPr>
                <w:sz w:val="15"/>
              </w:rPr>
              <w:t>Aynı eserin farklı baskıları otomatik mükerrer sayılmamalı.</w:t>
            </w:r>
          </w:p>
        </w:tc>
        <w:tc>
          <w:tcPr>
            <w:tcW w:type="dxa" w:w="3175"/>
            <w:vAlign w:val="top"/>
            <w:tcMar>
              <w:top w:w="70" w:type="dxa"/>
              <w:start w:w="85" w:type="dxa"/>
              <w:bottom w:w="70" w:type="dxa"/>
              <w:end w:w="85" w:type="dxa"/>
            </w:tcMar>
          </w:tcPr>
          <w:p>
            <w:pPr>
              <w:spacing w:after="0"/>
            </w:pPr>
            <w:r>
              <w:rPr>
                <w:sz w:val="15"/>
              </w:rPr>
              <w:t>Gerçekten kullanılan baskıları koru; kısa atıfta baskıları ayırt edecek biçim belirle.</w:t>
            </w:r>
          </w:p>
        </w:tc>
      </w:tr>
      <w:tr>
        <w:trPr>
          <w:cantSplit/>
        </w:trPr>
        <w:tc>
          <w:tcPr>
            <w:tcW w:type="dxa" w:w="1757"/>
            <w:vAlign w:val="top"/>
            <w:tcMar>
              <w:top w:w="70" w:type="dxa"/>
              <w:start w:w="85" w:type="dxa"/>
              <w:bottom w:w="70" w:type="dxa"/>
              <w:end w:w="85" w:type="dxa"/>
            </w:tcMar>
          </w:tcPr>
          <w:p>
            <w:pPr>
              <w:spacing w:after="0"/>
            </w:pPr>
            <w:r>
              <w:rPr>
                <w:sz w:val="15"/>
              </w:rPr>
              <w:t>DOI</w:t>
            </w:r>
          </w:p>
        </w:tc>
        <w:tc>
          <w:tcPr>
            <w:tcW w:type="dxa" w:w="1757"/>
            <w:vAlign w:val="top"/>
            <w:tcMar>
              <w:top w:w="70" w:type="dxa"/>
              <w:start w:w="85" w:type="dxa"/>
              <w:bottom w:w="70" w:type="dxa"/>
              <w:end w:w="85" w:type="dxa"/>
            </w:tcMar>
          </w:tcPr>
          <w:p>
            <w:pPr>
              <w:spacing w:after="0"/>
            </w:pPr>
            <w:r>
              <w:rPr>
                <w:sz w:val="15"/>
              </w:rPr>
              <w:t>Yüksek</w:t>
            </w:r>
          </w:p>
        </w:tc>
        <w:tc>
          <w:tcPr>
            <w:tcW w:type="dxa" w:w="3628"/>
            <w:vAlign w:val="top"/>
            <w:tcMar>
              <w:top w:w="70" w:type="dxa"/>
              <w:start w:w="85" w:type="dxa"/>
              <w:bottom w:w="70" w:type="dxa"/>
              <w:end w:w="85" w:type="dxa"/>
            </w:tcMar>
          </w:tcPr>
          <w:p>
            <w:pPr>
              <w:spacing w:after="0"/>
            </w:pPr>
            <w:r>
              <w:rPr>
                <w:sz w:val="15"/>
              </w:rPr>
              <w:t>2 bozuk DOI URL yapısı saptandı.</w:t>
            </w:r>
          </w:p>
        </w:tc>
        <w:tc>
          <w:tcPr>
            <w:tcW w:type="dxa" w:w="3175"/>
            <w:vAlign w:val="top"/>
            <w:tcMar>
              <w:top w:w="70" w:type="dxa"/>
              <w:start w:w="85" w:type="dxa"/>
              <w:bottom w:w="70" w:type="dxa"/>
              <w:end w:w="85" w:type="dxa"/>
            </w:tcMar>
          </w:tcPr>
          <w:p>
            <w:pPr>
              <w:spacing w:after="0"/>
            </w:pPr>
            <w:r>
              <w:rPr>
                <w:sz w:val="15"/>
              </w:rPr>
              <w:t>DOI gövdesini kaynaktan doğrulamadan tahmin etme; doğru DOI/URL ile değiştir veya doğrulanamıyorsa çıkar.</w:t>
            </w:r>
          </w:p>
        </w:tc>
      </w:tr>
      <w:tr>
        <w:trPr>
          <w:cantSplit/>
        </w:trPr>
        <w:tc>
          <w:tcPr>
            <w:tcW w:type="dxa" w:w="1757"/>
            <w:vAlign w:val="top"/>
            <w:tcMar>
              <w:top w:w="70" w:type="dxa"/>
              <w:start w:w="85" w:type="dxa"/>
              <w:bottom w:w="70" w:type="dxa"/>
              <w:end w:w="85" w:type="dxa"/>
            </w:tcMar>
          </w:tcPr>
          <w:p>
            <w:pPr>
              <w:spacing w:after="0"/>
            </w:pPr>
            <w:r>
              <w:rPr>
                <w:sz w:val="15"/>
              </w:rPr>
              <w:t>Kaynakça otomasyonu</w:t>
            </w:r>
          </w:p>
        </w:tc>
        <w:tc>
          <w:tcPr>
            <w:tcW w:type="dxa" w:w="1757"/>
            <w:vAlign w:val="top"/>
            <w:tcMar>
              <w:top w:w="70" w:type="dxa"/>
              <w:start w:w="85" w:type="dxa"/>
              <w:bottom w:w="70" w:type="dxa"/>
              <w:end w:w="85" w:type="dxa"/>
            </w:tcMar>
          </w:tcPr>
          <w:p>
            <w:pPr>
              <w:spacing w:after="0"/>
            </w:pPr>
            <w:r>
              <w:rPr>
                <w:sz w:val="15"/>
              </w:rPr>
              <w:t>Yüksek</w:t>
            </w:r>
          </w:p>
        </w:tc>
        <w:tc>
          <w:tcPr>
            <w:tcW w:type="dxa" w:w="3628"/>
            <w:vAlign w:val="top"/>
            <w:tcMar>
              <w:top w:w="70" w:type="dxa"/>
              <w:start w:w="85" w:type="dxa"/>
              <w:bottom w:w="70" w:type="dxa"/>
              <w:end w:w="85" w:type="dxa"/>
            </w:tcMar>
          </w:tcPr>
          <w:p>
            <w:pPr>
              <w:spacing w:after="0"/>
            </w:pPr>
            <w:r>
              <w:rPr>
                <w:sz w:val="15"/>
              </w:rPr>
              <w:t>Aktif Zotero alanları biçimsel kusurları otomatik olarak çözmüyor.</w:t>
            </w:r>
          </w:p>
        </w:tc>
        <w:tc>
          <w:tcPr>
            <w:tcW w:type="dxa" w:w="3175"/>
            <w:vAlign w:val="top"/>
            <w:tcMar>
              <w:top w:w="70" w:type="dxa"/>
              <w:start w:w="85" w:type="dxa"/>
              <w:bottom w:w="70" w:type="dxa"/>
              <w:end w:w="85" w:type="dxa"/>
            </w:tcMar>
          </w:tcPr>
          <w:p>
            <w:pPr>
              <w:spacing w:after="0"/>
            </w:pPr>
            <w:r>
              <w:rPr>
                <w:sz w:val="15"/>
              </w:rPr>
              <w:t>Nihai kaynakçayı Zotero + manuscript kullanım kayıtları arasında çapraz denetle.</w:t>
            </w:r>
          </w:p>
        </w:tc>
      </w:tr>
    </w:tbl>
    <w:p>
      <w:pPr>
        <w:pStyle w:val="Heading3"/>
        <w:keepNext/>
      </w:pPr>
      <w:r>
        <w:t>7.1. Bozuk DOI kayıtları</w:t>
      </w:r>
    </w:p>
    <w:p>
      <w:r>
        <w:rPr>
          <w:b/>
        </w:rPr>
        <w:t xml:space="preserve">Yer: </w:t>
      </w:r>
      <w:r>
        <w:t>Kaynakça / P614</w:t>
      </w:r>
    </w:p>
    <w:p>
      <w:pPr>
        <w:pStyle w:val="QuoteBlock"/>
      </w:pPr>
      <w:r>
        <w:t>Kahraman, Ferruh. “Yazının İcadı ve Kur’ân’da Yazı ile İlgili Kelimelerin Tahlili”. Osman Gazi Üniversitesi İlahiyat Fakültesi Dergisi 8/1 (2021), 11-36. https://doi.org/http://doi.org/1051702/esoguifd.791085</w:t>
      </w:r>
    </w:p>
    <w:p>
      <w:r>
        <w:t>İşlem: DOI adresinin iç içe geçmiş “doi.org/http…” veya “doi.org/https…” yapısı temizlenmelidir; ancak DOI numarası ayrıca kaynak üzerinden doğrulanmadan yeni bir değer yazılmamalıdır.</w:t>
      </w:r>
    </w:p>
    <w:p>
      <w:r>
        <w:rPr>
          <w:b/>
        </w:rPr>
        <w:t xml:space="preserve">Yer: </w:t>
      </w:r>
      <w:r>
        <w:t>Kaynakça / P635</w:t>
      </w:r>
    </w:p>
    <w:p>
      <w:pPr>
        <w:pStyle w:val="QuoteBlock"/>
      </w:pPr>
      <w:r>
        <w:t>Maşalı, Mehmet Emin. “İbn Haldûn’un Gözüyle Mushaf İmlası”. Usul İslam Araştırmaları Dergisi 22/22 (2016), 8-24. https://doi.org/https://doi.org/10.56361/usul.173700</w:t>
      </w:r>
    </w:p>
    <w:p>
      <w:r>
        <w:t>İşlem: DOI adresinin iç içe geçmiş “doi.org/http…” veya “doi.org/https…” yapısı temizlenmelidir; ancak DOI numarası ayrıca kaynak üzerinden doğrulanmadan yeni bir değer yazılmamalıdır.</w:t>
      </w:r>
    </w:p>
    <w:p>
      <w:pPr>
        <w:pStyle w:val="Heading2"/>
        <w:keepNext/>
      </w:pPr>
      <w:r>
        <w:t>8. Word, Arapça Metin ve Dizgi: Yayıma Kadar Zorunlu Teknik İşler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1814"/>
            <w:shd w:fill="D9EAF7"/>
          </w:tcPr>
          <w:p>
            <w:r>
              <w:rPr>
                <w:b/>
                <w:sz w:val="15"/>
              </w:rPr>
              <w:t>Teknik alan</w:t>
            </w:r>
          </w:p>
        </w:tc>
        <w:tc>
          <w:tcPr>
            <w:tcW w:type="dxa" w:w="1191"/>
            <w:shd w:fill="D9EAF7"/>
          </w:tcPr>
          <w:p>
            <w:r>
              <w:rPr>
                <w:b/>
                <w:sz w:val="15"/>
              </w:rPr>
              <w:t>Öncelik</w:t>
            </w:r>
          </w:p>
        </w:tc>
        <w:tc>
          <w:tcPr>
            <w:tcW w:type="dxa" w:w="3798"/>
            <w:shd w:fill="D9EAF7"/>
          </w:tcPr>
          <w:p>
            <w:r>
              <w:rPr>
                <w:b/>
                <w:sz w:val="15"/>
              </w:rPr>
              <w:t>Risk</w:t>
            </w:r>
          </w:p>
        </w:tc>
        <w:tc>
          <w:tcPr>
            <w:tcW w:type="dxa" w:w="3175"/>
            <w:shd w:fill="D9EAF7"/>
          </w:tcPr>
          <w:p>
            <w:r>
              <w:rPr>
                <w:b/>
                <w:sz w:val="15"/>
              </w:rPr>
              <w:t>İşlem</w:t>
            </w:r>
          </w:p>
        </w:tc>
      </w:tr>
      <w:tr>
        <w:trPr>
          <w:cantSplit/>
        </w:trPr>
        <w:tc>
          <w:tcPr>
            <w:tcW w:type="dxa" w:w="1814"/>
            <w:vAlign w:val="top"/>
            <w:tcMar>
              <w:top w:w="70" w:type="dxa"/>
              <w:start w:w="85" w:type="dxa"/>
              <w:bottom w:w="70" w:type="dxa"/>
              <w:end w:w="85" w:type="dxa"/>
            </w:tcMar>
          </w:tcPr>
          <w:p>
            <w:pPr>
              <w:spacing w:after="0"/>
            </w:pPr>
            <w:r>
              <w:rPr>
                <w:sz w:val="15"/>
              </w:rPr>
              <w:t>Heading / numaralandırma</w:t>
            </w:r>
          </w:p>
        </w:tc>
        <w:tc>
          <w:tcPr>
            <w:tcW w:type="dxa" w:w="1191"/>
            <w:vAlign w:val="top"/>
            <w:tcMar>
              <w:top w:w="70" w:type="dxa"/>
              <w:start w:w="85" w:type="dxa"/>
              <w:bottom w:w="70" w:type="dxa"/>
              <w:end w:w="85" w:type="dxa"/>
            </w:tcMar>
          </w:tcPr>
          <w:p>
            <w:pPr>
              <w:spacing w:after="0"/>
            </w:pPr>
            <w:r>
              <w:rPr>
                <w:sz w:val="15"/>
              </w:rPr>
              <w:t>Kritik</w:t>
            </w:r>
          </w:p>
        </w:tc>
        <w:tc>
          <w:tcPr>
            <w:tcW w:type="dxa" w:w="3798"/>
            <w:vAlign w:val="top"/>
            <w:tcMar>
              <w:top w:w="70" w:type="dxa"/>
              <w:start w:w="85" w:type="dxa"/>
              <w:bottom w:w="70" w:type="dxa"/>
              <w:end w:w="85" w:type="dxa"/>
            </w:tcMar>
          </w:tcPr>
          <w:p>
            <w:pPr>
              <w:spacing w:after="0"/>
            </w:pPr>
            <w:r>
              <w:rPr>
                <w:sz w:val="15"/>
              </w:rPr>
              <w:t>Gövde başlıkları gerçek Word Heading hiyerarşisine bağlı değil.</w:t>
            </w:r>
          </w:p>
        </w:tc>
        <w:tc>
          <w:tcPr>
            <w:tcW w:type="dxa" w:w="3175"/>
            <w:vAlign w:val="top"/>
            <w:tcMar>
              <w:top w:w="70" w:type="dxa"/>
              <w:start w:w="85" w:type="dxa"/>
              <w:bottom w:w="70" w:type="dxa"/>
              <w:end w:w="85" w:type="dxa"/>
            </w:tcMar>
          </w:tcPr>
          <w:p>
            <w:pPr>
              <w:spacing w:after="0"/>
            </w:pPr>
            <w:r>
              <w:rPr>
                <w:sz w:val="15"/>
              </w:rPr>
              <w:t>Heading 1/2/3 + çok düzeyli liste; İçindekiler alanını yeniden üret.</w:t>
            </w:r>
          </w:p>
        </w:tc>
      </w:tr>
      <w:tr>
        <w:trPr>
          <w:cantSplit/>
        </w:trPr>
        <w:tc>
          <w:tcPr>
            <w:tcW w:type="dxa" w:w="1814"/>
            <w:vAlign w:val="top"/>
            <w:tcMar>
              <w:top w:w="70" w:type="dxa"/>
              <w:start w:w="85" w:type="dxa"/>
              <w:bottom w:w="70" w:type="dxa"/>
              <w:end w:w="85" w:type="dxa"/>
            </w:tcMar>
          </w:tcPr>
          <w:p>
            <w:pPr>
              <w:spacing w:after="0"/>
            </w:pPr>
            <w:r>
              <w:rPr>
                <w:sz w:val="15"/>
              </w:rPr>
              <w:t>İçindekiler</w:t>
            </w:r>
          </w:p>
        </w:tc>
        <w:tc>
          <w:tcPr>
            <w:tcW w:type="dxa" w:w="1191"/>
            <w:vAlign w:val="top"/>
            <w:tcMar>
              <w:top w:w="70" w:type="dxa"/>
              <w:start w:w="85" w:type="dxa"/>
              <w:bottom w:w="70" w:type="dxa"/>
              <w:end w:w="85" w:type="dxa"/>
            </w:tcMar>
          </w:tcPr>
          <w:p>
            <w:pPr>
              <w:spacing w:after="0"/>
            </w:pPr>
            <w:r>
              <w:rPr>
                <w:sz w:val="15"/>
              </w:rPr>
              <w:t>Yüksek</w:t>
            </w:r>
          </w:p>
        </w:tc>
        <w:tc>
          <w:tcPr>
            <w:tcW w:type="dxa" w:w="3798"/>
            <w:vAlign w:val="top"/>
            <w:tcMar>
              <w:top w:w="70" w:type="dxa"/>
              <w:start w:w="85" w:type="dxa"/>
              <w:bottom w:w="70" w:type="dxa"/>
              <w:end w:w="85" w:type="dxa"/>
            </w:tcMar>
          </w:tcPr>
          <w:p>
            <w:pPr>
              <w:spacing w:after="0"/>
            </w:pPr>
            <w:r>
              <w:rPr>
                <w:sz w:val="15"/>
              </w:rPr>
              <w:t>Uzun başlıklar ve sayfa numarası kırılmaları riskli.</w:t>
            </w:r>
          </w:p>
        </w:tc>
        <w:tc>
          <w:tcPr>
            <w:tcW w:type="dxa" w:w="3175"/>
            <w:vAlign w:val="top"/>
            <w:tcMar>
              <w:top w:w="70" w:type="dxa"/>
              <w:start w:w="85" w:type="dxa"/>
              <w:bottom w:w="70" w:type="dxa"/>
              <w:end w:w="85" w:type="dxa"/>
            </w:tcMar>
          </w:tcPr>
          <w:p>
            <w:pPr>
              <w:spacing w:after="0"/>
            </w:pPr>
            <w:r>
              <w:rPr>
                <w:sz w:val="15"/>
              </w:rPr>
              <w:t>Başlık stili düzeldikten sonra TOC güncelle ve PDF’de görsel kontrol.</w:t>
            </w:r>
          </w:p>
        </w:tc>
      </w:tr>
      <w:tr>
        <w:trPr>
          <w:cantSplit/>
        </w:trPr>
        <w:tc>
          <w:tcPr>
            <w:tcW w:type="dxa" w:w="1814"/>
            <w:vAlign w:val="top"/>
            <w:tcMar>
              <w:top w:w="70" w:type="dxa"/>
              <w:start w:w="85" w:type="dxa"/>
              <w:bottom w:w="70" w:type="dxa"/>
              <w:end w:w="85" w:type="dxa"/>
            </w:tcMar>
          </w:tcPr>
          <w:p>
            <w:pPr>
              <w:spacing w:after="0"/>
            </w:pPr>
            <w:r>
              <w:rPr>
                <w:sz w:val="15"/>
              </w:rPr>
              <w:t>Arapça RTL</w:t>
            </w:r>
          </w:p>
        </w:tc>
        <w:tc>
          <w:tcPr>
            <w:tcW w:type="dxa" w:w="1191"/>
            <w:vAlign w:val="top"/>
            <w:tcMar>
              <w:top w:w="70" w:type="dxa"/>
              <w:start w:w="85" w:type="dxa"/>
              <w:bottom w:w="70" w:type="dxa"/>
              <w:end w:w="85" w:type="dxa"/>
            </w:tcMar>
          </w:tcPr>
          <w:p>
            <w:pPr>
              <w:spacing w:after="0"/>
            </w:pPr>
            <w:r>
              <w:rPr>
                <w:sz w:val="15"/>
              </w:rPr>
              <w:t>Kritik</w:t>
            </w:r>
          </w:p>
        </w:tc>
        <w:tc>
          <w:tcPr>
            <w:tcW w:type="dxa" w:w="3798"/>
            <w:vAlign w:val="top"/>
            <w:tcMar>
              <w:top w:w="70" w:type="dxa"/>
              <w:start w:w="85" w:type="dxa"/>
              <w:bottom w:w="70" w:type="dxa"/>
              <w:end w:w="85" w:type="dxa"/>
            </w:tcMar>
          </w:tcPr>
          <w:p>
            <w:pPr>
              <w:spacing w:after="0"/>
            </w:pPr>
            <w:r>
              <w:rPr>
                <w:sz w:val="15"/>
              </w:rPr>
              <w:t>53 Arapça+dipnot paragrafında yalnız 1 referans RTL.</w:t>
            </w:r>
          </w:p>
        </w:tc>
        <w:tc>
          <w:tcPr>
            <w:tcW w:type="dxa" w:w="3175"/>
            <w:vAlign w:val="top"/>
            <w:tcMar>
              <w:top w:w="70" w:type="dxa"/>
              <w:start w:w="85" w:type="dxa"/>
              <w:bottom w:w="70" w:type="dxa"/>
              <w:end w:w="85" w:type="dxa"/>
            </w:tcMar>
          </w:tcPr>
          <w:p>
            <w:pPr>
              <w:spacing w:after="0"/>
            </w:pPr>
            <w:r>
              <w:rPr>
                <w:sz w:val="15"/>
              </w:rPr>
              <w:t>Arapça karakter stili + dipnot referans run’ı RTL; inline ve blok örnekleri ayır.</w:t>
            </w:r>
          </w:p>
        </w:tc>
      </w:tr>
      <w:tr>
        <w:trPr>
          <w:cantSplit/>
        </w:trPr>
        <w:tc>
          <w:tcPr>
            <w:tcW w:type="dxa" w:w="1814"/>
            <w:vAlign w:val="top"/>
            <w:tcMar>
              <w:top w:w="70" w:type="dxa"/>
              <w:start w:w="85" w:type="dxa"/>
              <w:bottom w:w="70" w:type="dxa"/>
              <w:end w:w="85" w:type="dxa"/>
            </w:tcMar>
          </w:tcPr>
          <w:p>
            <w:pPr>
              <w:spacing w:after="0"/>
            </w:pPr>
            <w:r>
              <w:rPr>
                <w:sz w:val="15"/>
              </w:rPr>
              <w:t>Bidi noktalama</w:t>
            </w:r>
          </w:p>
        </w:tc>
        <w:tc>
          <w:tcPr>
            <w:tcW w:type="dxa" w:w="1191"/>
            <w:vAlign w:val="top"/>
            <w:tcMar>
              <w:top w:w="70" w:type="dxa"/>
              <w:start w:w="85" w:type="dxa"/>
              <w:bottom w:w="70" w:type="dxa"/>
              <w:end w:w="85" w:type="dxa"/>
            </w:tcMar>
          </w:tcPr>
          <w:p>
            <w:pPr>
              <w:spacing w:after="0"/>
            </w:pPr>
            <w:r>
              <w:rPr>
                <w:sz w:val="15"/>
              </w:rPr>
              <w:t>Yüksek</w:t>
            </w:r>
          </w:p>
        </w:tc>
        <w:tc>
          <w:tcPr>
            <w:tcW w:type="dxa" w:w="3798"/>
            <w:vAlign w:val="top"/>
            <w:tcMar>
              <w:top w:w="70" w:type="dxa"/>
              <w:start w:w="85" w:type="dxa"/>
              <w:bottom w:w="70" w:type="dxa"/>
              <w:end w:w="85" w:type="dxa"/>
            </w:tcMar>
          </w:tcPr>
          <w:p>
            <w:pPr>
              <w:spacing w:after="0"/>
            </w:pPr>
            <w:r>
              <w:rPr>
                <w:sz w:val="15"/>
              </w:rPr>
              <w:t>Türkçe LTR paragraf içinde Arapça + parantez + dipnot işareti yer değişimine açık.</w:t>
            </w:r>
          </w:p>
        </w:tc>
        <w:tc>
          <w:tcPr>
            <w:tcW w:type="dxa" w:w="3175"/>
            <w:vAlign w:val="top"/>
            <w:tcMar>
              <w:top w:w="70" w:type="dxa"/>
              <w:start w:w="85" w:type="dxa"/>
              <w:bottom w:w="70" w:type="dxa"/>
              <w:end w:w="85" w:type="dxa"/>
            </w:tcMar>
          </w:tcPr>
          <w:p>
            <w:pPr>
              <w:spacing w:after="0"/>
            </w:pPr>
            <w:r>
              <w:rPr>
                <w:sz w:val="15"/>
              </w:rPr>
              <w:t>Uzun Arapça örnekleri ayrı sağa hizalı paragraf; kısa inline örneklerde aynı yön grubu.</w:t>
            </w:r>
          </w:p>
        </w:tc>
      </w:tr>
      <w:tr>
        <w:trPr>
          <w:cantSplit/>
        </w:trPr>
        <w:tc>
          <w:tcPr>
            <w:tcW w:type="dxa" w:w="1814"/>
            <w:vAlign w:val="top"/>
            <w:tcMar>
              <w:top w:w="70" w:type="dxa"/>
              <w:start w:w="85" w:type="dxa"/>
              <w:bottom w:w="70" w:type="dxa"/>
              <w:end w:w="85" w:type="dxa"/>
            </w:tcMar>
          </w:tcPr>
          <w:p>
            <w:pPr>
              <w:spacing w:after="0"/>
            </w:pPr>
            <w:r>
              <w:rPr>
                <w:sz w:val="15"/>
              </w:rPr>
              <w:t>Kırmızı metin</w:t>
            </w:r>
          </w:p>
        </w:tc>
        <w:tc>
          <w:tcPr>
            <w:tcW w:type="dxa" w:w="1191"/>
            <w:vAlign w:val="top"/>
            <w:tcMar>
              <w:top w:w="70" w:type="dxa"/>
              <w:start w:w="85" w:type="dxa"/>
              <w:bottom w:w="70" w:type="dxa"/>
              <w:end w:w="85" w:type="dxa"/>
            </w:tcMar>
          </w:tcPr>
          <w:p>
            <w:pPr>
              <w:spacing w:after="0"/>
            </w:pPr>
            <w:r>
              <w:rPr>
                <w:sz w:val="15"/>
              </w:rPr>
              <w:t>Kritik</w:t>
            </w:r>
          </w:p>
        </w:tc>
        <w:tc>
          <w:tcPr>
            <w:tcW w:type="dxa" w:w="3798"/>
            <w:vAlign w:val="top"/>
            <w:tcMar>
              <w:top w:w="70" w:type="dxa"/>
              <w:start w:w="85" w:type="dxa"/>
              <w:bottom w:w="70" w:type="dxa"/>
              <w:end w:w="85" w:type="dxa"/>
            </w:tcMar>
          </w:tcPr>
          <w:p>
            <w:pPr>
              <w:spacing w:after="0"/>
            </w:pPr>
            <w:r>
              <w:rPr>
                <w:sz w:val="15"/>
              </w:rPr>
              <w:t>183 paragrafta kırmızı içerik.</w:t>
            </w:r>
          </w:p>
        </w:tc>
        <w:tc>
          <w:tcPr>
            <w:tcW w:type="dxa" w:w="3175"/>
            <w:vAlign w:val="top"/>
            <w:tcMar>
              <w:top w:w="70" w:type="dxa"/>
              <w:start w:w="85" w:type="dxa"/>
              <w:bottom w:w="70" w:type="dxa"/>
              <w:end w:w="85" w:type="dxa"/>
            </w:tcMar>
          </w:tcPr>
          <w:p>
            <w:pPr>
              <w:spacing w:after="0"/>
            </w:pPr>
            <w:r>
              <w:rPr>
                <w:sz w:val="15"/>
              </w:rPr>
              <w:t>Nihai kopyada kırmızı metin kalmamalı; kabul/reddet/sil kararları tamamlanmalı.</w:t>
            </w:r>
          </w:p>
        </w:tc>
      </w:tr>
      <w:tr>
        <w:trPr>
          <w:cantSplit/>
        </w:trPr>
        <w:tc>
          <w:tcPr>
            <w:tcW w:type="dxa" w:w="1814"/>
            <w:vAlign w:val="top"/>
            <w:tcMar>
              <w:top w:w="70" w:type="dxa"/>
              <w:start w:w="85" w:type="dxa"/>
              <w:bottom w:w="70" w:type="dxa"/>
              <w:end w:w="85" w:type="dxa"/>
            </w:tcMar>
          </w:tcPr>
          <w:p>
            <w:pPr>
              <w:spacing w:after="0"/>
            </w:pPr>
            <w:r>
              <w:rPr>
                <w:sz w:val="15"/>
              </w:rPr>
              <w:t>Aktif Zotero alanları</w:t>
            </w:r>
          </w:p>
        </w:tc>
        <w:tc>
          <w:tcPr>
            <w:tcW w:type="dxa" w:w="1191"/>
            <w:vAlign w:val="top"/>
            <w:tcMar>
              <w:top w:w="70" w:type="dxa"/>
              <w:start w:w="85" w:type="dxa"/>
              <w:bottom w:w="70" w:type="dxa"/>
              <w:end w:w="85" w:type="dxa"/>
            </w:tcMar>
          </w:tcPr>
          <w:p>
            <w:pPr>
              <w:spacing w:after="0"/>
            </w:pPr>
            <w:r>
              <w:rPr>
                <w:sz w:val="15"/>
              </w:rPr>
              <w:t>Orta</w:t>
            </w:r>
          </w:p>
        </w:tc>
        <w:tc>
          <w:tcPr>
            <w:tcW w:type="dxa" w:w="3798"/>
            <w:vAlign w:val="top"/>
            <w:tcMar>
              <w:top w:w="70" w:type="dxa"/>
              <w:start w:w="85" w:type="dxa"/>
              <w:bottom w:w="70" w:type="dxa"/>
              <w:end w:w="85" w:type="dxa"/>
            </w:tcMar>
          </w:tcPr>
          <w:p>
            <w:pPr>
              <w:spacing w:after="0"/>
            </w:pPr>
            <w:r>
              <w:rPr>
                <w:sz w:val="15"/>
              </w:rPr>
              <w:t>Çalışma dosyasında yararlı, final teslimde güncelleme/bozulma riski.</w:t>
            </w:r>
          </w:p>
        </w:tc>
        <w:tc>
          <w:tcPr>
            <w:tcW w:type="dxa" w:w="3175"/>
            <w:vAlign w:val="top"/>
            <w:tcMar>
              <w:top w:w="70" w:type="dxa"/>
              <w:start w:w="85" w:type="dxa"/>
              <w:bottom w:w="70" w:type="dxa"/>
              <w:end w:w="85" w:type="dxa"/>
            </w:tcMar>
          </w:tcPr>
          <w:p>
            <w:pPr>
              <w:spacing w:after="0"/>
            </w:pPr>
            <w:r>
              <w:rPr>
                <w:sz w:val="15"/>
              </w:rPr>
              <w:t>Arşiv çalışma kopyasını koru; teslim kopyasında alanların nihai politikasını belirle.</w:t>
            </w:r>
          </w:p>
        </w:tc>
      </w:tr>
      <w:tr>
        <w:trPr>
          <w:cantSplit/>
        </w:trPr>
        <w:tc>
          <w:tcPr>
            <w:tcW w:type="dxa" w:w="1814"/>
            <w:vAlign w:val="top"/>
            <w:tcMar>
              <w:top w:w="70" w:type="dxa"/>
              <w:start w:w="85" w:type="dxa"/>
              <w:bottom w:w="70" w:type="dxa"/>
              <w:end w:w="85" w:type="dxa"/>
            </w:tcMar>
          </w:tcPr>
          <w:p>
            <w:pPr>
              <w:spacing w:after="0"/>
            </w:pPr>
            <w:r>
              <w:rPr>
                <w:sz w:val="15"/>
              </w:rPr>
              <w:t>Nihai PDF prova</w:t>
            </w:r>
          </w:p>
        </w:tc>
        <w:tc>
          <w:tcPr>
            <w:tcW w:type="dxa" w:w="1191"/>
            <w:vAlign w:val="top"/>
            <w:tcMar>
              <w:top w:w="70" w:type="dxa"/>
              <w:start w:w="85" w:type="dxa"/>
              <w:bottom w:w="70" w:type="dxa"/>
              <w:end w:w="85" w:type="dxa"/>
            </w:tcMar>
          </w:tcPr>
          <w:p>
            <w:pPr>
              <w:spacing w:after="0"/>
            </w:pPr>
            <w:r>
              <w:rPr>
                <w:sz w:val="15"/>
              </w:rPr>
              <w:t>Kritik</w:t>
            </w:r>
          </w:p>
        </w:tc>
        <w:tc>
          <w:tcPr>
            <w:tcW w:type="dxa" w:w="3798"/>
            <w:vAlign w:val="top"/>
            <w:tcMar>
              <w:top w:w="70" w:type="dxa"/>
              <w:start w:w="85" w:type="dxa"/>
              <w:bottom w:w="70" w:type="dxa"/>
              <w:end w:w="85" w:type="dxa"/>
            </w:tcMar>
          </w:tcPr>
          <w:p>
            <w:pPr>
              <w:spacing w:after="0"/>
            </w:pPr>
            <w:r>
              <w:rPr>
                <w:sz w:val="15"/>
              </w:rPr>
              <w:t>Arapça, dipnot, TOC ve sayfa kırılmaları yalnız metin taramasıyla güvence altına alınamaz.</w:t>
            </w:r>
          </w:p>
        </w:tc>
        <w:tc>
          <w:tcPr>
            <w:tcW w:type="dxa" w:w="3175"/>
            <w:vAlign w:val="top"/>
            <w:tcMar>
              <w:top w:w="70" w:type="dxa"/>
              <w:start w:w="85" w:type="dxa"/>
              <w:bottom w:w="70" w:type="dxa"/>
              <w:end w:w="85" w:type="dxa"/>
            </w:tcMar>
          </w:tcPr>
          <w:p>
            <w:pPr>
              <w:spacing w:after="0"/>
            </w:pPr>
            <w:r>
              <w:rPr>
                <w:sz w:val="15"/>
              </w:rPr>
              <w:t>Yayın PDF’si üretildikten sonra sayfa sayfa görsel prova.</w:t>
            </w:r>
          </w:p>
        </w:tc>
      </w:tr>
    </w:tbl>
    <w:p>
      <w:pPr>
        <w:pStyle w:val="Heading2"/>
        <w:keepNext/>
      </w:pPr>
      <w:r>
        <w:t>9. Üçüncü Taramada Netleştirilen veya Önceki Raporlarda Tam Envanterlenmemiş Yeni Bulgular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850"/>
            <w:shd w:fill="D9EAF7"/>
          </w:tcPr>
          <w:p>
            <w:r>
              <w:rPr>
                <w:b/>
                <w:sz w:val="15"/>
              </w:rPr>
              <w:t>Kod</w:t>
            </w:r>
          </w:p>
        </w:tc>
        <w:tc>
          <w:tcPr>
            <w:tcW w:type="dxa" w:w="3118"/>
            <w:shd w:fill="D9EAF7"/>
          </w:tcPr>
          <w:p>
            <w:r>
              <w:rPr>
                <w:b/>
                <w:sz w:val="15"/>
              </w:rPr>
              <w:t>Yeni/netleşen bulgu</w:t>
            </w:r>
          </w:p>
        </w:tc>
        <w:tc>
          <w:tcPr>
            <w:tcW w:type="dxa" w:w="3402"/>
            <w:shd w:fill="D9EAF7"/>
          </w:tcPr>
          <w:p>
            <w:r>
              <w:rPr>
                <w:b/>
                <w:sz w:val="15"/>
              </w:rPr>
              <w:t>Kanıt</w:t>
            </w:r>
          </w:p>
        </w:tc>
        <w:tc>
          <w:tcPr>
            <w:tcW w:type="dxa" w:w="2948"/>
            <w:shd w:fill="D9EAF7"/>
          </w:tcPr>
          <w:p>
            <w:r>
              <w:rPr>
                <w:b/>
                <w:sz w:val="15"/>
              </w:rPr>
              <w:t>Yapılacak</w:t>
            </w:r>
          </w:p>
        </w:tc>
      </w:tr>
      <w:tr>
        <w:trPr>
          <w:cantSplit/>
        </w:trPr>
        <w:tc>
          <w:tcPr>
            <w:tcW w:type="dxa" w:w="850"/>
            <w:vAlign w:val="top"/>
            <w:tcMar>
              <w:top w:w="70" w:type="dxa"/>
              <w:start w:w="85" w:type="dxa"/>
              <w:bottom w:w="70" w:type="dxa"/>
              <w:end w:w="85" w:type="dxa"/>
            </w:tcMar>
          </w:tcPr>
          <w:p>
            <w:pPr>
              <w:spacing w:after="0"/>
            </w:pPr>
            <w:r>
              <w:rPr>
                <w:sz w:val="15"/>
              </w:rPr>
              <w:t>YENİ-01</w:t>
            </w:r>
          </w:p>
        </w:tc>
        <w:tc>
          <w:tcPr>
            <w:tcW w:type="dxa" w:w="3118"/>
            <w:vAlign w:val="top"/>
            <w:tcMar>
              <w:top w:w="70" w:type="dxa"/>
              <w:start w:w="85" w:type="dxa"/>
              <w:bottom w:w="70" w:type="dxa"/>
              <w:end w:w="85" w:type="dxa"/>
            </w:tcMar>
          </w:tcPr>
          <w:p>
            <w:pPr>
              <w:spacing w:after="0"/>
            </w:pPr>
            <w:r>
              <w:rPr>
                <w:sz w:val="15"/>
              </w:rPr>
              <w:t>Kırmızı paragraf sayımının netleştirilmesi</w:t>
            </w:r>
          </w:p>
        </w:tc>
        <w:tc>
          <w:tcPr>
            <w:tcW w:type="dxa" w:w="3402"/>
            <w:vAlign w:val="top"/>
            <w:tcMar>
              <w:top w:w="70" w:type="dxa"/>
              <w:start w:w="85" w:type="dxa"/>
              <w:bottom w:w="70" w:type="dxa"/>
              <w:end w:w="85" w:type="dxa"/>
            </w:tcMar>
          </w:tcPr>
          <w:p>
            <w:pPr>
              <w:spacing w:after="0"/>
            </w:pPr>
            <w:r>
              <w:rPr>
                <w:sz w:val="15"/>
              </w:rPr>
              <w:t>Önceki rapor 184 diyordu; metin taşıyan kırmızı run ölçütüyle bu nüshada 183 paragraf ve 420 non-empty run var.</w:t>
            </w:r>
          </w:p>
        </w:tc>
        <w:tc>
          <w:tcPr>
            <w:tcW w:type="dxa" w:w="2948"/>
            <w:vAlign w:val="top"/>
            <w:tcMar>
              <w:top w:w="70" w:type="dxa"/>
              <w:start w:w="85" w:type="dxa"/>
              <w:bottom w:w="70" w:type="dxa"/>
              <w:end w:w="85" w:type="dxa"/>
            </w:tcMar>
          </w:tcPr>
          <w:p>
            <w:pPr>
              <w:spacing w:after="0"/>
            </w:pPr>
            <w:r>
              <w:rPr>
                <w:sz w:val="15"/>
              </w:rPr>
              <w:t>Raporlar arası sayım farkı sorun değil; final kapatma için bu rapordaki 183 paragraf esas alınsın.</w:t>
            </w:r>
          </w:p>
        </w:tc>
      </w:tr>
      <w:tr>
        <w:trPr>
          <w:cantSplit/>
        </w:trPr>
        <w:tc>
          <w:tcPr>
            <w:tcW w:type="dxa" w:w="850"/>
            <w:vAlign w:val="top"/>
            <w:tcMar>
              <w:top w:w="70" w:type="dxa"/>
              <w:start w:w="85" w:type="dxa"/>
              <w:bottom w:w="70" w:type="dxa"/>
              <w:end w:w="85" w:type="dxa"/>
            </w:tcMar>
          </w:tcPr>
          <w:p>
            <w:pPr>
              <w:spacing w:after="0"/>
            </w:pPr>
            <w:r>
              <w:rPr>
                <w:sz w:val="15"/>
              </w:rPr>
              <w:t>YENİ-02</w:t>
            </w:r>
          </w:p>
        </w:tc>
        <w:tc>
          <w:tcPr>
            <w:tcW w:type="dxa" w:w="3118"/>
            <w:vAlign w:val="top"/>
            <w:tcMar>
              <w:top w:w="70" w:type="dxa"/>
              <w:start w:w="85" w:type="dxa"/>
              <w:bottom w:w="70" w:type="dxa"/>
              <w:end w:w="85" w:type="dxa"/>
            </w:tcMar>
          </w:tcPr>
          <w:p>
            <w:pPr>
              <w:spacing w:after="0"/>
            </w:pPr>
            <w:r>
              <w:rPr>
                <w:sz w:val="15"/>
              </w:rPr>
              <w:t>“değil” işaretlerinin tam kapatma envanteri</w:t>
            </w:r>
          </w:p>
        </w:tc>
        <w:tc>
          <w:tcPr>
            <w:tcW w:type="dxa" w:w="3402"/>
            <w:vAlign w:val="top"/>
            <w:tcMar>
              <w:top w:w="70" w:type="dxa"/>
              <w:start w:w="85" w:type="dxa"/>
              <w:bottom w:w="70" w:type="dxa"/>
              <w:end w:w="85" w:type="dxa"/>
            </w:tcMar>
          </w:tcPr>
          <w:p>
            <w:pPr>
              <w:spacing w:after="0"/>
            </w:pPr>
            <w:r>
              <w:rPr>
                <w:sz w:val="15"/>
              </w:rPr>
              <w:t>Önceki rapor problem sıklığını verdi; fakat 96 paragrafın tamamını tek tek listelemedi.</w:t>
            </w:r>
          </w:p>
        </w:tc>
        <w:tc>
          <w:tcPr>
            <w:tcW w:type="dxa" w:w="2948"/>
            <w:vAlign w:val="top"/>
            <w:tcMar>
              <w:top w:w="70" w:type="dxa"/>
              <w:start w:w="85" w:type="dxa"/>
              <w:bottom w:w="70" w:type="dxa"/>
              <w:end w:w="85" w:type="dxa"/>
            </w:tcMar>
          </w:tcPr>
          <w:p>
            <w:pPr>
              <w:spacing w:after="0"/>
            </w:pPr>
            <w:r>
              <w:rPr>
                <w:sz w:val="15"/>
              </w:rPr>
              <w:t>Ek A bu eksikliği kapatır; manuscript redaksiyonunda satır satır karar verilmelidir.</w:t>
            </w:r>
          </w:p>
        </w:tc>
      </w:tr>
      <w:tr>
        <w:trPr>
          <w:cantSplit/>
        </w:trPr>
        <w:tc>
          <w:tcPr>
            <w:tcW w:type="dxa" w:w="850"/>
            <w:vAlign w:val="top"/>
            <w:tcMar>
              <w:top w:w="70" w:type="dxa"/>
              <w:start w:w="85" w:type="dxa"/>
              <w:bottom w:w="70" w:type="dxa"/>
              <w:end w:w="85" w:type="dxa"/>
            </w:tcMar>
          </w:tcPr>
          <w:p>
            <w:pPr>
              <w:spacing w:after="0"/>
            </w:pPr>
            <w:r>
              <w:rPr>
                <w:sz w:val="15"/>
              </w:rPr>
              <w:t>YENİ-03</w:t>
            </w:r>
          </w:p>
        </w:tc>
        <w:tc>
          <w:tcPr>
            <w:tcW w:type="dxa" w:w="3118"/>
            <w:vAlign w:val="top"/>
            <w:tcMar>
              <w:top w:w="70" w:type="dxa"/>
              <w:start w:w="85" w:type="dxa"/>
              <w:bottom w:w="70" w:type="dxa"/>
              <w:end w:w="85" w:type="dxa"/>
            </w:tcMar>
          </w:tcPr>
          <w:p>
            <w:pPr>
              <w:spacing w:after="0"/>
            </w:pPr>
            <w:r>
              <w:rPr>
                <w:sz w:val="15"/>
              </w:rPr>
              <w:t>Parantez/braket dengesi</w:t>
            </w:r>
          </w:p>
        </w:tc>
        <w:tc>
          <w:tcPr>
            <w:tcW w:type="dxa" w:w="3402"/>
            <w:vAlign w:val="top"/>
            <w:tcMar>
              <w:top w:w="70" w:type="dxa"/>
              <w:start w:w="85" w:type="dxa"/>
              <w:bottom w:w="70" w:type="dxa"/>
              <w:end w:w="85" w:type="dxa"/>
            </w:tcMar>
          </w:tcPr>
          <w:p>
            <w:pPr>
              <w:spacing w:after="0"/>
            </w:pPr>
            <w:r>
              <w:rPr>
                <w:sz w:val="15"/>
              </w:rPr>
              <w:t>3 paragrafta açma-kapama parantez/braket sayısı eşit değil.</w:t>
            </w:r>
          </w:p>
        </w:tc>
        <w:tc>
          <w:tcPr>
            <w:tcW w:type="dxa" w:w="2948"/>
            <w:vAlign w:val="top"/>
            <w:tcMar>
              <w:top w:w="70" w:type="dxa"/>
              <w:start w:w="85" w:type="dxa"/>
              <w:bottom w:w="70" w:type="dxa"/>
              <w:end w:w="85" w:type="dxa"/>
            </w:tcMar>
          </w:tcPr>
          <w:p>
            <w:pPr>
              <w:spacing w:after="0"/>
            </w:pPr>
            <w:r>
              <w:rPr>
                <w:sz w:val="15"/>
              </w:rPr>
              <w:t>Özellikle Varaka b. Nevfel, Hamîdullah ve fasl tanımı geçen paragraflar düzeltilmeli.</w:t>
            </w:r>
          </w:p>
        </w:tc>
      </w:tr>
      <w:tr>
        <w:trPr>
          <w:cantSplit/>
        </w:trPr>
        <w:tc>
          <w:tcPr>
            <w:tcW w:type="dxa" w:w="850"/>
            <w:vAlign w:val="top"/>
            <w:tcMar>
              <w:top w:w="70" w:type="dxa"/>
              <w:start w:w="85" w:type="dxa"/>
              <w:bottom w:w="70" w:type="dxa"/>
              <w:end w:w="85" w:type="dxa"/>
            </w:tcMar>
          </w:tcPr>
          <w:p>
            <w:pPr>
              <w:spacing w:after="0"/>
            </w:pPr>
            <w:r>
              <w:rPr>
                <w:sz w:val="15"/>
              </w:rPr>
              <w:t>YENİ-04</w:t>
            </w:r>
          </w:p>
        </w:tc>
        <w:tc>
          <w:tcPr>
            <w:tcW w:type="dxa" w:w="3118"/>
            <w:vAlign w:val="top"/>
            <w:tcMar>
              <w:top w:w="70" w:type="dxa"/>
              <w:start w:w="85" w:type="dxa"/>
              <w:bottom w:w="70" w:type="dxa"/>
              <w:end w:w="85" w:type="dxa"/>
            </w:tcMar>
          </w:tcPr>
          <w:p>
            <w:pPr>
              <w:spacing w:after="0"/>
            </w:pPr>
            <w:r>
              <w:rPr>
                <w:sz w:val="15"/>
              </w:rPr>
              <w:t>Ölüm tarihi çalışma artıkları</w:t>
            </w:r>
          </w:p>
        </w:tc>
        <w:tc>
          <w:tcPr>
            <w:tcW w:type="dxa" w:w="3402"/>
            <w:vAlign w:val="top"/>
            <w:tcMar>
              <w:top w:w="70" w:type="dxa"/>
              <w:start w:w="85" w:type="dxa"/>
              <w:bottom w:w="70" w:type="dxa"/>
              <w:end w:w="85" w:type="dxa"/>
            </w:tcMar>
          </w:tcPr>
          <w:p>
            <w:pPr>
              <w:spacing w:after="0"/>
            </w:pPr>
            <w:r>
              <w:rPr>
                <w:sz w:val="15"/>
              </w:rPr>
              <w:t>11 paragrafta soru işareti, 5+ basamaklı yıl veya “daha önce geçti mi/silinsin” notu ölüm tarihi alanına karışmış.</w:t>
            </w:r>
          </w:p>
        </w:tc>
        <w:tc>
          <w:tcPr>
            <w:tcW w:type="dxa" w:w="2948"/>
            <w:vAlign w:val="top"/>
            <w:tcMar>
              <w:top w:w="70" w:type="dxa"/>
              <w:start w:w="85" w:type="dxa"/>
              <w:bottom w:w="70" w:type="dxa"/>
              <w:end w:w="85" w:type="dxa"/>
            </w:tcMar>
          </w:tcPr>
          <w:p>
            <w:pPr>
              <w:spacing w:after="0"/>
            </w:pPr>
            <w:r>
              <w:rPr>
                <w:sz w:val="15"/>
              </w:rPr>
              <w:t>Kaynak kontrolü + ilk kullanım ilkesi; notlar tamamen silinmeli.</w:t>
            </w:r>
          </w:p>
        </w:tc>
      </w:tr>
      <w:tr>
        <w:trPr>
          <w:cantSplit/>
        </w:trPr>
        <w:tc>
          <w:tcPr>
            <w:tcW w:type="dxa" w:w="850"/>
            <w:vAlign w:val="top"/>
            <w:tcMar>
              <w:top w:w="70" w:type="dxa"/>
              <w:start w:w="85" w:type="dxa"/>
              <w:bottom w:w="70" w:type="dxa"/>
              <w:end w:w="85" w:type="dxa"/>
            </w:tcMar>
          </w:tcPr>
          <w:p>
            <w:pPr>
              <w:spacing w:after="0"/>
            </w:pPr>
            <w:r>
              <w:rPr>
                <w:sz w:val="15"/>
              </w:rPr>
              <w:t>YENİ-05</w:t>
            </w:r>
          </w:p>
        </w:tc>
        <w:tc>
          <w:tcPr>
            <w:tcW w:type="dxa" w:w="3118"/>
            <w:vAlign w:val="top"/>
            <w:tcMar>
              <w:top w:w="70" w:type="dxa"/>
              <w:start w:w="85" w:type="dxa"/>
              <w:bottom w:w="70" w:type="dxa"/>
              <w:end w:w="85" w:type="dxa"/>
            </w:tcMar>
          </w:tcPr>
          <w:p>
            <w:pPr>
              <w:spacing w:after="0"/>
            </w:pPr>
            <w:r>
              <w:rPr>
                <w:sz w:val="15"/>
              </w:rPr>
              <w:t>Ana gövdede Kur’an yazımı kaçakları</w:t>
            </w:r>
          </w:p>
        </w:tc>
        <w:tc>
          <w:tcPr>
            <w:tcW w:type="dxa" w:w="3402"/>
            <w:vAlign w:val="top"/>
            <w:tcMar>
              <w:top w:w="70" w:type="dxa"/>
              <w:start w:w="85" w:type="dxa"/>
              <w:bottom w:w="70" w:type="dxa"/>
              <w:end w:w="85" w:type="dxa"/>
            </w:tcMar>
          </w:tcPr>
          <w:p>
            <w:pPr>
              <w:spacing w:after="0"/>
            </w:pPr>
            <w:r>
              <w:rPr>
                <w:sz w:val="15"/>
              </w:rPr>
              <w:t>Sonuç öncesi 7 “Kur’ân” ve 1 ASCII apostroflu “Kur'an” biçimi kaldı.</w:t>
            </w:r>
          </w:p>
        </w:tc>
        <w:tc>
          <w:tcPr>
            <w:tcW w:type="dxa" w:w="2948"/>
            <w:vAlign w:val="top"/>
            <w:tcMar>
              <w:top w:w="70" w:type="dxa"/>
              <w:start w:w="85" w:type="dxa"/>
              <w:bottom w:w="70" w:type="dxa"/>
              <w:end w:w="85" w:type="dxa"/>
            </w:tcMar>
          </w:tcPr>
          <w:p>
            <w:pPr>
              <w:spacing w:after="0"/>
            </w:pPr>
            <w:r>
              <w:rPr>
                <w:sz w:val="15"/>
              </w:rPr>
              <w:t>Ana metinde Kur’an; bibliyografik başlık ve alıntı istisnaları korunmalı.</w:t>
            </w:r>
          </w:p>
        </w:tc>
      </w:tr>
      <w:tr>
        <w:trPr>
          <w:cantSplit/>
        </w:trPr>
        <w:tc>
          <w:tcPr>
            <w:tcW w:type="dxa" w:w="850"/>
            <w:vAlign w:val="top"/>
            <w:tcMar>
              <w:top w:w="70" w:type="dxa"/>
              <w:start w:w="85" w:type="dxa"/>
              <w:bottom w:w="70" w:type="dxa"/>
              <w:end w:w="85" w:type="dxa"/>
            </w:tcMar>
          </w:tcPr>
          <w:p>
            <w:pPr>
              <w:spacing w:after="0"/>
            </w:pPr>
            <w:r>
              <w:rPr>
                <w:sz w:val="15"/>
              </w:rPr>
              <w:t>YENİ-06</w:t>
            </w:r>
          </w:p>
        </w:tc>
        <w:tc>
          <w:tcPr>
            <w:tcW w:type="dxa" w:w="3118"/>
            <w:vAlign w:val="top"/>
            <w:tcMar>
              <w:top w:w="70" w:type="dxa"/>
              <w:start w:w="85" w:type="dxa"/>
              <w:bottom w:w="70" w:type="dxa"/>
              <w:end w:w="85" w:type="dxa"/>
            </w:tcMar>
          </w:tcPr>
          <w:p>
            <w:pPr>
              <w:spacing w:after="0"/>
            </w:pPr>
            <w:r>
              <w:rPr>
                <w:sz w:val="15"/>
              </w:rPr>
              <w:t>Kırmızı uzun blokların nicel sınırı</w:t>
            </w:r>
          </w:p>
        </w:tc>
        <w:tc>
          <w:tcPr>
            <w:tcW w:type="dxa" w:w="3402"/>
            <w:vAlign w:val="top"/>
            <w:tcMar>
              <w:top w:w="70" w:type="dxa"/>
              <w:start w:w="85" w:type="dxa"/>
              <w:bottom w:w="70" w:type="dxa"/>
              <w:end w:w="85" w:type="dxa"/>
            </w:tcMar>
          </w:tcPr>
          <w:p>
            <w:pPr>
              <w:spacing w:after="0"/>
            </w:pPr>
            <w:r>
              <w:rPr>
                <w:sz w:val="15"/>
              </w:rPr>
              <w:t>29 paragrafta kırmızı içeriğin toplamı 120 karakteri aşıyor.</w:t>
            </w:r>
          </w:p>
        </w:tc>
        <w:tc>
          <w:tcPr>
            <w:tcW w:type="dxa" w:w="2948"/>
            <w:vAlign w:val="top"/>
            <w:tcMar>
              <w:top w:w="70" w:type="dxa"/>
              <w:start w:w="85" w:type="dxa"/>
              <w:bottom w:w="70" w:type="dxa"/>
              <w:end w:w="85" w:type="dxa"/>
            </w:tcMar>
          </w:tcPr>
          <w:p>
            <w:pPr>
              <w:spacing w:after="0"/>
            </w:pPr>
            <w:r>
              <w:rPr>
                <w:sz w:val="15"/>
              </w:rPr>
              <w:t>Bunlar yalnız kelime değişimi değildir; paragraf/cümle uyumu ayrı okunmalıdır. Ek B.</w:t>
            </w:r>
          </w:p>
        </w:tc>
      </w:tr>
      <w:tr>
        <w:trPr>
          <w:cantSplit/>
        </w:trPr>
        <w:tc>
          <w:tcPr>
            <w:tcW w:type="dxa" w:w="850"/>
            <w:vAlign w:val="top"/>
            <w:tcMar>
              <w:top w:w="70" w:type="dxa"/>
              <w:start w:w="85" w:type="dxa"/>
              <w:bottom w:w="70" w:type="dxa"/>
              <w:end w:w="85" w:type="dxa"/>
            </w:tcMar>
          </w:tcPr>
          <w:p>
            <w:pPr>
              <w:spacing w:after="0"/>
            </w:pPr>
            <w:r>
              <w:rPr>
                <w:sz w:val="15"/>
              </w:rPr>
              <w:t>YENİ-07</w:t>
            </w:r>
          </w:p>
        </w:tc>
        <w:tc>
          <w:tcPr>
            <w:tcW w:type="dxa" w:w="3118"/>
            <w:vAlign w:val="top"/>
            <w:tcMar>
              <w:top w:w="70" w:type="dxa"/>
              <w:start w:w="85" w:type="dxa"/>
              <w:bottom w:w="70" w:type="dxa"/>
              <w:end w:w="85" w:type="dxa"/>
            </w:tcMar>
          </w:tcPr>
          <w:p>
            <w:pPr>
              <w:spacing w:after="0"/>
            </w:pPr>
            <w:r>
              <w:rPr>
                <w:sz w:val="15"/>
              </w:rPr>
              <w:t>Doğrudan ana metne gömülü redaksiyon cümlesi</w:t>
            </w:r>
          </w:p>
        </w:tc>
        <w:tc>
          <w:tcPr>
            <w:tcW w:type="dxa" w:w="3402"/>
            <w:vAlign w:val="top"/>
            <w:tcMar>
              <w:top w:w="70" w:type="dxa"/>
              <w:start w:w="85" w:type="dxa"/>
              <w:bottom w:w="70" w:type="dxa"/>
              <w:end w:w="85" w:type="dxa"/>
            </w:tcMar>
          </w:tcPr>
          <w:p>
            <w:pPr>
              <w:spacing w:after="0"/>
            </w:pPr>
            <w:r>
              <w:rPr>
                <w:sz w:val="15"/>
              </w:rPr>
              <w:t>4.2’de “(burası daha önce düzeltilmemiş...)” gibi not, kaynak anlatısının ortasına yapışmış durumda.</w:t>
            </w:r>
          </w:p>
        </w:tc>
        <w:tc>
          <w:tcPr>
            <w:tcW w:type="dxa" w:w="2948"/>
            <w:vAlign w:val="top"/>
            <w:tcMar>
              <w:top w:w="70" w:type="dxa"/>
              <w:start w:w="85" w:type="dxa"/>
              <w:bottom w:w="70" w:type="dxa"/>
              <w:end w:w="85" w:type="dxa"/>
            </w:tcMar>
          </w:tcPr>
          <w:p>
            <w:pPr>
              <w:spacing w:after="0"/>
            </w:pPr>
            <w:r>
              <w:rPr>
                <w:sz w:val="15"/>
              </w:rPr>
              <w:t>Bu tür notlar son proofreading değil, yayın engelleyici içerik olarak ele alınmalı.</w:t>
            </w:r>
          </w:p>
        </w:tc>
      </w:tr>
      <w:tr>
        <w:trPr>
          <w:cantSplit/>
        </w:trPr>
        <w:tc>
          <w:tcPr>
            <w:tcW w:type="dxa" w:w="850"/>
            <w:vAlign w:val="top"/>
            <w:tcMar>
              <w:top w:w="70" w:type="dxa"/>
              <w:start w:w="85" w:type="dxa"/>
              <w:bottom w:w="70" w:type="dxa"/>
              <w:end w:w="85" w:type="dxa"/>
            </w:tcMar>
          </w:tcPr>
          <w:p>
            <w:pPr>
              <w:spacing w:after="0"/>
            </w:pPr>
            <w:r>
              <w:rPr>
                <w:sz w:val="15"/>
              </w:rPr>
              <w:t>YENİ-08</w:t>
            </w:r>
          </w:p>
        </w:tc>
        <w:tc>
          <w:tcPr>
            <w:tcW w:type="dxa" w:w="3118"/>
            <w:vAlign w:val="top"/>
            <w:tcMar>
              <w:top w:w="70" w:type="dxa"/>
              <w:start w:w="85" w:type="dxa"/>
              <w:bottom w:w="70" w:type="dxa"/>
              <w:end w:w="85" w:type="dxa"/>
            </w:tcMar>
          </w:tcPr>
          <w:p>
            <w:pPr>
              <w:spacing w:after="0"/>
            </w:pPr>
            <w:r>
              <w:rPr>
                <w:sz w:val="15"/>
              </w:rPr>
              <w:t>Kaynakçada DOI katmanlanması</w:t>
            </w:r>
          </w:p>
        </w:tc>
        <w:tc>
          <w:tcPr>
            <w:tcW w:type="dxa" w:w="3402"/>
            <w:vAlign w:val="top"/>
            <w:tcMar>
              <w:top w:w="70" w:type="dxa"/>
              <w:start w:w="85" w:type="dxa"/>
              <w:bottom w:w="70" w:type="dxa"/>
              <w:end w:w="85" w:type="dxa"/>
            </w:tcMar>
          </w:tcPr>
          <w:p>
            <w:pPr>
              <w:spacing w:after="0"/>
            </w:pPr>
            <w:r>
              <w:rPr>
                <w:sz w:val="15"/>
              </w:rPr>
              <w:t>2 kayıtta DOI URL’si iki kez eklenmiş.</w:t>
            </w:r>
          </w:p>
        </w:tc>
        <w:tc>
          <w:tcPr>
            <w:tcW w:type="dxa" w:w="2948"/>
            <w:vAlign w:val="top"/>
            <w:tcMar>
              <w:top w:w="70" w:type="dxa"/>
              <w:start w:w="85" w:type="dxa"/>
              <w:bottom w:w="70" w:type="dxa"/>
              <w:end w:w="85" w:type="dxa"/>
            </w:tcMar>
          </w:tcPr>
          <w:p>
            <w:pPr>
              <w:spacing w:after="0"/>
            </w:pPr>
            <w:r>
              <w:rPr>
                <w:sz w:val="15"/>
              </w:rPr>
              <w:t>DOI numarasını kaynaktan teyit etmeden yalnız biçimsel kısaltmayla yetinme.</w:t>
            </w:r>
          </w:p>
        </w:tc>
      </w:tr>
    </w:tbl>
    <w:p>
      <w:pPr>
        <w:pStyle w:val="Heading3"/>
        <w:keepNext/>
      </w:pPr>
      <w:r>
        <w:t>9.1. Parantez ve braket dengesi bozuk paragraflar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551"/>
            <w:shd w:fill="D9EAF7"/>
          </w:tcPr>
          <w:p>
            <w:r>
              <w:rPr>
                <w:b/>
                <w:sz w:val="14"/>
              </w:rPr>
              <w:t>Yer</w:t>
            </w:r>
          </w:p>
        </w:tc>
        <w:tc>
          <w:tcPr>
            <w:tcW w:type="dxa" w:w="850"/>
            <w:shd w:fill="D9EAF7"/>
          </w:tcPr>
          <w:p>
            <w:r>
              <w:rPr>
                <w:b/>
                <w:sz w:val="14"/>
              </w:rPr>
              <w:t>Paragraf</w:t>
            </w:r>
          </w:p>
        </w:tc>
        <w:tc>
          <w:tcPr>
            <w:tcW w:type="dxa" w:w="1587"/>
            <w:shd w:fill="D9EAF7"/>
          </w:tcPr>
          <w:p>
            <w:r>
              <w:rPr>
                <w:b/>
                <w:sz w:val="14"/>
              </w:rPr>
              <w:t>Sayım</w:t>
            </w:r>
          </w:p>
        </w:tc>
        <w:tc>
          <w:tcPr>
            <w:tcW w:type="dxa" w:w="5102"/>
            <w:shd w:fill="D9EAF7"/>
          </w:tcPr>
          <w:p>
            <w:r>
              <w:rPr>
                <w:b/>
                <w:sz w:val="14"/>
              </w:rPr>
              <w:t>Metin başlangıcı</w:t>
            </w:r>
          </w:p>
        </w:tc>
      </w:tr>
      <w:tr>
        <w:trPr>
          <w:cantSplit/>
        </w:trPr>
        <w:tc>
          <w:tcPr>
            <w:tcW w:type="dxa" w:w="2551"/>
            <w:vAlign w:val="top"/>
            <w:tcMar>
              <w:top w:w="70" w:type="dxa"/>
              <w:start w:w="85" w:type="dxa"/>
              <w:bottom w:w="70" w:type="dxa"/>
              <w:end w:w="85" w:type="dxa"/>
            </w:tcMar>
          </w:tcPr>
          <w:p>
            <w:pPr>
              <w:spacing w:after="0"/>
            </w:pPr>
            <w:r>
              <w:rPr>
                <w:sz w:val="14"/>
              </w:rPr>
              <w:t>1.1 İslâm’dan Önce Arap Yazısının Durumu</w:t>
            </w:r>
          </w:p>
        </w:tc>
        <w:tc>
          <w:tcPr>
            <w:tcW w:type="dxa" w:w="850"/>
            <w:vAlign w:val="top"/>
            <w:tcMar>
              <w:top w:w="70" w:type="dxa"/>
              <w:start w:w="85" w:type="dxa"/>
              <w:bottom w:w="70" w:type="dxa"/>
              <w:end w:w="85" w:type="dxa"/>
            </w:tcMar>
          </w:tcPr>
          <w:p>
            <w:pPr>
              <w:spacing w:after="0"/>
            </w:pPr>
            <w:r>
              <w:rPr>
                <w:sz w:val="14"/>
              </w:rPr>
              <w:t>P52</w:t>
            </w:r>
          </w:p>
        </w:tc>
        <w:tc>
          <w:tcPr>
            <w:tcW w:type="dxa" w:w="1587"/>
            <w:vAlign w:val="top"/>
            <w:tcMar>
              <w:top w:w="70" w:type="dxa"/>
              <w:start w:w="85" w:type="dxa"/>
              <w:bottom w:w="70" w:type="dxa"/>
              <w:end w:w="85" w:type="dxa"/>
            </w:tcMar>
          </w:tcPr>
          <w:p>
            <w:pPr>
              <w:spacing w:after="0"/>
            </w:pPr>
            <w:r>
              <w:rPr>
                <w:sz w:val="14"/>
              </w:rPr>
              <w:t>(=2, )=1, [=1, ]=1</w:t>
            </w:r>
          </w:p>
        </w:tc>
        <w:tc>
          <w:tcPr>
            <w:tcW w:type="dxa" w:w="5102"/>
            <w:vAlign w:val="top"/>
            <w:tcMar>
              <w:top w:w="70" w:type="dxa"/>
              <w:start w:w="85" w:type="dxa"/>
              <w:bottom w:w="70" w:type="dxa"/>
              <w:end w:w="85" w:type="dxa"/>
            </w:tcMar>
          </w:tcPr>
          <w:p>
            <w:pPr>
              <w:spacing w:after="0"/>
            </w:pPr>
            <w:r>
              <w:rPr>
                <w:sz w:val="14"/>
              </w:rPr>
              <w:t>Kaynaklar İslâm öncesi dönemde Araplar arasında yazının sınırlı da olsa kullanıldığını ve yazıyı bilen belli bir kesimin bulunduğunu göstermektedir. Bu veriler yazının kurumsal anlamda pratiğinin olmadığını, ancak toplumsal hayatın bazı alanlarında…</w:t>
            </w:r>
          </w:p>
        </w:tc>
      </w:tr>
      <w:tr>
        <w:trPr>
          <w:cantSplit/>
        </w:trPr>
        <w:tc>
          <w:tcPr>
            <w:tcW w:type="dxa" w:w="2551"/>
            <w:vAlign w:val="top"/>
            <w:tcMar>
              <w:top w:w="70" w:type="dxa"/>
              <w:start w:w="85" w:type="dxa"/>
              <w:bottom w:w="70" w:type="dxa"/>
              <w:end w:w="85" w:type="dxa"/>
            </w:tcMar>
          </w:tcPr>
          <w:p>
            <w:pPr>
              <w:spacing w:after="0"/>
            </w:pPr>
            <w:r>
              <w:rPr>
                <w:sz w:val="14"/>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4"/>
              </w:rPr>
              <w:t>P111</w:t>
            </w:r>
          </w:p>
        </w:tc>
        <w:tc>
          <w:tcPr>
            <w:tcW w:type="dxa" w:w="1587"/>
            <w:vAlign w:val="top"/>
            <w:tcMar>
              <w:top w:w="70" w:type="dxa"/>
              <w:start w:w="85" w:type="dxa"/>
              <w:bottom w:w="70" w:type="dxa"/>
              <w:end w:w="85" w:type="dxa"/>
            </w:tcMar>
          </w:tcPr>
          <w:p>
            <w:pPr>
              <w:spacing w:after="0"/>
            </w:pPr>
            <w:r>
              <w:rPr>
                <w:sz w:val="14"/>
              </w:rPr>
              <w:t>(=4, )=3, [=0, ]=0</w:t>
            </w:r>
          </w:p>
        </w:tc>
        <w:tc>
          <w:tcPr>
            <w:tcW w:type="dxa" w:w="5102"/>
            <w:vAlign w:val="top"/>
            <w:tcMar>
              <w:top w:w="70" w:type="dxa"/>
              <w:start w:w="85" w:type="dxa"/>
              <w:bottom w:w="70" w:type="dxa"/>
              <w:end w:w="85" w:type="dxa"/>
            </w:tcMar>
          </w:tcPr>
          <w:p>
            <w:pPr>
              <w:spacing w:after="0"/>
            </w:pPr>
            <w:r>
              <w:rPr>
                <w:sz w:val="14"/>
              </w:rPr>
              <w:t>Osmânî mushafların sayısı hususunda çağdaş araştırmacıların vardığı sonuçlar bireysel kanaatlerin ötesine geçerek büyük ölçüde belli bir yöntemsel zemine dayanan değerlendirmeler hâline gelmiştir. Özellikle Muhammed Abdülazîm ez-Zürkânî (ö.1948), Subhî…</w:t>
            </w:r>
          </w:p>
        </w:tc>
      </w:tr>
      <w:tr>
        <w:trPr>
          <w:cantSplit/>
        </w:trPr>
        <w:tc>
          <w:tcPr>
            <w:tcW w:type="dxa" w:w="2551"/>
            <w:vAlign w:val="top"/>
            <w:tcMar>
              <w:top w:w="70" w:type="dxa"/>
              <w:start w:w="85" w:type="dxa"/>
              <w:bottom w:w="70" w:type="dxa"/>
              <w:end w:w="85" w:type="dxa"/>
            </w:tcMar>
          </w:tcPr>
          <w:p>
            <w:pPr>
              <w:spacing w:after="0"/>
            </w:pPr>
            <w:r>
              <w:rPr>
                <w:sz w:val="14"/>
              </w:rPr>
              <w:t>1.9 Resm-i Mushaf’ın Temel Özellikleri</w:t>
            </w:r>
          </w:p>
        </w:tc>
        <w:tc>
          <w:tcPr>
            <w:tcW w:type="dxa" w:w="850"/>
            <w:vAlign w:val="top"/>
            <w:tcMar>
              <w:top w:w="70" w:type="dxa"/>
              <w:start w:w="85" w:type="dxa"/>
              <w:bottom w:w="70" w:type="dxa"/>
              <w:end w:w="85" w:type="dxa"/>
            </w:tcMar>
          </w:tcPr>
          <w:p>
            <w:pPr>
              <w:spacing w:after="0"/>
            </w:pPr>
            <w:r>
              <w:rPr>
                <w:sz w:val="14"/>
              </w:rPr>
              <w:t>P176</w:t>
            </w:r>
          </w:p>
        </w:tc>
        <w:tc>
          <w:tcPr>
            <w:tcW w:type="dxa" w:w="1587"/>
            <w:vAlign w:val="top"/>
            <w:tcMar>
              <w:top w:w="70" w:type="dxa"/>
              <w:start w:w="85" w:type="dxa"/>
              <w:bottom w:w="70" w:type="dxa"/>
              <w:end w:w="85" w:type="dxa"/>
            </w:tcMar>
          </w:tcPr>
          <w:p>
            <w:pPr>
              <w:spacing w:after="0"/>
            </w:pPr>
            <w:r>
              <w:rPr>
                <w:sz w:val="14"/>
              </w:rPr>
              <w:t>(=4, )=5, [=0, ]=0</w:t>
            </w:r>
          </w:p>
        </w:tc>
        <w:tc>
          <w:tcPr>
            <w:tcW w:type="dxa" w:w="5102"/>
            <w:vAlign w:val="top"/>
            <w:tcMar>
              <w:top w:w="70" w:type="dxa"/>
              <w:start w:w="85" w:type="dxa"/>
              <w:bottom w:w="70" w:type="dxa"/>
              <w:end w:w="85" w:type="dxa"/>
            </w:tcMar>
          </w:tcPr>
          <w:p>
            <w:pPr>
              <w:spacing w:after="0"/>
            </w:pPr>
            <w:r>
              <w:rPr>
                <w:sz w:val="14"/>
              </w:rPr>
              <w:t>Bu kurallar şunlardır: harf düşmesi (hazf), harf fazlalığı (ziyâde), hemze yazımı, harf değişimi (ibdâl), kelimelerin bitişik yazılması (vasl) ve ayrı yazılması fasl). Ayrıca bazı kelimelerde birden fazla sahih kırâat bulunduğunda, kelimenin mushaflarda bu…</w:t>
            </w:r>
          </w:p>
        </w:tc>
      </w:tr>
    </w:tbl>
    <w:p>
      <w:pPr>
        <w:pStyle w:val="Heading3"/>
        <w:keepNext/>
      </w:pPr>
      <w:r>
        <w:t>9.2. Ölüm tarihi ve kişi bilgisi alanında çalışma artığı bulunan yerler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551"/>
            <w:shd w:fill="D9EAF7"/>
          </w:tcPr>
          <w:p>
            <w:r>
              <w:rPr>
                <w:b/>
                <w:sz w:val="14"/>
              </w:rPr>
              <w:t>Yer</w:t>
            </w:r>
          </w:p>
        </w:tc>
        <w:tc>
          <w:tcPr>
            <w:tcW w:type="dxa" w:w="850"/>
            <w:shd w:fill="D9EAF7"/>
          </w:tcPr>
          <w:p>
            <w:r>
              <w:rPr>
                <w:b/>
                <w:sz w:val="14"/>
              </w:rPr>
              <w:t>Paragraf</w:t>
            </w:r>
          </w:p>
        </w:tc>
        <w:tc>
          <w:tcPr>
            <w:tcW w:type="dxa" w:w="4252"/>
            <w:shd w:fill="D9EAF7"/>
          </w:tcPr>
          <w:p>
            <w:r>
              <w:rPr>
                <w:b/>
                <w:sz w:val="14"/>
              </w:rPr>
              <w:t>Sorunlu parça</w:t>
            </w:r>
          </w:p>
        </w:tc>
        <w:tc>
          <w:tcPr>
            <w:tcW w:type="dxa" w:w="2551"/>
            <w:shd w:fill="D9EAF7"/>
          </w:tcPr>
          <w:p>
            <w:r>
              <w:rPr>
                <w:b/>
                <w:sz w:val="14"/>
              </w:rPr>
              <w:t>İşlem</w:t>
            </w:r>
          </w:p>
        </w:tc>
      </w:tr>
      <w:tr>
        <w:trPr>
          <w:cantSplit/>
        </w:trPr>
        <w:tc>
          <w:tcPr>
            <w:tcW w:type="dxa" w:w="2551"/>
            <w:vAlign w:val="top"/>
            <w:tcMar>
              <w:top w:w="70" w:type="dxa"/>
              <w:start w:w="85" w:type="dxa"/>
              <w:bottom w:w="70" w:type="dxa"/>
              <w:end w:w="85" w:type="dxa"/>
            </w:tcMar>
          </w:tcPr>
          <w:p>
            <w:pPr>
              <w:spacing w:after="0"/>
            </w:pPr>
            <w:r>
              <w:rPr>
                <w:sz w:val="14"/>
              </w:rPr>
              <w:t>1.1 İslâm’dan Önce Arap Yazısının Durumu</w:t>
            </w:r>
          </w:p>
        </w:tc>
        <w:tc>
          <w:tcPr>
            <w:tcW w:type="dxa" w:w="850"/>
            <w:vAlign w:val="top"/>
            <w:tcMar>
              <w:top w:w="70" w:type="dxa"/>
              <w:start w:w="85" w:type="dxa"/>
              <w:bottom w:w="70" w:type="dxa"/>
              <w:end w:w="85" w:type="dxa"/>
            </w:tcMar>
          </w:tcPr>
          <w:p>
            <w:pPr>
              <w:spacing w:after="0"/>
            </w:pPr>
            <w:r>
              <w:rPr>
                <w:sz w:val="14"/>
              </w:rPr>
              <w:t>P52</w:t>
            </w:r>
          </w:p>
        </w:tc>
        <w:tc>
          <w:tcPr>
            <w:tcW w:type="dxa" w:w="4252"/>
            <w:vAlign w:val="top"/>
            <w:tcMar>
              <w:top w:w="70" w:type="dxa"/>
              <w:start w:w="85" w:type="dxa"/>
              <w:bottom w:w="70" w:type="dxa"/>
              <w:end w:w="85" w:type="dxa"/>
            </w:tcMar>
          </w:tcPr>
          <w:p>
            <w:pPr>
              <w:spacing w:after="0"/>
            </w:pPr>
            <w:r>
              <w:rPr>
                <w:sz w:val="14"/>
              </w:rPr>
              <w:t>(ö. 610 (?</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4"/>
              </w:rPr>
              <w:t>P106</w:t>
            </w:r>
          </w:p>
        </w:tc>
        <w:tc>
          <w:tcPr>
            <w:tcW w:type="dxa" w:w="4252"/>
            <w:vAlign w:val="top"/>
            <w:tcMar>
              <w:top w:w="70" w:type="dxa"/>
              <w:start w:w="85" w:type="dxa"/>
              <w:bottom w:w="70" w:type="dxa"/>
              <w:end w:w="85" w:type="dxa"/>
            </w:tcMar>
          </w:tcPr>
          <w:p>
            <w:pPr>
              <w:spacing w:after="0"/>
            </w:pPr>
            <w:r>
              <w:rPr>
                <w:sz w:val="14"/>
              </w:rPr>
              <w:t xml:space="preserve">(ö. 852/1449 </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4"/>
              </w:rPr>
              <w:t>P108</w:t>
            </w:r>
          </w:p>
        </w:tc>
        <w:tc>
          <w:tcPr>
            <w:tcW w:type="dxa" w:w="4252"/>
            <w:vAlign w:val="top"/>
            <w:tcMar>
              <w:top w:w="70" w:type="dxa"/>
              <w:start w:w="85" w:type="dxa"/>
              <w:bottom w:w="70" w:type="dxa"/>
              <w:end w:w="85" w:type="dxa"/>
            </w:tcMar>
          </w:tcPr>
          <w:p>
            <w:pPr>
              <w:spacing w:after="0"/>
            </w:pPr>
            <w:r>
              <w:rPr>
                <w:sz w:val="14"/>
              </w:rPr>
              <w:t>(ö. 70/689</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1.5 Çoğaltılan Mushafların Sayısı ve Gönderildikleri Şehirler</w:t>
            </w:r>
          </w:p>
        </w:tc>
        <w:tc>
          <w:tcPr>
            <w:tcW w:type="dxa" w:w="850"/>
            <w:vAlign w:val="top"/>
            <w:tcMar>
              <w:top w:w="70" w:type="dxa"/>
              <w:start w:w="85" w:type="dxa"/>
              <w:bottom w:w="70" w:type="dxa"/>
              <w:end w:w="85" w:type="dxa"/>
            </w:tcMar>
          </w:tcPr>
          <w:p>
            <w:pPr>
              <w:spacing w:after="0"/>
            </w:pPr>
            <w:r>
              <w:rPr>
                <w:sz w:val="14"/>
              </w:rPr>
              <w:t>P111</w:t>
            </w:r>
          </w:p>
        </w:tc>
        <w:tc>
          <w:tcPr>
            <w:tcW w:type="dxa" w:w="4252"/>
            <w:vAlign w:val="top"/>
            <w:tcMar>
              <w:top w:w="70" w:type="dxa"/>
              <w:start w:w="85" w:type="dxa"/>
              <w:bottom w:w="70" w:type="dxa"/>
              <w:end w:w="85" w:type="dxa"/>
            </w:tcMar>
          </w:tcPr>
          <w:p>
            <w:pPr>
              <w:spacing w:after="0"/>
            </w:pPr>
            <w:r>
              <w:rPr>
                <w:sz w:val="14"/>
              </w:rPr>
              <w:t>(ö.1948</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1.6.2 Resm Kavramının Istılâhî Çerçevesi</w:t>
            </w:r>
          </w:p>
        </w:tc>
        <w:tc>
          <w:tcPr>
            <w:tcW w:type="dxa" w:w="850"/>
            <w:vAlign w:val="top"/>
            <w:tcMar>
              <w:top w:w="70" w:type="dxa"/>
              <w:start w:w="85" w:type="dxa"/>
              <w:bottom w:w="70" w:type="dxa"/>
              <w:end w:w="85" w:type="dxa"/>
            </w:tcMar>
          </w:tcPr>
          <w:p>
            <w:pPr>
              <w:spacing w:after="0"/>
            </w:pPr>
            <w:r>
              <w:rPr>
                <w:sz w:val="14"/>
              </w:rPr>
              <w:t>P133</w:t>
            </w:r>
          </w:p>
        </w:tc>
        <w:tc>
          <w:tcPr>
            <w:tcW w:type="dxa" w:w="4252"/>
            <w:vAlign w:val="top"/>
            <w:tcMar>
              <w:top w:w="70" w:type="dxa"/>
              <w:start w:w="85" w:type="dxa"/>
              <w:bottom w:w="70" w:type="dxa"/>
              <w:end w:w="85" w:type="dxa"/>
            </w:tcMar>
          </w:tcPr>
          <w:p>
            <w:pPr>
              <w:spacing w:after="0"/>
            </w:pPr>
            <w:r>
              <w:rPr>
                <w:sz w:val="14"/>
              </w:rPr>
              <w:t>(ö. 923/1517 bu tarih daha önce geçtiyse silinsin</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1.8 Resm-i Osmânî Tevkîfî mi İctihâdi mi?</w:t>
            </w:r>
          </w:p>
        </w:tc>
        <w:tc>
          <w:tcPr>
            <w:tcW w:type="dxa" w:w="850"/>
            <w:vAlign w:val="top"/>
            <w:tcMar>
              <w:top w:w="70" w:type="dxa"/>
              <w:start w:w="85" w:type="dxa"/>
              <w:bottom w:w="70" w:type="dxa"/>
              <w:end w:w="85" w:type="dxa"/>
            </w:tcMar>
          </w:tcPr>
          <w:p>
            <w:pPr>
              <w:spacing w:after="0"/>
            </w:pPr>
            <w:r>
              <w:rPr>
                <w:sz w:val="14"/>
              </w:rPr>
              <w:t>P158</w:t>
            </w:r>
          </w:p>
        </w:tc>
        <w:tc>
          <w:tcPr>
            <w:tcW w:type="dxa" w:w="4252"/>
            <w:vAlign w:val="top"/>
            <w:tcMar>
              <w:top w:w="70" w:type="dxa"/>
              <w:start w:w="85" w:type="dxa"/>
              <w:bottom w:w="70" w:type="dxa"/>
              <w:end w:w="85" w:type="dxa"/>
            </w:tcMar>
          </w:tcPr>
          <w:p>
            <w:pPr>
              <w:spacing w:after="0"/>
            </w:pPr>
            <w:r>
              <w:rPr>
                <w:sz w:val="14"/>
              </w:rPr>
              <w:t>(ö. 403/10113 daha önce geçtiyse silinsin</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4"/>
              </w:rPr>
              <w:t>P432</w:t>
            </w:r>
          </w:p>
        </w:tc>
        <w:tc>
          <w:tcPr>
            <w:tcW w:type="dxa" w:w="4252"/>
            <w:vAlign w:val="top"/>
            <w:tcMar>
              <w:top w:w="70" w:type="dxa"/>
              <w:start w:w="85" w:type="dxa"/>
              <w:bottom w:w="70" w:type="dxa"/>
              <w:end w:w="85" w:type="dxa"/>
            </w:tcMar>
          </w:tcPr>
          <w:p>
            <w:pPr>
              <w:spacing w:after="0"/>
            </w:pPr>
            <w:r>
              <w:rPr>
                <w:sz w:val="14"/>
              </w:rPr>
              <w:t>(ö. 440/1048 daha önce geçmişmi</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4"/>
              </w:rPr>
              <w:t>P434</w:t>
            </w:r>
          </w:p>
        </w:tc>
        <w:tc>
          <w:tcPr>
            <w:tcW w:type="dxa" w:w="4252"/>
            <w:vAlign w:val="top"/>
            <w:tcMar>
              <w:top w:w="70" w:type="dxa"/>
              <w:start w:w="85" w:type="dxa"/>
              <w:bottom w:w="70" w:type="dxa"/>
              <w:end w:w="85" w:type="dxa"/>
            </w:tcMar>
          </w:tcPr>
          <w:p>
            <w:pPr>
              <w:spacing w:after="0"/>
            </w:pPr>
            <w:r>
              <w:rPr>
                <w:sz w:val="14"/>
              </w:rPr>
              <w:t>(ö. 496/1103</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4"/>
              </w:rPr>
              <w:t>P436</w:t>
            </w:r>
          </w:p>
        </w:tc>
        <w:tc>
          <w:tcPr>
            <w:tcW w:type="dxa" w:w="4252"/>
            <w:vAlign w:val="top"/>
            <w:tcMar>
              <w:top w:w="70" w:type="dxa"/>
              <w:start w:w="85" w:type="dxa"/>
              <w:bottom w:w="70" w:type="dxa"/>
              <w:end w:w="85" w:type="dxa"/>
            </w:tcMar>
          </w:tcPr>
          <w:p>
            <w:pPr>
              <w:spacing w:after="0"/>
            </w:pPr>
            <w:r>
              <w:rPr>
                <w:sz w:val="14"/>
              </w:rPr>
              <w:t>(ö. 442/10509 daha önce geçti mi</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4.5 Resm-i Osmânî’nin Yazım Özelliklerine Dair Rivâyetlerin Kırâat İhtilaflarının Tespiti ve Yorumlanmasındaki Rolü</w:t>
            </w:r>
          </w:p>
        </w:tc>
        <w:tc>
          <w:tcPr>
            <w:tcW w:type="dxa" w:w="850"/>
            <w:vAlign w:val="top"/>
            <w:tcMar>
              <w:top w:w="70" w:type="dxa"/>
              <w:start w:w="85" w:type="dxa"/>
              <w:bottom w:w="70" w:type="dxa"/>
              <w:end w:w="85" w:type="dxa"/>
            </w:tcMar>
          </w:tcPr>
          <w:p>
            <w:pPr>
              <w:spacing w:after="0"/>
            </w:pPr>
            <w:r>
              <w:rPr>
                <w:sz w:val="14"/>
              </w:rPr>
              <w:t>P437</w:t>
            </w:r>
          </w:p>
        </w:tc>
        <w:tc>
          <w:tcPr>
            <w:tcW w:type="dxa" w:w="4252"/>
            <w:vAlign w:val="top"/>
            <w:tcMar>
              <w:top w:w="70" w:type="dxa"/>
              <w:start w:w="85" w:type="dxa"/>
              <w:bottom w:w="70" w:type="dxa"/>
              <w:end w:w="85" w:type="dxa"/>
            </w:tcMar>
          </w:tcPr>
          <w:p>
            <w:pPr>
              <w:spacing w:after="0"/>
            </w:pPr>
            <w:r>
              <w:rPr>
                <w:sz w:val="14"/>
              </w:rPr>
              <w:t>(ö. 642/1244 daha önce geçti mi</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r>
        <w:trPr>
          <w:cantSplit/>
        </w:trPr>
        <w:tc>
          <w:tcPr>
            <w:tcW w:type="dxa" w:w="2551"/>
            <w:vAlign w:val="top"/>
            <w:tcMar>
              <w:top w:w="70" w:type="dxa"/>
              <w:start w:w="85" w:type="dxa"/>
              <w:bottom w:w="70" w:type="dxa"/>
              <w:end w:w="85" w:type="dxa"/>
            </w:tcMar>
          </w:tcPr>
          <w:p>
            <w:pPr>
              <w:spacing w:after="0"/>
            </w:pPr>
            <w:r>
              <w:rPr>
                <w:sz w:val="14"/>
              </w:rPr>
              <w:t>4.7 Kırâat Rivâyetlerine Göre Düzenlenen Basılı Mushafların Yaygınlaşması ve Etkileri</w:t>
            </w:r>
          </w:p>
        </w:tc>
        <w:tc>
          <w:tcPr>
            <w:tcW w:type="dxa" w:w="850"/>
            <w:vAlign w:val="top"/>
            <w:tcMar>
              <w:top w:w="70" w:type="dxa"/>
              <w:start w:w="85" w:type="dxa"/>
              <w:bottom w:w="70" w:type="dxa"/>
              <w:end w:w="85" w:type="dxa"/>
            </w:tcMar>
          </w:tcPr>
          <w:p>
            <w:pPr>
              <w:spacing w:after="0"/>
            </w:pPr>
            <w:r>
              <w:rPr>
                <w:sz w:val="14"/>
              </w:rPr>
              <w:t>P463</w:t>
            </w:r>
          </w:p>
        </w:tc>
        <w:tc>
          <w:tcPr>
            <w:tcW w:type="dxa" w:w="4252"/>
            <w:vAlign w:val="top"/>
            <w:tcMar>
              <w:top w:w="70" w:type="dxa"/>
              <w:start w:w="85" w:type="dxa"/>
              <w:bottom w:w="70" w:type="dxa"/>
              <w:end w:w="85" w:type="dxa"/>
            </w:tcMar>
          </w:tcPr>
          <w:p>
            <w:pPr>
              <w:spacing w:after="0"/>
            </w:pPr>
            <w:r>
              <w:rPr>
                <w:sz w:val="14"/>
              </w:rPr>
              <w:t>(ö. 408/1017 daha önce geçti mi</w:t>
            </w:r>
          </w:p>
        </w:tc>
        <w:tc>
          <w:tcPr>
            <w:tcW w:type="dxa" w:w="2551"/>
            <w:vAlign w:val="top"/>
            <w:tcMar>
              <w:top w:w="70" w:type="dxa"/>
              <w:start w:w="85" w:type="dxa"/>
              <w:bottom w:w="70" w:type="dxa"/>
              <w:end w:w="85" w:type="dxa"/>
            </w:tcMar>
          </w:tcPr>
          <w:p>
            <w:pPr>
              <w:spacing w:after="0"/>
            </w:pPr>
            <w:r>
              <w:rPr>
                <w:sz w:val="14"/>
              </w:rPr>
              <w:t>Kaynak kontrolü; notu kaldır; tarih tekrarını ilk kullanım ilkesine göre düzenle.</w:t>
            </w:r>
          </w:p>
        </w:tc>
      </w:tr>
    </w:tbl>
    <w:p>
      <w:pPr>
        <w:pStyle w:val="Heading2"/>
        <w:keepNext/>
      </w:pPr>
      <w:r>
        <w:t>10. Tamamlanmış veya Doğru Yönde Düzeltilmiş Unsurlar: Geriye Dönüş Yapılmamalı</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3005"/>
            <w:shd w:fill="D9EAF7"/>
          </w:tcPr>
          <w:p>
            <w:r>
              <w:rPr>
                <w:b/>
                <w:sz w:val="16"/>
              </w:rPr>
              <w:t>Korunacak unsur</w:t>
            </w:r>
          </w:p>
        </w:tc>
        <w:tc>
          <w:tcPr>
            <w:tcW w:type="dxa" w:w="7030"/>
            <w:shd w:fill="D9EAF7"/>
          </w:tcPr>
          <w:p>
            <w:r>
              <w:rPr>
                <w:b/>
                <w:sz w:val="16"/>
              </w:rPr>
              <w:t>Not</w:t>
            </w:r>
          </w:p>
        </w:tc>
      </w:tr>
      <w:tr>
        <w:trPr>
          <w:cantSplit/>
        </w:trPr>
        <w:tc>
          <w:tcPr>
            <w:tcW w:type="dxa" w:w="3005"/>
            <w:vAlign w:val="top"/>
            <w:tcMar>
              <w:top w:w="70" w:type="dxa"/>
              <w:start w:w="85" w:type="dxa"/>
              <w:bottom w:w="70" w:type="dxa"/>
              <w:end w:w="85" w:type="dxa"/>
            </w:tcMar>
          </w:tcPr>
          <w:p>
            <w:pPr>
              <w:spacing w:after="0"/>
            </w:pPr>
            <w:r>
              <w:rPr>
                <w:sz w:val="16"/>
              </w:rPr>
              <w:t>İbn Ebû Dâvud</w:t>
            </w:r>
          </w:p>
        </w:tc>
        <w:tc>
          <w:tcPr>
            <w:tcW w:type="dxa" w:w="7030"/>
            <w:vAlign w:val="top"/>
            <w:tcMar>
              <w:top w:w="70" w:type="dxa"/>
              <w:start w:w="85" w:type="dxa"/>
              <w:bottom w:w="70" w:type="dxa"/>
              <w:end w:w="85" w:type="dxa"/>
            </w:tcMar>
          </w:tcPr>
          <w:p>
            <w:pPr>
              <w:spacing w:after="0"/>
            </w:pPr>
            <w:r>
              <w:rPr>
                <w:sz w:val="16"/>
              </w:rPr>
              <w:t>Doğru biçim korunmalı; eski İbn Ebî Dâvud’a dönülmemeli.</w:t>
            </w:r>
          </w:p>
        </w:tc>
      </w:tr>
      <w:tr>
        <w:trPr>
          <w:cantSplit/>
        </w:trPr>
        <w:tc>
          <w:tcPr>
            <w:tcW w:type="dxa" w:w="3005"/>
            <w:vAlign w:val="top"/>
            <w:tcMar>
              <w:top w:w="70" w:type="dxa"/>
              <w:start w:w="85" w:type="dxa"/>
              <w:bottom w:w="70" w:type="dxa"/>
              <w:end w:w="85" w:type="dxa"/>
            </w:tcMar>
          </w:tcPr>
          <w:p>
            <w:pPr>
              <w:spacing w:after="0"/>
            </w:pPr>
            <w:r>
              <w:rPr>
                <w:sz w:val="16"/>
              </w:rPr>
              <w:t>Semîru’t-tâlibîn</w:t>
            </w:r>
          </w:p>
        </w:tc>
        <w:tc>
          <w:tcPr>
            <w:tcW w:type="dxa" w:w="7030"/>
            <w:vAlign w:val="top"/>
            <w:tcMar>
              <w:top w:w="70" w:type="dxa"/>
              <w:start w:w="85" w:type="dxa"/>
              <w:bottom w:w="70" w:type="dxa"/>
              <w:end w:w="85" w:type="dxa"/>
            </w:tcMar>
          </w:tcPr>
          <w:p>
            <w:pPr>
              <w:spacing w:after="0"/>
            </w:pPr>
            <w:r>
              <w:rPr>
                <w:sz w:val="16"/>
              </w:rPr>
              <w:t>Doğru biçim korunmalı.</w:t>
            </w:r>
          </w:p>
        </w:tc>
      </w:tr>
      <w:tr>
        <w:trPr>
          <w:cantSplit/>
        </w:trPr>
        <w:tc>
          <w:tcPr>
            <w:tcW w:type="dxa" w:w="3005"/>
            <w:vAlign w:val="top"/>
            <w:tcMar>
              <w:top w:w="70" w:type="dxa"/>
              <w:start w:w="85" w:type="dxa"/>
              <w:bottom w:w="70" w:type="dxa"/>
              <w:end w:w="85" w:type="dxa"/>
            </w:tcMar>
          </w:tcPr>
          <w:p>
            <w:pPr>
              <w:spacing w:after="0"/>
            </w:pPr>
            <w:r>
              <w:rPr>
                <w:sz w:val="16"/>
              </w:rPr>
              <w:t>Kitâbu’s-seb‘a</w:t>
            </w:r>
          </w:p>
        </w:tc>
        <w:tc>
          <w:tcPr>
            <w:tcW w:type="dxa" w:w="7030"/>
            <w:vAlign w:val="top"/>
            <w:tcMar>
              <w:top w:w="70" w:type="dxa"/>
              <w:start w:w="85" w:type="dxa"/>
              <w:bottom w:w="70" w:type="dxa"/>
              <w:end w:w="85" w:type="dxa"/>
            </w:tcMar>
          </w:tcPr>
          <w:p>
            <w:pPr>
              <w:spacing w:after="0"/>
            </w:pPr>
            <w:r>
              <w:rPr>
                <w:sz w:val="16"/>
              </w:rPr>
              <w:t>Doğru biçim korunmalı; “seb‘ati” varyantı geri gelmemeli.</w:t>
            </w:r>
          </w:p>
        </w:tc>
      </w:tr>
      <w:tr>
        <w:trPr>
          <w:cantSplit/>
        </w:trPr>
        <w:tc>
          <w:tcPr>
            <w:tcW w:type="dxa" w:w="3005"/>
            <w:vAlign w:val="top"/>
            <w:tcMar>
              <w:top w:w="70" w:type="dxa"/>
              <w:start w:w="85" w:type="dxa"/>
              <w:bottom w:w="70" w:type="dxa"/>
              <w:end w:w="85" w:type="dxa"/>
            </w:tcMar>
          </w:tcPr>
          <w:p>
            <w:pPr>
              <w:spacing w:after="0"/>
            </w:pPr>
            <w:r>
              <w:rPr>
                <w:sz w:val="16"/>
              </w:rPr>
              <w:t>Merrâkuşî</w:t>
            </w:r>
          </w:p>
        </w:tc>
        <w:tc>
          <w:tcPr>
            <w:tcW w:type="dxa" w:w="7030"/>
            <w:vAlign w:val="top"/>
            <w:tcMar>
              <w:top w:w="70" w:type="dxa"/>
              <w:start w:w="85" w:type="dxa"/>
              <w:bottom w:w="70" w:type="dxa"/>
              <w:end w:w="85" w:type="dxa"/>
            </w:tcMar>
          </w:tcPr>
          <w:p>
            <w:pPr>
              <w:spacing w:after="0"/>
            </w:pPr>
            <w:r>
              <w:rPr>
                <w:sz w:val="16"/>
              </w:rPr>
              <w:t>Doğru biçim korunmalı.</w:t>
            </w:r>
          </w:p>
        </w:tc>
      </w:tr>
      <w:tr>
        <w:trPr>
          <w:cantSplit/>
        </w:trPr>
        <w:tc>
          <w:tcPr>
            <w:tcW w:type="dxa" w:w="3005"/>
            <w:vAlign w:val="top"/>
            <w:tcMar>
              <w:top w:w="70" w:type="dxa"/>
              <w:start w:w="85" w:type="dxa"/>
              <w:bottom w:w="70" w:type="dxa"/>
              <w:end w:w="85" w:type="dxa"/>
            </w:tcMar>
          </w:tcPr>
          <w:p>
            <w:pPr>
              <w:spacing w:after="0"/>
            </w:pPr>
            <w:r>
              <w:rPr>
                <w:sz w:val="16"/>
              </w:rPr>
              <w:t>Mekkî vahyin yazımı</w:t>
            </w:r>
          </w:p>
        </w:tc>
        <w:tc>
          <w:tcPr>
            <w:tcW w:type="dxa" w:w="7030"/>
            <w:vAlign w:val="top"/>
            <w:tcMar>
              <w:top w:w="70" w:type="dxa"/>
              <w:start w:w="85" w:type="dxa"/>
              <w:bottom w:w="70" w:type="dxa"/>
              <w:end w:w="85" w:type="dxa"/>
            </w:tcMar>
          </w:tcPr>
          <w:p>
            <w:pPr>
              <w:spacing w:after="0"/>
            </w:pPr>
            <w:r>
              <w:rPr>
                <w:sz w:val="16"/>
              </w:rPr>
              <w:t>Eski aşırı kesin “bütün Mekkî vahiy yazılmıştır” çizgisi yerine mevcut ihtiyatlı ifade korunmalı.</w:t>
            </w:r>
          </w:p>
        </w:tc>
      </w:tr>
      <w:tr>
        <w:trPr>
          <w:cantSplit/>
        </w:trPr>
        <w:tc>
          <w:tcPr>
            <w:tcW w:type="dxa" w:w="3005"/>
            <w:vAlign w:val="top"/>
            <w:tcMar>
              <w:top w:w="70" w:type="dxa"/>
              <w:start w:w="85" w:type="dxa"/>
              <w:bottom w:w="70" w:type="dxa"/>
              <w:end w:w="85" w:type="dxa"/>
            </w:tcMar>
          </w:tcPr>
          <w:p>
            <w:pPr>
              <w:spacing w:after="0"/>
            </w:pPr>
            <w:r>
              <w:rPr>
                <w:sz w:val="16"/>
              </w:rPr>
              <w:t>Resm bağımsız kaynak değildir ana tezi</w:t>
            </w:r>
          </w:p>
        </w:tc>
        <w:tc>
          <w:tcPr>
            <w:tcW w:type="dxa" w:w="7030"/>
            <w:vAlign w:val="top"/>
            <w:tcMar>
              <w:top w:w="70" w:type="dxa"/>
              <w:start w:w="85" w:type="dxa"/>
              <w:bottom w:w="70" w:type="dxa"/>
              <w:end w:w="85" w:type="dxa"/>
            </w:tcMar>
          </w:tcPr>
          <w:p>
            <w:pPr>
              <w:spacing w:after="0"/>
            </w:pPr>
            <w:r>
              <w:rPr>
                <w:sz w:val="16"/>
              </w:rPr>
              <w:t>Önsöz/Giriş/Sonuçta dengeli form korunmalı; gövdede buna aykırı özneleştirmeler düzeltilmeli.</w:t>
            </w:r>
          </w:p>
        </w:tc>
      </w:tr>
      <w:tr>
        <w:trPr>
          <w:cantSplit/>
        </w:trPr>
        <w:tc>
          <w:tcPr>
            <w:tcW w:type="dxa" w:w="3005"/>
            <w:vAlign w:val="top"/>
            <w:tcMar>
              <w:top w:w="70" w:type="dxa"/>
              <w:start w:w="85" w:type="dxa"/>
              <w:bottom w:w="70" w:type="dxa"/>
              <w:end w:w="85" w:type="dxa"/>
            </w:tcMar>
          </w:tcPr>
          <w:p>
            <w:pPr>
              <w:spacing w:after="0"/>
            </w:pPr>
            <w:r>
              <w:rPr>
                <w:sz w:val="16"/>
              </w:rPr>
              <w:t>2.4 başlığındaki eski “standartlaşma” formu</w:t>
            </w:r>
          </w:p>
        </w:tc>
        <w:tc>
          <w:tcPr>
            <w:tcW w:type="dxa" w:w="7030"/>
            <w:vAlign w:val="top"/>
            <w:tcMar>
              <w:top w:w="70" w:type="dxa"/>
              <w:start w:w="85" w:type="dxa"/>
              <w:bottom w:w="70" w:type="dxa"/>
              <w:end w:w="85" w:type="dxa"/>
            </w:tcMar>
          </w:tcPr>
          <w:p>
            <w:pPr>
              <w:spacing w:after="0"/>
            </w:pPr>
            <w:r>
              <w:rPr>
                <w:sz w:val="16"/>
              </w:rPr>
              <w:t>Başlık düzeltilmiş; metin içindeki nedensellik dili ayrıca redakte edilmeli ancak eski başlığa dönülmemeli.</w:t>
            </w:r>
          </w:p>
        </w:tc>
      </w:tr>
    </w:tbl>
    <w:p>
      <w:pPr>
        <w:pStyle w:val="Heading2"/>
        <w:keepNext/>
      </w:pPr>
      <w:r>
        <w:t>11. Önerilen Nihai Uygulama Sırası</w:t>
      </w:r>
    </w:p>
    <w:tbl>
      <w:tblPr>
        <w:tblStyle w:val="TableGrid"/>
        <w:tblW w:type="auto" w:w="0"/>
        <w:jc w:val="center"/>
        <w:tblLook w:firstColumn="1" w:firstRow="1" w:lastColumn="0" w:lastRow="0" w:noHBand="0" w:noVBand="1" w:val="04A0"/>
      </w:tblPr>
      <w:tblGrid>
        <w:gridCol w:w="4873"/>
        <w:gridCol w:w="4873"/>
      </w:tblGrid>
      <w:tr>
        <w:trPr>
          <w:tblHeader w:val="true"/>
        </w:trPr>
        <w:tc>
          <w:tcPr>
            <w:tcW w:type="dxa" w:w="2381"/>
            <w:shd w:fill="D9EAF7"/>
          </w:tcPr>
          <w:p>
            <w:r>
              <w:rPr>
                <w:b/>
                <w:sz w:val="16"/>
              </w:rPr>
              <w:t>Sıra</w:t>
            </w:r>
          </w:p>
        </w:tc>
        <w:tc>
          <w:tcPr>
            <w:tcW w:type="dxa" w:w="7710"/>
            <w:shd w:fill="D9EAF7"/>
          </w:tcPr>
          <w:p>
            <w:r>
              <w:rPr>
                <w:b/>
                <w:sz w:val="16"/>
              </w:rPr>
              <w:t>İş</w:t>
            </w:r>
          </w:p>
        </w:tc>
      </w:tr>
      <w:tr>
        <w:trPr>
          <w:cantSplit/>
        </w:trPr>
        <w:tc>
          <w:tcPr>
            <w:tcW w:type="dxa" w:w="2381"/>
            <w:vAlign w:val="top"/>
            <w:tcMar>
              <w:top w:w="70" w:type="dxa"/>
              <w:start w:w="85" w:type="dxa"/>
              <w:bottom w:w="70" w:type="dxa"/>
              <w:end w:w="85" w:type="dxa"/>
            </w:tcMar>
          </w:tcPr>
          <w:p>
            <w:pPr>
              <w:spacing w:after="0"/>
            </w:pPr>
            <w:r>
              <w:rPr>
                <w:sz w:val="16"/>
              </w:rPr>
              <w:t>Aşama 1 — Bilimsel güvenlik</w:t>
            </w:r>
          </w:p>
        </w:tc>
        <w:tc>
          <w:tcPr>
            <w:tcW w:type="dxa" w:w="7710"/>
            <w:vAlign w:val="top"/>
            <w:tcMar>
              <w:top w:w="70" w:type="dxa"/>
              <w:start w:w="85" w:type="dxa"/>
              <w:bottom w:w="70" w:type="dxa"/>
              <w:end w:w="85" w:type="dxa"/>
            </w:tcMar>
          </w:tcPr>
          <w:p>
            <w:pPr>
              <w:spacing w:after="0"/>
            </w:pPr>
            <w:r>
              <w:rPr>
                <w:sz w:val="16"/>
              </w:rPr>
              <w:t>Birinci rapordaki kritik ve yüksek içerik/kaynak/kavram sorunlarını düzelt. Özellikle resmin özneleştirilmesi, yedi harf/arza-i âhire kesinlikleri, mushaf sayısı, 3.4–3.6 hikmet dili, 4. bölümde sahâbe mushafları/şâzlık/vakıf ve basım kronolojisi.</w:t>
            </w:r>
          </w:p>
        </w:tc>
      </w:tr>
      <w:tr>
        <w:trPr>
          <w:cantSplit/>
        </w:trPr>
        <w:tc>
          <w:tcPr>
            <w:tcW w:type="dxa" w:w="2381"/>
            <w:vAlign w:val="top"/>
            <w:tcMar>
              <w:top w:w="70" w:type="dxa"/>
              <w:start w:w="85" w:type="dxa"/>
              <w:bottom w:w="70" w:type="dxa"/>
              <w:end w:w="85" w:type="dxa"/>
            </w:tcMar>
          </w:tcPr>
          <w:p>
            <w:pPr>
              <w:spacing w:after="0"/>
            </w:pPr>
            <w:r>
              <w:rPr>
                <w:sz w:val="16"/>
              </w:rPr>
              <w:t>Aşama 2 — Yapısal akış</w:t>
            </w:r>
          </w:p>
        </w:tc>
        <w:tc>
          <w:tcPr>
            <w:tcW w:type="dxa" w:w="7710"/>
            <w:vAlign w:val="top"/>
            <w:tcMar>
              <w:top w:w="70" w:type="dxa"/>
              <w:start w:w="85" w:type="dxa"/>
              <w:bottom w:w="70" w:type="dxa"/>
              <w:end w:w="85" w:type="dxa"/>
            </w:tcMar>
          </w:tcPr>
          <w:p>
            <w:pPr>
              <w:spacing w:after="0"/>
            </w:pPr>
            <w:r>
              <w:rPr>
                <w:sz w:val="16"/>
              </w:rPr>
              <w:t>İkinci rapordaki bölüm/paragraf sıralama ve tekrar düzeltmelerini uygula. Önce çıkarma/birleştirme, sonra gerekli geçiş cümleleri.</w:t>
            </w:r>
          </w:p>
        </w:tc>
      </w:tr>
      <w:tr>
        <w:trPr>
          <w:cantSplit/>
        </w:trPr>
        <w:tc>
          <w:tcPr>
            <w:tcW w:type="dxa" w:w="2381"/>
            <w:vAlign w:val="top"/>
            <w:tcMar>
              <w:top w:w="70" w:type="dxa"/>
              <w:start w:w="85" w:type="dxa"/>
              <w:bottom w:w="70" w:type="dxa"/>
              <w:end w:w="85" w:type="dxa"/>
            </w:tcMar>
          </w:tcPr>
          <w:p>
            <w:pPr>
              <w:spacing w:after="0"/>
            </w:pPr>
            <w:r>
              <w:rPr>
                <w:sz w:val="16"/>
              </w:rPr>
              <w:t>Aşama 3 — Redaktör işaretlerini kapatma</w:t>
            </w:r>
          </w:p>
        </w:tc>
        <w:tc>
          <w:tcPr>
            <w:tcW w:type="dxa" w:w="7710"/>
            <w:vAlign w:val="top"/>
            <w:tcMar>
              <w:top w:w="70" w:type="dxa"/>
              <w:start w:w="85" w:type="dxa"/>
              <w:bottom w:w="70" w:type="dxa"/>
              <w:end w:w="85" w:type="dxa"/>
            </w:tcMar>
          </w:tcPr>
          <w:p>
            <w:pPr>
              <w:spacing w:after="0"/>
            </w:pPr>
            <w:r>
              <w:rPr>
                <w:sz w:val="16"/>
              </w:rPr>
              <w:t>Ek A “değil/değildir”, Ek B uzun kırmızı bloklar, çalışma notları ve formülaik kapanışlar. Her kırmızı işaret için kabul/reddet/sil kararı.</w:t>
            </w:r>
          </w:p>
        </w:tc>
      </w:tr>
      <w:tr>
        <w:trPr>
          <w:cantSplit/>
        </w:trPr>
        <w:tc>
          <w:tcPr>
            <w:tcW w:type="dxa" w:w="2381"/>
            <w:vAlign w:val="top"/>
            <w:tcMar>
              <w:top w:w="70" w:type="dxa"/>
              <w:start w:w="85" w:type="dxa"/>
              <w:bottom w:w="70" w:type="dxa"/>
              <w:end w:w="85" w:type="dxa"/>
            </w:tcMar>
          </w:tcPr>
          <w:p>
            <w:pPr>
              <w:spacing w:after="0"/>
            </w:pPr>
            <w:r>
              <w:rPr>
                <w:sz w:val="16"/>
              </w:rPr>
              <w:t>Aşama 4 — Dipnot/İSNAD/kaynakça</w:t>
            </w:r>
          </w:p>
        </w:tc>
        <w:tc>
          <w:tcPr>
            <w:tcW w:type="dxa" w:w="7710"/>
            <w:vAlign w:val="top"/>
            <w:tcMar>
              <w:top w:w="70" w:type="dxa"/>
              <w:start w:w="85" w:type="dxa"/>
              <w:bottom w:w="70" w:type="dxa"/>
              <w:end w:w="85" w:type="dxa"/>
            </w:tcMar>
          </w:tcPr>
          <w:p>
            <w:pPr>
              <w:spacing w:after="0"/>
            </w:pPr>
            <w:r>
              <w:rPr>
                <w:sz w:val="16"/>
              </w:rPr>
              <w:t>Ev stili kararlarını kesinleştir; sûre artikelleri, müellif adları, ilk/kısa atıf, DOI ve kaynakça standardizasyonu.</w:t>
            </w:r>
          </w:p>
        </w:tc>
      </w:tr>
      <w:tr>
        <w:trPr>
          <w:cantSplit/>
        </w:trPr>
        <w:tc>
          <w:tcPr>
            <w:tcW w:type="dxa" w:w="2381"/>
            <w:vAlign w:val="top"/>
            <w:tcMar>
              <w:top w:w="70" w:type="dxa"/>
              <w:start w:w="85" w:type="dxa"/>
              <w:bottom w:w="70" w:type="dxa"/>
              <w:end w:w="85" w:type="dxa"/>
            </w:tcMar>
          </w:tcPr>
          <w:p>
            <w:pPr>
              <w:spacing w:after="0"/>
            </w:pPr>
            <w:r>
              <w:rPr>
                <w:sz w:val="16"/>
              </w:rPr>
              <w:t>Aşama 5 — Word ve Arapça teknik temizlik</w:t>
            </w:r>
          </w:p>
        </w:tc>
        <w:tc>
          <w:tcPr>
            <w:tcW w:type="dxa" w:w="7710"/>
            <w:vAlign w:val="top"/>
            <w:tcMar>
              <w:top w:w="70" w:type="dxa"/>
              <w:start w:w="85" w:type="dxa"/>
              <w:bottom w:w="70" w:type="dxa"/>
              <w:end w:w="85" w:type="dxa"/>
            </w:tcMar>
          </w:tcPr>
          <w:p>
            <w:pPr>
              <w:spacing w:after="0"/>
            </w:pPr>
            <w:r>
              <w:rPr>
                <w:sz w:val="16"/>
              </w:rPr>
              <w:t>Heading numaraları, TOC, RTL/bidi, Arapça dipnot işaretleri, aktif alan politikası.</w:t>
            </w:r>
          </w:p>
        </w:tc>
      </w:tr>
      <w:tr>
        <w:trPr>
          <w:cantSplit/>
        </w:trPr>
        <w:tc>
          <w:tcPr>
            <w:tcW w:type="dxa" w:w="2381"/>
            <w:vAlign w:val="top"/>
            <w:tcMar>
              <w:top w:w="70" w:type="dxa"/>
              <w:start w:w="85" w:type="dxa"/>
              <w:bottom w:w="70" w:type="dxa"/>
              <w:end w:w="85" w:type="dxa"/>
            </w:tcMar>
          </w:tcPr>
          <w:p>
            <w:pPr>
              <w:spacing w:after="0"/>
            </w:pPr>
            <w:r>
              <w:rPr>
                <w:sz w:val="16"/>
              </w:rPr>
              <w:t>Aşama 6 — Son dil cilası</w:t>
            </w:r>
          </w:p>
        </w:tc>
        <w:tc>
          <w:tcPr>
            <w:tcW w:type="dxa" w:w="7710"/>
            <w:vAlign w:val="top"/>
            <w:tcMar>
              <w:top w:w="70" w:type="dxa"/>
              <w:start w:w="85" w:type="dxa"/>
              <w:bottom w:w="70" w:type="dxa"/>
              <w:end w:w="85" w:type="dxa"/>
            </w:tcMar>
          </w:tcPr>
          <w:p>
            <w:pPr>
              <w:spacing w:after="0"/>
            </w:pPr>
            <w:r>
              <w:rPr>
                <w:sz w:val="16"/>
              </w:rPr>
              <w:t>Kur’an/tarîk/klasik/Nitekim/Dolayısıyla/göstermektedir vb. yalnız bağlamda gerçekten mekanik olanları düzelt; yazarın sesini koru.</w:t>
            </w:r>
          </w:p>
        </w:tc>
      </w:tr>
      <w:tr>
        <w:trPr>
          <w:cantSplit/>
        </w:trPr>
        <w:tc>
          <w:tcPr>
            <w:tcW w:type="dxa" w:w="2381"/>
            <w:vAlign w:val="top"/>
            <w:tcMar>
              <w:top w:w="70" w:type="dxa"/>
              <w:start w:w="85" w:type="dxa"/>
              <w:bottom w:w="70" w:type="dxa"/>
              <w:end w:w="85" w:type="dxa"/>
            </w:tcMar>
          </w:tcPr>
          <w:p>
            <w:pPr>
              <w:spacing w:after="0"/>
            </w:pPr>
            <w:r>
              <w:rPr>
                <w:sz w:val="16"/>
              </w:rPr>
              <w:t>Aşama 7 — Yayın provasının kapatılması</w:t>
            </w:r>
          </w:p>
        </w:tc>
        <w:tc>
          <w:tcPr>
            <w:tcW w:type="dxa" w:w="7710"/>
            <w:vAlign w:val="top"/>
            <w:tcMar>
              <w:top w:w="70" w:type="dxa"/>
              <w:start w:w="85" w:type="dxa"/>
              <w:bottom w:w="70" w:type="dxa"/>
              <w:end w:w="85" w:type="dxa"/>
            </w:tcMar>
          </w:tcPr>
          <w:p>
            <w:pPr>
              <w:spacing w:after="0"/>
            </w:pPr>
            <w:r>
              <w:rPr>
                <w:sz w:val="16"/>
              </w:rPr>
              <w:t>DOCX ve nihai PDF’i ayrı ayrı kontrol et; kırmızı metin, çalışma notu, bozuk parantez, soru işaretiyle bırakılmış kişi/tarih ve yanlış tarafa geçen dipnot işareti kalmadığını doğrula.</w:t>
            </w:r>
          </w:p>
        </w:tc>
      </w:tr>
    </w:tbl>
    <w:p>
      <w:pPr>
        <w:pStyle w:val="Heading2"/>
        <w:keepNext/>
      </w:pPr>
      <w:r>
        <w:t>12. Yayın Öncesi Kapanış Kontrol Listesi</w:t>
      </w:r>
    </w:p>
    <w:p>
      <w:pPr>
        <w:pStyle w:val="ListBullet"/>
      </w:pPr>
      <w:r>
        <w:t>☐ Birinci rapordaki kritik/yüksek bilimsel maddeler manuscript üzerinde uygulanmış mı?</w:t>
      </w:r>
    </w:p>
    <w:p>
      <w:pPr>
        <w:pStyle w:val="ListBullet"/>
      </w:pPr>
      <w:r>
        <w:t>☐ İkinci rapordaki yüksek/orta akış maddeleri ve 26 geçiş noktası kapatılmış mı?</w:t>
      </w:r>
    </w:p>
    <w:p>
      <w:pPr>
        <w:pStyle w:val="ListBullet"/>
      </w:pPr>
      <w:r>
        <w:t>☐ Kırmızı metin taşıyan hiçbir çalışma notu final dosyada kalmış mı?</w:t>
      </w:r>
    </w:p>
    <w:p>
      <w:pPr>
        <w:pStyle w:val="ListBullet"/>
      </w:pPr>
      <w:r>
        <w:t>☐ Ek A’daki bütün “değil/değildir” işaretleri için yazar kararı verilmiş mi?</w:t>
      </w:r>
    </w:p>
    <w:p>
      <w:pPr>
        <w:pStyle w:val="ListBullet"/>
      </w:pPr>
      <w:r>
        <w:t>☐ “Sonuç olarak” ve benzeri mini-sonuçlar bağlam bazında yeniden değerlendirilmiş mi?</w:t>
      </w:r>
    </w:p>
    <w:p>
      <w:pPr>
        <w:pStyle w:val="ListBullet"/>
      </w:pPr>
      <w:r>
        <w:t>☐ Ölüm tarihleri ilk kullanım ilkesine göre tekleştirilmiş, soru işaretleri ve bozuk yıllar temizlenmiş mi?</w:t>
      </w:r>
    </w:p>
    <w:p>
      <w:pPr>
        <w:pStyle w:val="ListBullet"/>
      </w:pPr>
      <w:r>
        <w:t>☐ Parantez/braket dengesi bozuk paragraflar düzeltilmiş mi?</w:t>
      </w:r>
    </w:p>
    <w:p>
      <w:pPr>
        <w:pStyle w:val="ListBullet"/>
      </w:pPr>
      <w:r>
        <w:t>☐ Ana metindeki Kur’an yazımı ev stiline uygun tekleştirilmiş mi?</w:t>
      </w:r>
    </w:p>
    <w:p>
      <w:pPr>
        <w:pStyle w:val="ListBullet"/>
      </w:pPr>
      <w:r>
        <w:t>☐ Dipnot müellif adı ve sûre artikeli politikası kesinleştirilip uygulanmış mı?</w:t>
      </w:r>
    </w:p>
    <w:p>
      <w:pPr>
        <w:pStyle w:val="ListBullet"/>
      </w:pPr>
      <w:r>
        <w:t>☐ İSNAD 2 ilk/kısa atıf yapısı baştan sona kontrol edilmiş mi?</w:t>
      </w:r>
    </w:p>
    <w:p>
      <w:pPr>
        <w:pStyle w:val="ListBullet"/>
      </w:pPr>
      <w:r>
        <w:t>☐ Bozuk DOI ve kaynakça kayıtları doğrulanmış mı?</w:t>
      </w:r>
    </w:p>
    <w:p>
      <w:pPr>
        <w:pStyle w:val="ListBullet"/>
      </w:pPr>
      <w:r>
        <w:t>☐ Heading 1/2/3, numaralandırma ve İçindekiler son hâliyle güncellenmiş mi?</w:t>
      </w:r>
    </w:p>
    <w:p>
      <w:pPr>
        <w:pStyle w:val="ListBullet"/>
      </w:pPr>
      <w:r>
        <w:t>☐ Arapça örnekler ve bunların dipnot rakamları RTL/bidi açısından PDF üzerinde tek tek görülmüş mü?</w:t>
      </w:r>
    </w:p>
    <w:p>
      <w:pPr>
        <w:pStyle w:val="ListBullet"/>
      </w:pPr>
      <w:r>
        <w:t>☐ Nihai DOCX’te kırmızı işaret, çalışma notu, “daha önce geçti mi”, “silinsin”, “(?)” gibi hiçbir artık kalmamış mı?</w:t>
      </w:r>
    </w:p>
    <w:p>
      <w:pPr>
        <w:pStyle w:val="ListBullet"/>
      </w:pPr>
      <w:r>
        <w:t>☐ Final PDF sayfa sayfa görsel olarak kontrol edilmiş mi?</w:t>
      </w:r>
    </w:p>
    <w:p>
      <w:r>
        <w:t>Bu maddelerin tamamı kapanmadan eser “yalnız dil tashihi / son mizanpaj” aşamasına geçmiş sayılmamalıdır. Önce bilimsel ve yapısal redaksiyon, ardından teknik ve biçimsel finalizasyon yapılmalıdır.</w:t>
      </w:r>
    </w:p>
    <w:p>
      <w:r>
        <w:br w:type="page"/>
      </w:r>
    </w:p>
    <w:p>
      <w:pPr>
        <w:pStyle w:val="Heading2"/>
        <w:keepNext/>
      </w:pPr>
      <w:r>
        <w:t>EK A. Kırmızı İşaretli “değil/değildir” Kullanımlarının Tam Envanteri</w:t>
      </w:r>
    </w:p>
    <w:p>
      <w:r>
        <w:t>Bu ek, önceki iki raporda genel sıklık düzeyinde kalan redaktör talebini paragraf düzeyinde kapatır. “İşlem türü” otomatik kelime ikamesi değildir; yazarın cümleyi nasıl yeniden kuracağını gösteren editoryal stratejidir. Zorunlu mantıksal karşıtlık varsa mevcut kullanım korunabilir.</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84"/>
            <w:shd w:fill="D9EAF7"/>
          </w:tcPr>
          <w:p>
            <w:r>
              <w:rPr>
                <w:b/>
                <w:sz w:val="12"/>
              </w:rPr>
              <w:t>Yer</w:t>
            </w:r>
          </w:p>
        </w:tc>
        <w:tc>
          <w:tcPr>
            <w:tcW w:type="dxa" w:w="567"/>
            <w:shd w:fill="D9EAF7"/>
          </w:tcPr>
          <w:p>
            <w:r>
              <w:rPr>
                <w:b/>
                <w:sz w:val="12"/>
              </w:rPr>
              <w:t>P</w:t>
            </w:r>
          </w:p>
        </w:tc>
        <w:tc>
          <w:tcPr>
            <w:tcW w:type="dxa" w:w="1474"/>
            <w:shd w:fill="D9EAF7"/>
          </w:tcPr>
          <w:p>
            <w:r>
              <w:rPr>
                <w:b/>
                <w:sz w:val="12"/>
              </w:rPr>
              <w:t>İşaretli yapı</w:t>
            </w:r>
          </w:p>
        </w:tc>
        <w:tc>
          <w:tcPr>
            <w:tcW w:type="dxa" w:w="3402"/>
            <w:shd w:fill="D9EAF7"/>
          </w:tcPr>
          <w:p>
            <w:r>
              <w:rPr>
                <w:b/>
                <w:sz w:val="12"/>
              </w:rPr>
              <w:t>Bağlam başlangıcı</w:t>
            </w:r>
          </w:p>
        </w:tc>
        <w:tc>
          <w:tcPr>
            <w:tcW w:type="dxa" w:w="2948"/>
            <w:shd w:fill="D9EAF7"/>
          </w:tcPr>
          <w:p>
            <w:r>
              <w:rPr>
                <w:b/>
                <w:sz w:val="12"/>
              </w:rPr>
              <w:t>Önerilen işlem türü</w:t>
            </w:r>
          </w:p>
        </w:tc>
      </w:tr>
      <w:tr>
        <w:trPr>
          <w:cantSplit/>
        </w:trPr>
        <w:tc>
          <w:tcPr>
            <w:tcW w:type="dxa" w:w="1984"/>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Kitabın hareket noktası, resm-i Osmânî’nin kırâatleri meydana getiren bağımsız bir kaynak olmadığıdır. Çalışmada kırâatin aslî dayanağı, telakki ve müşâfehe yoluyla sürdürülen, okuyuş ve isnadla denetlenen rivâyet geleneği olarak…</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yaklaşım, çalışmada kullanılan kavramlar arasında bazı ayrımların korunmasını gerektirmektedir. Resm, en genel anlamıyla lafzın harflerle temsil edilen yazılı biçimini; resm-i mushaf, Kur’an kelimelerinin mushaflardaki yazım…</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P32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Yöntem bakımından kitap, tarihsel rivâyetlerin karşılaştırılması, klasik kaynakların içerik analizi, kavramsal ve filolojik çözümleme ile resm ve kırâat verilerinin mukayesesini birlikte kullanmaktadır. Aynı hadise hakkında…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P35</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Kitabın literatüre sağlamayı hedeflediği katkı, resm ilmi ile kırâat ilmini bütünüyle yeni kavramlarla açıklamak değil, çoğu zaman ayrı başlıklar altında incelenen meseleleri ortak bir problem etrafında buluşturmaktır. Resm-i…</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P51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İslâm’ın gelişiyle hafıza ve sözlü aktarım geleneği değişmeye başlamıştır. Kur’an vahyi sözlü aktarımı merkeze almaya devam etmiş; ancak vahyin korunması, öğretilmesi ve aktarılması sürecinde yazının önemi her geçen gün…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P54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Cahiliye döneminde panayırlarda okunan ve büyük beğeni toplayan şiirlerin Kâbe duvarlarına asıldığına dair gelen rivâyetler, yazının kültürel alanda da sembolik bir işlev üstlendiğini göstermektedir. Ayrıca Zuheyr gibi dönemin…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P59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Vahyin inişiyle birlikte yazının pozisyonu belirgin bir şekilde değişmeye başlamıştır. Vahyin korunması ve tebliği sürecinde sözlü aktarım merkezî önemini korumakla birlikte yazı giderek daha fazla başvurulan bir vasıta hâline…</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P61</w:t>
            </w:r>
          </w:p>
        </w:tc>
        <w:tc>
          <w:tcPr>
            <w:tcW w:type="dxa" w:w="1474"/>
            <w:vAlign w:val="top"/>
            <w:tcMar>
              <w:top w:w="70" w:type="dxa"/>
              <w:start w:w="85" w:type="dxa"/>
              <w:bottom w:w="70" w:type="dxa"/>
              <w:end w:w="85" w:type="dxa"/>
            </w:tcMar>
          </w:tcPr>
          <w:p>
            <w:pPr>
              <w:spacing w:after="0"/>
            </w:pPr>
            <w:r>
              <w:rPr>
                <w:sz w:val="12"/>
              </w:rPr>
              <w:t>eğil</w:t>
            </w:r>
          </w:p>
        </w:tc>
        <w:tc>
          <w:tcPr>
            <w:tcW w:type="dxa" w:w="3402"/>
            <w:vAlign w:val="top"/>
            <w:tcMar>
              <w:top w:w="70" w:type="dxa"/>
              <w:start w:w="85" w:type="dxa"/>
              <w:bottom w:w="70" w:type="dxa"/>
              <w:end w:w="85" w:type="dxa"/>
            </w:tcMar>
          </w:tcPr>
          <w:p>
            <w:pPr>
              <w:spacing w:after="0"/>
            </w:pPr>
            <w:r>
              <w:rPr>
                <w:sz w:val="12"/>
              </w:rPr>
              <w:t>Bu serüven Kur’an’ın ne salt sözlü ne de baştan itibaren tamamen yazılı bir metin olduğunu göstermektedir. Bilakis Kur’an söz ile yazı arasında kurulan hassas bir denge içinde varlığını sürdürmüş, bu denge onun farklı…</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P62</w:t>
            </w:r>
          </w:p>
        </w:tc>
        <w:tc>
          <w:tcPr>
            <w:tcW w:type="dxa" w:w="1474"/>
            <w:vAlign w:val="top"/>
            <w:tcMar>
              <w:top w:w="70" w:type="dxa"/>
              <w:start w:w="85" w:type="dxa"/>
              <w:bottom w:w="70" w:type="dxa"/>
              <w:end w:w="85" w:type="dxa"/>
            </w:tcMar>
          </w:tcPr>
          <w:p>
            <w:pPr>
              <w:spacing w:after="0"/>
            </w:pPr>
            <w:r>
              <w:rPr>
                <w:sz w:val="12"/>
              </w:rPr>
              <w:t>Bu rivâyetler, Mekkî dönemde de vahyin yazıyla kaydedildiğine işaret etmektedir. Bununla birlikte mevcut bilgiler, bu ka</w:t>
            </w:r>
          </w:p>
        </w:tc>
        <w:tc>
          <w:tcPr>
            <w:tcW w:type="dxa" w:w="3402"/>
            <w:vAlign w:val="top"/>
            <w:tcMar>
              <w:top w:w="70" w:type="dxa"/>
              <w:start w:w="85" w:type="dxa"/>
              <w:bottom w:w="70" w:type="dxa"/>
              <w:end w:w="85" w:type="dxa"/>
            </w:tcMar>
          </w:tcPr>
          <w:p>
            <w:pPr>
              <w:spacing w:after="0"/>
            </w:pPr>
            <w:r>
              <w:rPr>
                <w:sz w:val="12"/>
              </w:rPr>
              <w:t>Kur’an vahyinin ne zaman kayda geçirilmeye başlandığı hususunda kesin ve tarihsel olarak net bir bilgiye sahip değiliz. Hz. Peygamber’in kendisine gelen vahyi yazdırdığına dair çok sayıda rivâyet bulunmakla birlikte, bu…</w:t>
            </w:r>
          </w:p>
        </w:tc>
        <w:tc>
          <w:tcPr>
            <w:tcW w:type="dxa" w:w="2948"/>
            <w:vAlign w:val="top"/>
            <w:tcMar>
              <w:top w:w="70" w:type="dxa"/>
              <w:start w:w="85" w:type="dxa"/>
              <w:bottom w:w="70" w:type="dxa"/>
              <w:end w:w="85" w:type="dxa"/>
            </w:tcMar>
          </w:tcPr>
          <w:p>
            <w:pPr>
              <w:spacing w:after="0"/>
            </w:pPr>
            <w:r>
              <w:rPr>
                <w:sz w:val="12"/>
              </w:rPr>
              <w:t>Olumlu tanımı öne al; sınır koymak bilimsel olarak gerekli ise “değildir” korunabilir.</w:t>
            </w:r>
          </w:p>
        </w:tc>
      </w:tr>
      <w:tr>
        <w:trPr>
          <w:cantSplit/>
        </w:trPr>
        <w:tc>
          <w:tcPr>
            <w:tcW w:type="dxa" w:w="1984"/>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İkinci görüş ise, vahiy metinlerinin, bunları yazan vahiy kâtiplerinin yanında kaldığı yönündedir. Bu görüşü savunanlar, yazılı metinlerden nüsha almak isteyen diğer sahâbîler için bu yöntemin daha pratik olduğunu, Hz. Ebû…</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Genel kabul, vahyin toplu hâlde derlenmesinin Hz. Ebû Bekir’in halifeliği döneminde gerçekleştiği yönündedir. Sahâbeden bazılarının Hz. Peygamber döneminde Kur’an’ı topladıkları yönündeki rivâyetler, bu kabul ile çelişmemektedir.…</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P80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durumda “arza-i âhira” kavramı belirleyici bir referans olarak devreye girmiştir. Gelen aktarıma göre Hz. Peygamber, vefatından önce Cebrâil (a.s.) ile yaptığı son mukabelede, (arza-i âhira) Kur’an’ın nihai tertibini ve sabit…</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Sesin harfler aracılığıyla görünür kılınmasıdır. Burada iki unsur dikkat çekmektedir: lafız ve harf düzeni. Lafız işitsel bir varlık iken harfler onun görsel karşılığıdır. Yazı ise, bu iki alan arasında kurulan bilinçli ve…</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Sonuç olarak Cürcânî ve Kastallânî’nin tanımları, resmin ıstılâhî çerçevesini iki temel prensip üzerine oturtur ve bunları, temsil ve uygunluk olarak belirler. Bu iki prensip resm-i Osmânî’nin anlaşılmasında daha belirleyici…</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P139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İlk dönem âlimlerinden Ebû Ubeyde el-Kâsım b. Sellâm (ö. 224/838), resm-i Osmânî terimini, daha sonraki âlimler gibi teknik bir başlık altında tanımlayan müstakil bir eser kaleme almamış olmakla beraber, Kur’an ilimlerine dair…</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P142</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Resm-i Osmânî’nin müstakil bir ilim hâline gelmesinde Dânî’nin çalışmaları belirleyici bir dönüm noktası teşkil etmektedir. Dânî, Osman mushaflarının yazım özelliklerini ayrıntılı biçimde incelemiş ve bu yazım geleneğini…</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Dânî’nin talebesi olarak bilinen Ebû Dâvud Süleymân b. Necâh, resm-i Osmânî ilminin gelişiminde hocasının açtığı yolu daha teknik ve ayrıntılı bir düzeye taşıyan önemli bir âlimdir. Dânî, resm ilmini sistemleştiren kurucu bir…</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P145</w:t>
            </w:r>
          </w:p>
        </w:tc>
        <w:tc>
          <w:tcPr>
            <w:tcW w:type="dxa" w:w="1474"/>
            <w:vAlign w:val="top"/>
            <w:tcMar>
              <w:top w:w="70" w:type="dxa"/>
              <w:start w:w="85" w:type="dxa"/>
              <w:bottom w:w="70" w:type="dxa"/>
              <w:end w:w="85" w:type="dxa"/>
            </w:tcMar>
          </w:tcPr>
          <w:p>
            <w:pPr>
              <w:spacing w:after="0"/>
            </w:pPr>
            <w:r>
              <w:rPr>
                <w:sz w:val="12"/>
              </w:rPr>
              <w:t>değil, / değil / değil, / değil,</w:t>
            </w:r>
          </w:p>
        </w:tc>
        <w:tc>
          <w:tcPr>
            <w:tcW w:type="dxa" w:w="3402"/>
            <w:vAlign w:val="top"/>
            <w:tcMar>
              <w:top w:w="70" w:type="dxa"/>
              <w:start w:w="85" w:type="dxa"/>
              <w:bottom w:w="70" w:type="dxa"/>
              <w:end w:w="85" w:type="dxa"/>
            </w:tcMar>
          </w:tcPr>
          <w:p>
            <w:pPr>
              <w:spacing w:after="0"/>
            </w:pPr>
            <w:r>
              <w:rPr>
                <w:sz w:val="12"/>
              </w:rPr>
              <w:t>Zerkeşî ise, mushaf yazımını ele alırken önemli bir ilkeye dikkat çeker. O, Osman mushaflarında benimsenen yazım biçiminin, her zaman dilcilerin kıyas yoluyla belirlediği standart yazım kurallarıyla birebir örtüşmediğini…</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P146</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Sonuç olarak işaret edilen hususlar, resm-i Osmânî’nin doğasını net bir biçimde ortaya koymaktadır. Anlaşılan bu yazım sistemi dilbilgisel düşünselin ürünü değil, vahyin ilk muhatapları tarafından yazıya geçirilen ve ümmet…</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P148</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Çağdaş araştırmacılara göre, Hz. Osman dönemindeki istinsah faaliyetleri yalnızca çoğaltma işi değil, aynı zamanda metnin birliğini sağlama girişimidir de. el-Azamî, bu sürecin temel amacının Kur’an metnini güvenilir sahâbe…</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Öte yandan günümüz Kur’an tarihi çalışmalarında önemle vurgulanan şudur: Osman mushaflarının yazımı, kırâat farklılıklarını tamamen ortadan kaldırmak için değil, meşru okuma sınırlarını koruyacak bir çerçeve oluşturmak için…</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P150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Benzer şekilde Harald Motzki ve Nicolai Sinai gibi modern batılı araştırmacılar da erken İslâm toplumunda sözlü aktarımın güçlü olmakla birlikte yazının giderek artan bir önem kazandığına dikkat çekmektedir. Bu bağlamda resm-i…</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P151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Eski yazı üzerine yapılan çalışmalar ise resm-i Osmânî’nin teknik yönünü daha da ortaya çıkarmıştır. Francois Deroche’nin araştırmaları, erken dönem mushafların yazı karakterini doğrudan nüshalar üzerinden incelemesiyle öne…</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 Mushaf (resm-i Osmânî), Kur’an metninin Hz. Osman döneminde çoğaltılan nüshalarda benimsenen yazı biçimini ifade etmektedir. Bu yazım sistemi, sadece bir imlâ tercihi değil, erken dönem Kur’an aktarımının yazıdaki…</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Hz. Osman döneminde çoğaltılan mushaflarda benimsenen yazım biçiminin, klasik Arap imlâsıyla tamamen örtüşmediğini resm âlimleri erken dönemde fark etmiş ve Osman mushaflarının yazımının belirli kurallar çerçevesinde kıyasî…</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kurallar şunlardır: harf düşmesi (hazf), harf fazlalığı (ziyâde), hemze yazımı, harf değişimi (ibdâl), kelimelerin bitişik yazılması (vasl) ve ayrı yazılması fasl). Ayrıca bazı kelimelerde birden fazla sahih kırâat…</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Sonuç olarak resm-i Osmânî’nin kıyasî yazımdan ayrılışı, düzensiz bir imlâ sapması değil, erken dönem İslâm toplumunun Kur’an metnini hem yazı hem kırâat düzeyinde koruma çabasının ürünüdür. Bu çerçeve dikkate alınmadan yapılan…</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P199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Kaynaklarda resm-i Osmânî ile ilgili dikkat çeken önemli bir husus, Kur’an’ın bazı kelimelerinde birden fazla sahih kırâat bulunmasına rağmen mushaf yazımının çoğu zaman bu okuyuşlardan sadece birine göre yazılmış olmasıdır.…</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P200</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Resm-i Osmânî’nin yazım kuralları mushaf yazımının rastgele değil belirli bir gelenek çerçevesinde şekillendiğini göstermektedir. Genel olarak bir bütünlük içinde değerlendirildiğinde resm-i Osmânî yalnızca bir yazım biçimi…</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P202</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Nitekim İslâm âlimleri, “İki kırâati bulunan kelime mümkünse her ikisini de taşıyacak şekilde yazılır.” prensibine dikkat çekmişlerdir. Bu durum Osman mushaflarının yalnızca bir imlâ standardı değil, aynı zamanda kırâat…</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P215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Tefsîr ve kırâat geleneğinde de bu dönüşüm açık biçimde görülmektedir. Bazı okuyuşlar, mushaf yazısına uyduğu için kabul görmüş; bazıları ise mushaf hattına açıkça uymadığı için kırâat alanının dışında değerlendirilmiştir. Bu…</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P218</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İbnü’l-Cezerî’nin sahih kırâatler için ortaya koyduğu prensipler, sonraki dönem kırâat birikiminde geniş kabul görmüştür. Bu yaklaşım sadece birkaç âlimle sınırlı kalmamış, tefsîr, kırâat ve ulûmu’l-Kur’ân alanında eser veren…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P226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Kırâat kavramı, Kur’an ilimleri içinde en erken ortaya çıkan ve en dikkatli biçimde korunan alanlardan biridir. Diğer bir ifadeyle kırâat Kur’an lafızlarının güvenilir rivâyetlerle nakledilmiş ve okunmuş biçimleri demektir. Ancak…</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P227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İslâm âlimleri kırâati farklı şekillerde tanımlamışlardır. İbnü’l-Cezerî’nin tanımına göre kırâat, “Kur’an kelimelerinin edâ keyfiyetlerini ve bu edâ biçimlerindeki farklılıkları, bunları nakledenlere nispet ederek bilmektir.” Bu…</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P232</w:t>
            </w:r>
          </w:p>
        </w:tc>
        <w:tc>
          <w:tcPr>
            <w:tcW w:type="dxa" w:w="1474"/>
            <w:vAlign w:val="top"/>
            <w:tcMar>
              <w:top w:w="70" w:type="dxa"/>
              <w:start w:w="85" w:type="dxa"/>
              <w:bottom w:w="70" w:type="dxa"/>
              <w:end w:w="85" w:type="dxa"/>
            </w:tcMar>
          </w:tcPr>
          <w:p>
            <w:pPr>
              <w:spacing w:after="0"/>
            </w:pPr>
            <w:r>
              <w:rPr>
                <w:sz w:val="12"/>
              </w:rPr>
              <w:t>eğil</w:t>
            </w:r>
          </w:p>
        </w:tc>
        <w:tc>
          <w:tcPr>
            <w:tcW w:type="dxa" w:w="3402"/>
            <w:vAlign w:val="top"/>
            <w:tcMar>
              <w:top w:w="70" w:type="dxa"/>
              <w:start w:w="85" w:type="dxa"/>
              <w:bottom w:w="70" w:type="dxa"/>
              <w:end w:w="85" w:type="dxa"/>
            </w:tcMar>
          </w:tcPr>
          <w:p>
            <w:pPr>
              <w:spacing w:after="0"/>
            </w:pPr>
            <w:r>
              <w:rPr>
                <w:sz w:val="12"/>
              </w:rPr>
              <w:t>Netice itibarıyla kırâat kavramı Kur’an lafzının güvenilir yollarla nakledilmiş okuyuş biçimlerini ifade etmektedir. Bu kavramın tarihi, vahiy ve tebliğ sürecine, ortaya çıkışı ise, Kur’an’ın doğru okunmasını koruma, lehçe…</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2.2 Kırâatlerde Rivâyet, Sened ve Otorite Ekseni</w:t>
            </w:r>
          </w:p>
        </w:tc>
        <w:tc>
          <w:tcPr>
            <w:tcW w:type="dxa" w:w="567"/>
            <w:vAlign w:val="top"/>
            <w:tcMar>
              <w:top w:w="70" w:type="dxa"/>
              <w:start w:w="85" w:type="dxa"/>
              <w:bottom w:w="70" w:type="dxa"/>
              <w:end w:w="85" w:type="dxa"/>
            </w:tcMar>
          </w:tcPr>
          <w:p>
            <w:pPr>
              <w:spacing w:after="0"/>
            </w:pPr>
            <w:r>
              <w:rPr>
                <w:sz w:val="12"/>
              </w:rPr>
              <w:t>P234</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Kırâat ilmini anlamanın en sağlam yollarından biri, onu sadece “farklı okuyuşlar” meselesi olarak değil, rivâyet, sened ve ilmî otorite üzerine kurulmuş bir aktarım düzeni olarak ele almaktır. Çünkü kırâatler, dilde mümkün olan…</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P236</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Kırâat ilminde “rivâyet” meselesi işin bel kemiğini teşkil eder. Çünkü kırâat yalnızca Kur’an kelimelerinin farklı okunma biçimlerini sıralayan bir alan değildir; asıl olarak bu okuyuş biçimlerinin kimden alındığını, nasıl…</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Rivâyetin kırâatteki önemine dikkat çekilecek olursa, rivâyetin diğer ölçülerden önce geldiği görülür. Şöyle ki: Bir okuyuş Arap dili bakımından uygun olsa bile, eğer güvenilir rivâyetle gelmiyorsa kırâat sayılmaz. Âlimlerin bu…</w:t>
            </w:r>
          </w:p>
        </w:tc>
        <w:tc>
          <w:tcPr>
            <w:tcW w:type="dxa" w:w="2948"/>
            <w:vAlign w:val="top"/>
            <w:tcMar>
              <w:top w:w="70" w:type="dxa"/>
              <w:start w:w="85" w:type="dxa"/>
              <w:bottom w:w="70" w:type="dxa"/>
              <w:end w:w="85" w:type="dxa"/>
            </w:tcMar>
          </w:tcPr>
          <w:p>
            <w:pPr>
              <w:spacing w:after="0"/>
            </w:pPr>
            <w:r>
              <w:rPr>
                <w:sz w:val="12"/>
              </w:rPr>
              <w:t>Olumlu tanımı öne al; sınır koymak bilimsel olarak gerekli ise “değildir” korunabilir.</w:t>
            </w:r>
          </w:p>
        </w:tc>
      </w:tr>
      <w:tr>
        <w:trPr>
          <w:cantSplit/>
        </w:trPr>
        <w:tc>
          <w:tcPr>
            <w:tcW w:type="dxa" w:w="1984"/>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P238</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İlk dönemden itibaren Kur’an Hz. Peygamber tarafından ashâba okunarak öğretilmiş; ashâb da Kur’an’ı hem ezberleyerek hem de okuyarak sonraki nesillere aktarmıştır. Bu durum kırâat ilminin baştan itibaren yazılı değil, birebir…</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P239</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Kırâat bağlamında rivâyet, bir okuyuş biçiminin hocadan talebeye, ondan başka bir talebeye geçerek süreklilik kazanması şeklinde de yorumlanmıştır. Burada nakledilen şey sadece kelimenin harfleri değil, aynı zamanda onun ses…</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Kırâat ilmini ayakta tutan en temel unsurlardan biri seneddir. Çünkü kırâat sadece kelimelerin farklı okunma biçimlerini gösteren bir alan değildir, aynı zamanda bu okuyuşların kimden alındığını, hangi yolla aktarıldığını ve ne…</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P242</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Diğer bir anlatımla sened, bir okuyuş biçiminin hangi hocadan hangi talebeye geçtiğini gösteren rivâyet zinciridir. Kırâat ilminde bir imamın okuyuşundan söz edildiğinde, aslında sadece bir okuma tarzı değil, aynı zamanda o tarzı…</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P243</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Kırâat âlimleri bu noktayı açık biçimde vurgulamışlardır. Bu bağlamda İbnü’l-Cezerî, kırâat ilmini tanımlarken onun Kur’an kelimelerinin edâ keyfiyetlerini ve bu keyfiyetlerdeki ihtilafı nakleden imamlar yoluyla bilme ilmi…</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P244</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Kırâatlerde sened meselesi aynı zamanda imam-râvi-tarîk ayrımıyla yakından ilişkilidir. Bu ayrım kırâat ilminin ne kadar titiz bir nakil sistemi kurduğunu göstermektedir. İmam, okuyuşu kendisinden meşhur olan büyük kırâat…</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2.2.3 Otorite Ekseni</w:t>
            </w:r>
          </w:p>
        </w:tc>
        <w:tc>
          <w:tcPr>
            <w:tcW w:type="dxa" w:w="567"/>
            <w:vAlign w:val="top"/>
            <w:tcMar>
              <w:top w:w="70" w:type="dxa"/>
              <w:start w:w="85" w:type="dxa"/>
              <w:bottom w:w="70" w:type="dxa"/>
              <w:end w:w="85" w:type="dxa"/>
            </w:tcMar>
          </w:tcPr>
          <w:p>
            <w:pPr>
              <w:spacing w:after="0"/>
            </w:pPr>
            <w:r>
              <w:rPr>
                <w:sz w:val="12"/>
              </w:rPr>
              <w:t>P247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Kırâat ilmini yalnızca “Kur’an’ın farklı okuma biçimleri” olarak görmek, bu alanın asıl yapısını tam olarak yansıtmaz. Çünkü kırâat ilmi, sadece farklılıkları kaydeden bir alan değil, aynı zamanda hangi okuyuşun güvenilir…</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2.2.3 Otorite Ekseni</w:t>
            </w:r>
          </w:p>
        </w:tc>
        <w:tc>
          <w:tcPr>
            <w:tcW w:type="dxa" w:w="567"/>
            <w:vAlign w:val="top"/>
            <w:tcMar>
              <w:top w:w="70" w:type="dxa"/>
              <w:start w:w="85" w:type="dxa"/>
              <w:bottom w:w="70" w:type="dxa"/>
              <w:end w:w="85" w:type="dxa"/>
            </w:tcMar>
          </w:tcPr>
          <w:p>
            <w:pPr>
              <w:spacing w:after="0"/>
            </w:pPr>
            <w:r>
              <w:rPr>
                <w:sz w:val="12"/>
              </w:rPr>
              <w:t>P250</w:t>
            </w:r>
          </w:p>
        </w:tc>
        <w:tc>
          <w:tcPr>
            <w:tcW w:type="dxa" w:w="1474"/>
            <w:vAlign w:val="top"/>
            <w:tcMar>
              <w:top w:w="70" w:type="dxa"/>
              <w:start w:w="85" w:type="dxa"/>
              <w:bottom w:w="70" w:type="dxa"/>
              <w:end w:w="85" w:type="dxa"/>
            </w:tcMar>
          </w:tcPr>
          <w:p>
            <w:pPr>
              <w:spacing w:after="0"/>
            </w:pPr>
            <w:r>
              <w:rPr>
                <w:sz w:val="12"/>
              </w:rPr>
              <w:t>değil, / değil / değil / değil / değil</w:t>
            </w:r>
          </w:p>
        </w:tc>
        <w:tc>
          <w:tcPr>
            <w:tcW w:type="dxa" w:w="3402"/>
            <w:vAlign w:val="top"/>
            <w:tcMar>
              <w:top w:w="70" w:type="dxa"/>
              <w:start w:w="85" w:type="dxa"/>
              <w:bottom w:w="70" w:type="dxa"/>
              <w:end w:w="85" w:type="dxa"/>
            </w:tcMar>
          </w:tcPr>
          <w:p>
            <w:pPr>
              <w:spacing w:after="0"/>
            </w:pPr>
            <w:r>
              <w:rPr>
                <w:sz w:val="12"/>
              </w:rPr>
              <w:t>Tâbiîn ve tebu’t-tâbiîn dönemine gelindiğinde kırâat otoritesi daha kurumsal bir görünüm kazanmıştır. Çünkü bu dönemde sadece okuyuşu bilen kimseler değil, aynı zamanda bu okuyuşu sistemli bir şekilde öğreten ve belirli bir…</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Osmânî mushaf ile yedi harf arasındaki ilişki meselesi tam burada başlar. Çünkü Hz. Osman döneminde Kur’an’ın çoğaltılıp farklı merkezlere gönderilmesi, yalnızca yazım birliğini sağlama işi değildir, aynı zamanda ümmeti ihtilafa…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P256</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Klasik literatürde bu konuda öne çıkan ilk görüş Hz. Osman’ın insanları yedi harfin tamamı üzerine değil, ihtilafı ortadan kaldıracak bir harf üzerine topladığı görüşüdür. Bu yaklaşım özellikle Taberî’ye nispet edilir. Taberî’ye…</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Buna karşılık ikinci ve daha mutedil görünen görüş Osmânî mushafın yedi harfin tamamını değil, onlardan mushaf yazısının kaldırabildiği kısmı koruduğu görüşüdür. Bu anlayış kırâat ve resm kaynaklarında daha yaygın kabul…</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P258</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Âlimlerin bir kısmı daha ileri giderek Osmânî mushafın yedi harfin tamamını içinde topladığını söylemişlerdir. Ancak bu görüş, pratikte açıklanması en zor görüştür. Çünkü mushaf yazısı belli bir metin iskeletine sahiptir ve…</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Osmânî resm bazı kelimelerde tek bir okuyuşla sınırlanmaz; aksine sahih rivâyetle gelen birden fazla kırâate imkân verecek şekilde yazılır. Klasik resm ve kırâat kaynaklarında buna dair farklı misaller zikredilmiştir: Mesela…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P261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Sonuç olarak Osmânî mushaf ile yedi harf meselesi, Kur’an tarihinin en hassas ve tartışmalı meselelerinden biri olarak değerlendirilmiştir. Kaynaklarda çıkan tabloya göre, Kur’an başlangıçta ümmete kolaylık sağlayan bir genişlik…</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Resmin ortak hale gelmesinin kırâat ilmine etkisi, öncelikle sahih ile şâz okuyuşların ayırt edilmesinde görülmektedir. Resm ortak bir biçime kavuşmadan önce farklı okuyuşlar daha çok rivâyet zemininde değerlendirilmiştir. Fakat…</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P266</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Kur’an tarihindeki diğer gelişmelerden biri de, mushaf yazısının belli bir düzen içinde birleşmesidir. Bu birleşme sadece kırâat ilmini değil, tefsîr ilmini de doğrudan etkilemiştir. Çünkü tefsîr, Kur’an lafzını açıklayan bir…</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Erken dönemde Kur’an’ın hem sözlü hem yazılı aktarımı birlikte devam etmiştir. Fakat Hz. Osman döneminde çoğaltılan mushaflarla birlikte, âyetlerin yazılı biçimleri ortak bir metin hâline gelmiş, böylece müfessirler yorum…</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P268</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Tefsîr ile kırâat ilmi arasındaki ilişkinin daha bağlayıcı hâle gelmesiyle müfessirler, çoğu zaman âyetlerin açıklamasını yaparken farklı kırâatlerden istifade etmişlerdir. Çünkü bazı kırâat farklılıkları, anlam alanını…</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Diğer bir etki şâz kırâatlerin tefsîrdeki yerinin yeniden tanımlanması olarak görülmüştür. Resm belli bir ölçü hâline geldikten sonra, mushaf hattına aykırı veya sahih kırâat şartlarını taşımayan okuyuşlar tefsîrde artık Kur’an…</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P271</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Mushaf hattı, dil ve belagat yorumlarını da ortak metin etrafında derinleştirmiştir. Müfessirler mushaf hattı sabitlendikten sonra, artık aynı metin üzerinde daha derin dil çözümlemeleri yapmaya başlamışlardır. Zemahşerî’nin…</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Mushaf metni, tefsîrin ümmet nezdinde ortak metne dayanmasını sağlamıştır. Şayet mushaf yazısı ortak olmasaydı farklı bölgelerde farklı yazım gelenekleri ve metin varyantları üzerinden gelişen yorum anlayışları oluşabilirdi. Oysa…</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P273</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 Osmânî, âyetin sınırlarının ve kelime yapılarının daha kararlı biçimde korunmasını sağlamıştır. Tefsîr, sadece bir anlam açıklaması değil, aynı zamanda âyetin nerede başlayıp nerede bittiğini, hangi kelimenin nasıl…</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 Resm-i Osmânî’nin Çoklu Kırâatleri Yansıtma Özelliği</w:t>
            </w:r>
          </w:p>
        </w:tc>
        <w:tc>
          <w:tcPr>
            <w:tcW w:type="dxa" w:w="567"/>
            <w:vAlign w:val="top"/>
            <w:tcMar>
              <w:top w:w="70" w:type="dxa"/>
              <w:start w:w="85" w:type="dxa"/>
              <w:bottom w:w="70" w:type="dxa"/>
              <w:end w:w="85" w:type="dxa"/>
            </w:tcMar>
          </w:tcPr>
          <w:p>
            <w:pPr>
              <w:spacing w:after="0"/>
            </w:pPr>
            <w:r>
              <w:rPr>
                <w:sz w:val="12"/>
              </w:rPr>
              <w:t>P282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 Osmânî’nin en dikkat çekici özelliklerinden biri, bazı kelimelerde birden fazla sahih kırâate yer verebilecek şekilde kurulmuş olmasıdır. Kırâat geleneğinde bu husus, resm-i Osmânî’nin sıradan bir yazım biçimi değil,…</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3.1 Resm-i Osmânî’nin Çoklu Kırâatleri Yansıtma Özelliği</w:t>
            </w:r>
          </w:p>
        </w:tc>
        <w:tc>
          <w:tcPr>
            <w:tcW w:type="dxa" w:w="567"/>
            <w:vAlign w:val="top"/>
            <w:tcMar>
              <w:top w:w="70" w:type="dxa"/>
              <w:start w:w="85" w:type="dxa"/>
              <w:bottom w:w="70" w:type="dxa"/>
              <w:end w:w="85" w:type="dxa"/>
            </w:tcMar>
          </w:tcPr>
          <w:p>
            <w:pPr>
              <w:spacing w:after="0"/>
            </w:pPr>
            <w:r>
              <w:rPr>
                <w:sz w:val="12"/>
              </w:rPr>
              <w:t>P285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(Bakara 2/116) (وقالوا) diğer mushaflarda, (قالوا) “vav”sız olarak Şam mushafında; (Bakara 2/132) (وَوَصَّى) diğer mushaflarda, (وأوْصٰى) meftuh elif ve şeddesiz sâd ile Şam ve Medine mushaflarında; (Âl-i İmrân 3/133)…</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3.2 Resm-i Osmânî’nin Bazı Fasih Arap Lehçelerine İşaret Etmesi</w:t>
            </w:r>
          </w:p>
        </w:tc>
        <w:tc>
          <w:tcPr>
            <w:tcW w:type="dxa" w:w="567"/>
            <w:vAlign w:val="top"/>
            <w:tcMar>
              <w:top w:w="70" w:type="dxa"/>
              <w:start w:w="85" w:type="dxa"/>
              <w:bottom w:w="70" w:type="dxa"/>
              <w:end w:w="85" w:type="dxa"/>
            </w:tcMar>
          </w:tcPr>
          <w:p>
            <w:pPr>
              <w:spacing w:after="0"/>
            </w:pPr>
            <w:r>
              <w:rPr>
                <w:sz w:val="12"/>
              </w:rPr>
              <w:t>P289</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Bu çerçevede işaret edilen örneklerden biri; dişilik işaretinin رَحمة kelimesinde olduğu gibi yazılması, bazı yerlerde de أُوْلئِكَ يَرْجُونَ رَحْمَتَ اللهِ  şeklinde açık “ta” ile yazılmasıdır. Normal kıyasa göre kapalı “ta” ile…</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3.2 Resm-i Osmânî’nin Bazı Fasih Arap Lehçelerine İşaret Etmesi</w:t>
            </w:r>
          </w:p>
        </w:tc>
        <w:tc>
          <w:tcPr>
            <w:tcW w:type="dxa" w:w="567"/>
            <w:vAlign w:val="top"/>
            <w:tcMar>
              <w:top w:w="70" w:type="dxa"/>
              <w:start w:w="85" w:type="dxa"/>
              <w:bottom w:w="70" w:type="dxa"/>
              <w:end w:w="85" w:type="dxa"/>
            </w:tcMar>
          </w:tcPr>
          <w:p>
            <w:pPr>
              <w:spacing w:after="0"/>
            </w:pPr>
            <w:r>
              <w:rPr>
                <w:sz w:val="12"/>
              </w:rPr>
              <w:t>P290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 kıyasî, dil âlimlerinin kurallı ve açıklayıcı yazım sistemidir. Resm-i Osmânî ise, rivâyet temelli kırâatlerle bağlantılı bir yazıdır. Bu yüzden onun amacı sadece kelimeyi en açık biçimde yazmak değil, aynı zamanda sahih…</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P292</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Resm-i Osmânî, Kur’an lafzını yalnızca yazıyla sabitleyen teknik bir imlâ sistemi değildir; aynı zamanda kırâat ve dil özelliklerini mümkün olduğu kadar birlikte korumaya çalışan bir kitâbet geleneğidir. Bu sebeple kaynaklarda…</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P293</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Bu hususun en çok verilen örneklerinden biri وَإيتَاءِى ذِى القُرْبَى  ifadesidir. Resm kaynaklarında bu kelimenin yazımında, kesrenin aslını gösterecek şekilde “ya” ile yazılmasına dikkat çekilir. İkinci bir örnek de dammeye…</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P294</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Aynı başlık altında bazı âlimler, harekenin aslına işaret ile harfin aslına işaret meselesini birlikte zikretmişlerdir. Mesela:  الصلوة, الزكوة, الحيوةgibi kelimelerin “vav”lı yazımı, çoğu kaynakta harekenin değil, daha çok…</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P295</w:t>
            </w:r>
          </w:p>
        </w:tc>
        <w:tc>
          <w:tcPr>
            <w:tcW w:type="dxa" w:w="1474"/>
            <w:vAlign w:val="top"/>
            <w:tcMar>
              <w:top w:w="70" w:type="dxa"/>
              <w:start w:w="85" w:type="dxa"/>
              <w:bottom w:w="70" w:type="dxa"/>
              <w:end w:w="85" w:type="dxa"/>
            </w:tcMar>
          </w:tcPr>
          <w:p>
            <w:pPr>
              <w:spacing w:after="0"/>
            </w:pPr>
            <w:r>
              <w:rPr>
                <w:sz w:val="12"/>
              </w:rPr>
              <w:t>değil / değil</w:t>
            </w:r>
          </w:p>
        </w:tc>
        <w:tc>
          <w:tcPr>
            <w:tcW w:type="dxa" w:w="3402"/>
            <w:vAlign w:val="top"/>
            <w:tcMar>
              <w:top w:w="70" w:type="dxa"/>
              <w:start w:w="85" w:type="dxa"/>
              <w:bottom w:w="70" w:type="dxa"/>
              <w:end w:w="85" w:type="dxa"/>
            </w:tcMar>
          </w:tcPr>
          <w:p>
            <w:pPr>
              <w:spacing w:after="0"/>
            </w:pPr>
            <w:r>
              <w:rPr>
                <w:sz w:val="12"/>
              </w:rPr>
              <w:t>Resm-i Osmânî’ye yönelik yapılan açıklamalarda mushaf yazısındaki bazı ziyade harflerin basit bir imlâ farklılığı olarak görülmediği dikkat çekmektedir. Bilakis bu harfler, kelimenin ses yapısını, hareke değerini, kırâat yönünü…</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Âlûsî’nin (ö. 1270/1854) aktardığı kırâat açıklamasında o bu meseleyi lehçe ve ses bilgisi bakımından ele almaktadır. O, Hasan-ı Basrî’den (ö. 110/728) سَأُوْرِيكُم kelimesinin hemzesi ötreli, ardından sakin “vav” bulunan bir…</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Resm-i Osmânî’nin en dikkat çekici özelliklerinden biri, bazı yazım biçimlerinin yalnızca lafzın dış görünüşünü değil, aynı zamanda onun taşıdığı ince anlam boyutlarını da yansıtmasıdır. Bu husus ulûmu’l-Kur’ân kaynaklarında…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Benzer şekilde جِيءَ kelimesinin bazı âyetlerde وَجِأىءَ بألنَّبِيِيْنَ  şeklinde “cim” ve “ya” arasında “elif” ziyadesiyle yazılması da tehvîl, tefhîm, vaîd ve tehdit anlamlarıyla ilişkilendirilmiştir. Özellikle Zumer ve Fecr…</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P303</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Hazf örnekleri de aynı derecede önem kazanmıştır. Osmânî mushaflarda, dil kaideleri bakımından “vav” ile yazılması beklenen bazı fiillerin “vav”sız yazılması İslâm âlimlerince tesadüf olarak görülmemiştir. Nitekim يَدْعُ…</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P304</w:t>
            </w:r>
          </w:p>
        </w:tc>
        <w:tc>
          <w:tcPr>
            <w:tcW w:type="dxa" w:w="1474"/>
            <w:vAlign w:val="top"/>
            <w:tcMar>
              <w:top w:w="70" w:type="dxa"/>
              <w:start w:w="85" w:type="dxa"/>
              <w:bottom w:w="70" w:type="dxa"/>
              <w:end w:w="85" w:type="dxa"/>
            </w:tcMar>
          </w:tcPr>
          <w:p>
            <w:pPr>
              <w:spacing w:after="0"/>
            </w:pPr>
            <w:r>
              <w:rPr>
                <w:sz w:val="12"/>
              </w:rPr>
              <w:t>imlâ farklılıkları üzerinden okumak yeterli değildir; onu aynı zamanda bir anlam işaretleme sistemi olarak değerlendirme</w:t>
            </w:r>
          </w:p>
        </w:tc>
        <w:tc>
          <w:tcPr>
            <w:tcW w:type="dxa" w:w="3402"/>
            <w:vAlign w:val="top"/>
            <w:tcMar>
              <w:top w:w="70" w:type="dxa"/>
              <w:start w:w="85" w:type="dxa"/>
              <w:bottom w:w="70" w:type="dxa"/>
              <w:end w:w="85" w:type="dxa"/>
            </w:tcMar>
          </w:tcPr>
          <w:p>
            <w:pPr>
              <w:spacing w:after="0"/>
            </w:pPr>
            <w:r>
              <w:rPr>
                <w:sz w:val="12"/>
              </w:rPr>
              <w:t>Resm-i Osmânî, sadece kelimelerin yazı biçimini sabitleyen bir sistemden müteşekkil değildir. Aksine âlimlerin önemli bir kısmına göre mushaf yazısı, bazı yerlerde lafzın olağan söyleyişini, bazı yerlerde harekenin aslını, bazı…</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3.5 Resm-i Osmânî’de Yazım Farkının Anlam Farkına İşaret Etmesi</w:t>
            </w:r>
          </w:p>
        </w:tc>
        <w:tc>
          <w:tcPr>
            <w:tcW w:type="dxa" w:w="567"/>
            <w:vAlign w:val="top"/>
            <w:tcMar>
              <w:top w:w="70" w:type="dxa"/>
              <w:start w:w="85" w:type="dxa"/>
              <w:bottom w:w="70" w:type="dxa"/>
              <w:end w:w="85" w:type="dxa"/>
            </w:tcMar>
          </w:tcPr>
          <w:p>
            <w:pPr>
              <w:spacing w:after="0"/>
            </w:pPr>
            <w:r>
              <w:rPr>
                <w:sz w:val="12"/>
              </w:rPr>
              <w:t>P310</w:t>
            </w:r>
          </w:p>
        </w:tc>
        <w:tc>
          <w:tcPr>
            <w:tcW w:type="dxa" w:w="1474"/>
            <w:vAlign w:val="top"/>
            <w:tcMar>
              <w:top w:w="70" w:type="dxa"/>
              <w:start w:w="85" w:type="dxa"/>
              <w:bottom w:w="70" w:type="dxa"/>
              <w:end w:w="85" w:type="dxa"/>
            </w:tcMar>
          </w:tcPr>
          <w:p>
            <w:pPr>
              <w:spacing w:after="0"/>
            </w:pPr>
            <w:r>
              <w:rPr>
                <w:sz w:val="12"/>
              </w:rPr>
              <w:t>değil / değil / değil</w:t>
            </w:r>
          </w:p>
        </w:tc>
        <w:tc>
          <w:tcPr>
            <w:tcW w:type="dxa" w:w="3402"/>
            <w:vAlign w:val="top"/>
            <w:tcMar>
              <w:top w:w="70" w:type="dxa"/>
              <w:start w:w="85" w:type="dxa"/>
              <w:bottom w:w="70" w:type="dxa"/>
              <w:end w:w="85" w:type="dxa"/>
            </w:tcMar>
          </w:tcPr>
          <w:p>
            <w:pPr>
              <w:spacing w:after="0"/>
            </w:pPr>
            <w:r>
              <w:rPr>
                <w:sz w:val="12"/>
              </w:rPr>
              <w:t>Nitekim Nisâ’ sûresindeki âyette أمْ مَنْ şeklinde مَنْ kelimesinden ayrı yazıldığında bunun “ أم المنقطعة” (emi’l-munkatıa) olduğuna delalet ettiği kabul edilir. Bu kullanımda أمْ önceki söz akışından yeni bir istifham yönüne…</w:t>
            </w:r>
          </w:p>
        </w:tc>
        <w:tc>
          <w:tcPr>
            <w:tcW w:type="dxa" w:w="2948"/>
            <w:vAlign w:val="top"/>
            <w:tcMar>
              <w:top w:w="70" w:type="dxa"/>
              <w:start w:w="85" w:type="dxa"/>
              <w:bottom w:w="70" w:type="dxa"/>
              <w:end w:w="85" w:type="dxa"/>
            </w:tcMar>
          </w:tcPr>
          <w:p>
            <w:pPr>
              <w:spacing w:after="0"/>
            </w:pPr>
            <w:r>
              <w:rPr>
                <w:sz w:val="12"/>
              </w:rPr>
              <w:t>Yüksek öncelik: aynı paragrafta birden çok negatif karşıtlık; olumlu çekirdek tanımı kurup cümleyi yeniden yapılandır.</w:t>
            </w:r>
          </w:p>
        </w:tc>
      </w:tr>
      <w:tr>
        <w:trPr>
          <w:cantSplit/>
        </w:trPr>
        <w:tc>
          <w:tcPr>
            <w:tcW w:type="dxa" w:w="1984"/>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P317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genel kabul karşısında mushaf yazımındaki kıyasa aykırı unsurları ilâhî sırlarla açıklama eğilimini reddeden ve resm-i mushaf’ı tarihsel yazım şartlarıyla açıklayan eleştirel yaklaşımın en meşhur temsilcilerinden biri İbn…</w:t>
            </w:r>
          </w:p>
        </w:tc>
        <w:tc>
          <w:tcPr>
            <w:tcW w:type="dxa" w:w="2948"/>
            <w:vAlign w:val="top"/>
            <w:tcMar>
              <w:top w:w="70" w:type="dxa"/>
              <w:start w:w="85" w:type="dxa"/>
              <w:bottom w:w="70" w:type="dxa"/>
              <w:end w:w="85" w:type="dxa"/>
            </w:tcMar>
          </w:tcPr>
          <w:p>
            <w:pPr>
              <w:spacing w:after="0"/>
            </w:pPr>
            <w:r>
              <w:rPr>
                <w:sz w:val="12"/>
              </w:rPr>
              <w:t>Olumlu tanımı öne al; sınır koymak bilimsel olarak gerekli ise “değildir” korunabilir.</w:t>
            </w:r>
          </w:p>
        </w:tc>
      </w:tr>
      <w:tr>
        <w:trPr>
          <w:cantSplit/>
        </w:trPr>
        <w:tc>
          <w:tcPr>
            <w:tcW w:type="dxa" w:w="1984"/>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P319</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Ne var ki bu yaklaşım klasik ve çağdaş literatürde problemli bulunmuş ve bu görüşe karşı güçlü itirazlar yöneltilmiştir. Bunun temel sebebi resm-i mushaf’ın sahih kırâatin ölçülerinden biri olarak kabul edilmesidir. Eğer mushaf…</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P322</w:t>
            </w:r>
          </w:p>
        </w:tc>
        <w:tc>
          <w:tcPr>
            <w:tcW w:type="dxa" w:w="1474"/>
            <w:vAlign w:val="top"/>
            <w:tcMar>
              <w:top w:w="70" w:type="dxa"/>
              <w:start w:w="85" w:type="dxa"/>
              <w:bottom w:w="70" w:type="dxa"/>
              <w:end w:w="85" w:type="dxa"/>
            </w:tcMar>
          </w:tcPr>
          <w:p>
            <w:pPr>
              <w:spacing w:after="0"/>
            </w:pPr>
            <w:r>
              <w:rPr>
                <w:sz w:val="12"/>
              </w:rPr>
              <w:t>resm-i Osmânî’ye bağlılığın normatif değeri, her yazım ayrıntısının özel bir hikmet veya mucizevî anlam taşıdığının kabu</w:t>
            </w:r>
          </w:p>
        </w:tc>
        <w:tc>
          <w:tcPr>
            <w:tcW w:type="dxa" w:w="3402"/>
            <w:vAlign w:val="top"/>
            <w:tcMar>
              <w:top w:w="70" w:type="dxa"/>
              <w:start w:w="85" w:type="dxa"/>
              <w:bottom w:w="70" w:type="dxa"/>
              <w:end w:w="85" w:type="dxa"/>
            </w:tcMar>
          </w:tcPr>
          <w:p>
            <w:pPr>
              <w:spacing w:after="0"/>
            </w:pPr>
            <w:r>
              <w:rPr>
                <w:sz w:val="12"/>
              </w:rPr>
              <w:t>Sonuç olarak resm-i mushaf etrafındaki tartışmalar üç ana çizgide toplanmaktadır: onu tevkîfî ve bağlayıcı gören yaklaşım; yazım farklılıklarında hikmet ve mana incelikleri arayan yaklaşım. Zerkeşî, Merrâkuşî ve ed-Debbâğ’ın…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yaklaşımın ikinci boyutunu mushafın resm-i Osmânî dışında, değişken ve beşerî imlâ kurallarına göre yeniden yazılmasının doğuracağı riskler oluşturmaktadır. Zira bu görüşe göre imlâ kuralları, insanlar tarafından konulan,…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Meselenin bir başka boyutu da, resm-i mushaf’ın kaynaklarda çoğu zaman “sünnet” ve “ittiba” kavramları etrafında temellendirilmesidir. Bu temellendirmede mushafın resm-i Osmânî üzere yazılması gerektiği yönündeki yaklaşım oldukça…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Dânî gibi âlimler, resm olgularının önemli bir kısmını nakil ve muhafaza ekseninde ele alırken, bazı çağdaş araştırmacılar geniş okuyucu kitlesi için imlâ kolaylığını gözeten yaklaşımları da tartışmışlardır. Ancak bu tartışmanın…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3.8 Nebevî Rehberliğin ve Sünnetin Muhafazası Bağlamında Resm-i Osmânî’ye Bağlılık</w:t>
            </w:r>
          </w:p>
        </w:tc>
        <w:tc>
          <w:tcPr>
            <w:tcW w:type="dxa" w:w="567"/>
            <w:vAlign w:val="top"/>
            <w:tcMar>
              <w:top w:w="70" w:type="dxa"/>
              <w:start w:w="85" w:type="dxa"/>
              <w:bottom w:w="70" w:type="dxa"/>
              <w:end w:w="85" w:type="dxa"/>
            </w:tcMar>
          </w:tcPr>
          <w:p>
            <w:pPr>
              <w:spacing w:after="0"/>
            </w:pPr>
            <w:r>
              <w:rPr>
                <w:sz w:val="12"/>
              </w:rPr>
              <w:t>P337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Çağdaş dönemde de bu yaklaşımın tamamen ortadan kalkmadığı görülmektedir. Özellikle Osmânî resm üzere mushaf neşrini esas alan kurumlar, resm-i Osmânî’yi yalnızca tarihî bir kalıntı olarak saymamakta, korunup yaşatılması gereken…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Nitekim bazı müellifler, insanların ilk neslin öncülüğünü ve yazıyı hangi esaslar üzerine inşa ettiklerini bilmemelerinin, mushaf resmine uymama, hatta onu değiştirme eğilimini beslediğini; bunun ise ilim terazisinde hüsran…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P347</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çerçevede ulema arasında yaygın biçimde nakledilen “Kur’an’ı mushafîden, ilmi de sahafîden almayın.” sözü ile “Bilgiyi sadece kitapların içeriğinden tahsil eden kimse, ahkâmı gereği gibi kavrayamaz ve onu zayi eder.” …</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P348</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Meselenin bir başka boyutu, tecvid ve kırâat edâsının yazıdan bütünüyle çıkarılamayan özellikleri taşımasıdır. Revm, işmâm, teshîl, tahkik, tefhim, kalkale, idğam ve ihfâ gibi pek çok husus, yazılı işaretlerle kısmen…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P351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itibarla senedin Kur’an-ı Kerim’e bağlı kalması, diğer semavi kitaplara nispetle Kur’an’a mahsus koruyucu vasıflardan biri olarak değerlendirilmiştir. Çünkü Kur’an’ın muhafazası yalnız mushaf nüshalarının korunması olmamakta,…</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P362</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Kaynaklar, bu örnekleri, mushafın aslî resminden uzaklaşmanın sadece teorik bir kaygı olmayıp, pratikte tahrif kapısını aralayabilecek bir süreç olduğuna delil olarak sunmaktadır. Bu çerçevede Müslüman toplumların bu tahrif…</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tespit mushaf resminin niçin yalnızca bir imlâ meselesi sayılamayacağını açıkça ortaya koymaktadır. Çünkü burada korunmak istenen sadece bir yazı alışkanlığı olmayıp; o yazı etrafında teşekkül etmiş bir ilmî gelenektir.…</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P375</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Ayrıca resm-i Osmânî’nin birlikle ilişkilendirilmesi, yalnız yatay anlamda coğrafyalar arası birlikle sınırlı olmayıp dikey anlamda nesiller arası devamlılığı da içine alır. Aynı resm üzere yazılmış bir mushafla karşılaşan…</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P376</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Bu noktada dikkat çeken husus, yazı birliğinin metin güvenliğiyle doğrudan birleşmesidir. Çünkü ortak mushaf yapısı ne kadar güçlü olursa, farklı çevrelerde farklı mushaf yazımı oluşturma eğilimi de o ölçüde sınırlanır. Bu durum,…</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P388</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Öte yandan kırâat rivâyetlerinin İslâm beldelerindeki seyrinin düzenlenmesi, Osmân b. Affân’ın her bölgeye yalnız mushaf göndermekle yetinmeyip, o mushafa uygun biçimde insanlara kırâat öğretecek mukrîler de görevlendirmesiyle…</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P393</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Hz. Osman’ın İslâm beldelerine kaç mushaf gönderdiği hususunda farklı rivâyetler bulunsa da, çoğunluk bunların dört nüsha olduğu görüşündedir. Buna göre Şam’a, Kûfe’ye ve Basra’ya birer mushaf gönderilmiş; biri de Medine’de…</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P398</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Sahâbe mushaflarında bulunan kırâat rivâyetlerinin bir başka kısmı ise, son arzadan sonra hükmü kalkmış yahut tilâveti neshedilmiş vecihlerle ilgilidir. Kaynaklarda, bazı sahâbîlerin Rasûlullah’tan işittikleri okuyuşları…</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P401</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İbn Ebû Dâvud’un el-Meṣâḥif’inde sahâbeye nispet edilen ve mushaf hattına muhalif düşen çok sayıdaki şâz okuyuşu bir araya getirmiş olması da aynı hakikate işaret etmektedir. Bu rivâyetlerin önemli bir bölümü, son arzada terk…</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P434</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Zamanla resm rivâyetçileri çoğalmış ve emsâr bölgelerinde yayılmıştır. Bunun sonucu olarak Dânî, el-Muḳniʿ adlı eserinde onların birçok rivâyetine yer vermiş ve onun talebesi Ebû Dâvud Süleymân b. Necâḥ da (ö. 496/1103)…</w:t>
            </w:r>
          </w:p>
        </w:tc>
        <w:tc>
          <w:tcPr>
            <w:tcW w:type="dxa" w:w="2948"/>
            <w:vAlign w:val="top"/>
            <w:tcMar>
              <w:top w:w="70" w:type="dxa"/>
              <w:start w:w="85" w:type="dxa"/>
              <w:bottom w:w="70" w:type="dxa"/>
              <w:end w:w="85" w:type="dxa"/>
            </w:tcMar>
          </w:tcPr>
          <w:p>
            <w:pPr>
              <w:spacing w:after="0"/>
            </w:pPr>
            <w:r>
              <w:rPr>
                <w:sz w:val="12"/>
              </w:rPr>
              <w:t>“yalnız/sadece … değil” yerine bağlama göre “...ın yanı sıra / ... ile birlikte / ...ı aşan” yapısı değerlendir.</w:t>
            </w:r>
          </w:p>
        </w:tc>
      </w:tr>
      <w:tr>
        <w:trPr>
          <w:cantSplit/>
        </w:trPr>
        <w:tc>
          <w:tcPr>
            <w:tcW w:type="dxa" w:w="1984"/>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P450</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Söz konusu farklılıklar modern matbaa tekniklerinin ortaya çıkmasıyla birlikte mushaf yazımında daha belirgin hâle gelmiştir. Özellikle matbaanın ilk dönemlerinde uygulanan harf dizgisine dayalı baskı yöntemi, resm-i mushaf’ın…</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r>
        <w:trPr>
          <w:cantSplit/>
        </w:trPr>
        <w:tc>
          <w:tcPr>
            <w:tcW w:type="dxa" w:w="1984"/>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P453</w:t>
            </w:r>
          </w:p>
        </w:tc>
        <w:tc>
          <w:tcPr>
            <w:tcW w:type="dxa" w:w="1474"/>
            <w:vAlign w:val="top"/>
            <w:tcMar>
              <w:top w:w="70" w:type="dxa"/>
              <w:start w:w="85" w:type="dxa"/>
              <w:bottom w:w="70" w:type="dxa"/>
              <w:end w:w="85" w:type="dxa"/>
            </w:tcMar>
          </w:tcPr>
          <w:p>
            <w:pPr>
              <w:spacing w:after="0"/>
            </w:pPr>
            <w:r>
              <w:rPr>
                <w:sz w:val="12"/>
              </w:rPr>
              <w:t>değil,</w:t>
            </w:r>
          </w:p>
        </w:tc>
        <w:tc>
          <w:tcPr>
            <w:tcW w:type="dxa" w:w="3402"/>
            <w:vAlign w:val="top"/>
            <w:tcMar>
              <w:top w:w="70" w:type="dxa"/>
              <w:start w:w="85" w:type="dxa"/>
              <w:bottom w:w="70" w:type="dxa"/>
              <w:end w:w="85" w:type="dxa"/>
            </w:tcMar>
          </w:tcPr>
          <w:p>
            <w:pPr>
              <w:spacing w:after="0"/>
            </w:pPr>
            <w:r>
              <w:rPr>
                <w:sz w:val="12"/>
              </w:rPr>
              <w:t>Ebû Dâvud’un yönteminin en dikkat çekici yönü, resm rivâyetleri ile kırâat rivâyetlerini birbirinden kopuk iki saha olarak ele almamasıdır. O, hem resm imamlarının rivâyetlerine hem de eski mushaflardan yapılan nakillere…</w:t>
            </w:r>
          </w:p>
        </w:tc>
        <w:tc>
          <w:tcPr>
            <w:tcW w:type="dxa" w:w="2948"/>
            <w:vAlign w:val="top"/>
            <w:tcMar>
              <w:top w:w="70" w:type="dxa"/>
              <w:start w:w="85" w:type="dxa"/>
              <w:bottom w:w="70" w:type="dxa"/>
              <w:end w:w="85" w:type="dxa"/>
            </w:tcMar>
          </w:tcPr>
          <w:p>
            <w:pPr>
              <w:spacing w:after="0"/>
            </w:pPr>
            <w:r>
              <w:rPr>
                <w:sz w:val="12"/>
              </w:rPr>
              <w:t>“X değil, Y” karşıtlığını mümkünse doğrudan Y’yi tanımlayan olumlu cümleye dönüştür; zorunlu karşıtlıksa koru.</w:t>
            </w:r>
          </w:p>
        </w:tc>
      </w:tr>
    </w:tbl>
    <w:p>
      <w:r>
        <w:br w:type="page"/>
      </w:r>
    </w:p>
    <w:p>
      <w:pPr>
        <w:pStyle w:val="Heading2"/>
        <w:keepNext/>
      </w:pPr>
      <w:r>
        <w:t>EK B. Uzun Kırmızı İşaretli Cümle ve Blokların Tam Listesi</w:t>
      </w:r>
    </w:p>
    <w:p>
      <w:r>
        <w:t>Kırmızı içeriğin toplamı 120 karakteri aşan 29 paragraf aşağıdadır. Bunlar kelime düzeltmesinden farklı olarak paragraf uyumu, cümle yükü veya içerik kararı gerektirebilir.</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28"/>
            <w:shd w:fill="D9EAF7"/>
          </w:tcPr>
          <w:p>
            <w:r>
              <w:rPr>
                <w:b/>
                <w:sz w:val="12"/>
              </w:rPr>
              <w:t>Yer</w:t>
            </w:r>
          </w:p>
        </w:tc>
        <w:tc>
          <w:tcPr>
            <w:tcW w:type="dxa" w:w="567"/>
            <w:shd w:fill="D9EAF7"/>
          </w:tcPr>
          <w:p>
            <w:r>
              <w:rPr>
                <w:b/>
                <w:sz w:val="12"/>
              </w:rPr>
              <w:t>P</w:t>
            </w:r>
          </w:p>
        </w:tc>
        <w:tc>
          <w:tcPr>
            <w:tcW w:type="dxa" w:w="964"/>
            <w:shd w:fill="D9EAF7"/>
          </w:tcPr>
          <w:p>
            <w:r>
              <w:rPr>
                <w:b/>
                <w:sz w:val="12"/>
              </w:rPr>
              <w:t>Kırmızı karakter</w:t>
            </w:r>
          </w:p>
        </w:tc>
        <w:tc>
          <w:tcPr>
            <w:tcW w:type="dxa" w:w="4195"/>
            <w:shd w:fill="D9EAF7"/>
          </w:tcPr>
          <w:p>
            <w:r>
              <w:rPr>
                <w:b/>
                <w:sz w:val="12"/>
              </w:rPr>
              <w:t>Kırmızı metin</w:t>
            </w:r>
          </w:p>
        </w:tc>
        <w:tc>
          <w:tcPr>
            <w:tcW w:type="dxa" w:w="2721"/>
            <w:shd w:fill="D9EAF7"/>
          </w:tcPr>
          <w:p>
            <w:r>
              <w:rPr>
                <w:b/>
                <w:sz w:val="12"/>
              </w:rPr>
              <w:t>İşlem</w:t>
            </w:r>
          </w:p>
        </w:tc>
      </w:tr>
      <w:tr>
        <w:trPr>
          <w:cantSplit/>
        </w:trPr>
        <w:tc>
          <w:tcPr>
            <w:tcW w:type="dxa" w:w="1928"/>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P20</w:t>
            </w:r>
          </w:p>
        </w:tc>
        <w:tc>
          <w:tcPr>
            <w:tcW w:type="dxa" w:w="964"/>
            <w:vAlign w:val="top"/>
            <w:tcMar>
              <w:top w:w="70" w:type="dxa"/>
              <w:start w:w="85" w:type="dxa"/>
              <w:bottom w:w="70" w:type="dxa"/>
              <w:end w:w="85" w:type="dxa"/>
            </w:tcMar>
          </w:tcPr>
          <w:p>
            <w:pPr>
              <w:spacing w:after="0"/>
            </w:pPr>
            <w:r>
              <w:rPr>
                <w:sz w:val="12"/>
              </w:rPr>
              <w:t>458</w:t>
            </w:r>
          </w:p>
        </w:tc>
        <w:tc>
          <w:tcPr>
            <w:tcW w:type="dxa" w:w="4195"/>
            <w:vAlign w:val="top"/>
            <w:tcMar>
              <w:top w:w="70" w:type="dxa"/>
              <w:start w:w="85" w:type="dxa"/>
              <w:bottom w:w="70" w:type="dxa"/>
              <w:end w:w="85" w:type="dxa"/>
            </w:tcMar>
          </w:tcPr>
          <w:p>
            <w:pPr>
              <w:spacing w:after="0"/>
            </w:pPr>
            <w:r>
              <w:rPr>
                <w:sz w:val="12"/>
              </w:rPr>
              <w:t>Vahyin nüzûlüyle yazının kullanım alanı genişlemiş; Kur'an'ın kayda geçirilmesi, sözlü aktarımı tamamlayan ve onun güvenilirliğini pekiştiren bir muhafaza vasıtası olarak gelişmiştir.Kaynaklarda heyetin yapısı, mushafların sayısı ve gönderildikleri şehirler hakkında farklı rivâye…</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P62</w:t>
            </w:r>
          </w:p>
        </w:tc>
        <w:tc>
          <w:tcPr>
            <w:tcW w:type="dxa" w:w="964"/>
            <w:vAlign w:val="top"/>
            <w:tcMar>
              <w:top w:w="70" w:type="dxa"/>
              <w:start w:w="85" w:type="dxa"/>
              <w:bottom w:w="70" w:type="dxa"/>
              <w:end w:w="85" w:type="dxa"/>
            </w:tcMar>
          </w:tcPr>
          <w:p>
            <w:pPr>
              <w:spacing w:after="0"/>
            </w:pPr>
            <w:r>
              <w:rPr>
                <w:sz w:val="12"/>
              </w:rPr>
              <w:t>247</w:t>
            </w:r>
          </w:p>
        </w:tc>
        <w:tc>
          <w:tcPr>
            <w:tcW w:type="dxa" w:w="4195"/>
            <w:vAlign w:val="top"/>
            <w:tcMar>
              <w:top w:w="70" w:type="dxa"/>
              <w:start w:w="85" w:type="dxa"/>
              <w:bottom w:w="70" w:type="dxa"/>
              <w:end w:w="85" w:type="dxa"/>
            </w:tcMar>
          </w:tcPr>
          <w:p>
            <w:pPr>
              <w:spacing w:after="0"/>
            </w:pPr>
            <w:r>
              <w:rPr>
                <w:sz w:val="12"/>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P65</w:t>
            </w:r>
          </w:p>
        </w:tc>
        <w:tc>
          <w:tcPr>
            <w:tcW w:type="dxa" w:w="964"/>
            <w:vAlign w:val="top"/>
            <w:tcMar>
              <w:top w:w="70" w:type="dxa"/>
              <w:start w:w="85" w:type="dxa"/>
              <w:bottom w:w="70" w:type="dxa"/>
              <w:end w:w="85" w:type="dxa"/>
            </w:tcMar>
          </w:tcPr>
          <w:p>
            <w:pPr>
              <w:spacing w:after="0"/>
            </w:pPr>
            <w:r>
              <w:rPr>
                <w:sz w:val="12"/>
              </w:rPr>
              <w:t>123</w:t>
            </w:r>
          </w:p>
        </w:tc>
        <w:tc>
          <w:tcPr>
            <w:tcW w:type="dxa" w:w="4195"/>
            <w:vAlign w:val="top"/>
            <w:tcMar>
              <w:top w:w="70" w:type="dxa"/>
              <w:start w:w="85" w:type="dxa"/>
              <w:bottom w:w="70" w:type="dxa"/>
              <w:end w:w="85" w:type="dxa"/>
            </w:tcMar>
          </w:tcPr>
          <w:p>
            <w:pPr>
              <w:spacing w:after="0"/>
            </w:pPr>
            <w:r>
              <w:rPr>
                <w:sz w:val="12"/>
              </w:rPr>
              <w:t>Rivâyetlerdeki dağınık bilgilerden hareketle, yazılı vahiy malzemesinin muhafazasına ilişkin iki temel görüş bulunmaktadır.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P79</w:t>
            </w:r>
          </w:p>
        </w:tc>
        <w:tc>
          <w:tcPr>
            <w:tcW w:type="dxa" w:w="964"/>
            <w:vAlign w:val="top"/>
            <w:tcMar>
              <w:top w:w="70" w:type="dxa"/>
              <w:start w:w="85" w:type="dxa"/>
              <w:bottom w:w="70" w:type="dxa"/>
              <w:end w:w="85" w:type="dxa"/>
            </w:tcMar>
          </w:tcPr>
          <w:p>
            <w:pPr>
              <w:spacing w:after="0"/>
            </w:pPr>
            <w:r>
              <w:rPr>
                <w:sz w:val="12"/>
              </w:rPr>
              <w:t>153</w:t>
            </w:r>
          </w:p>
        </w:tc>
        <w:tc>
          <w:tcPr>
            <w:tcW w:type="dxa" w:w="4195"/>
            <w:vAlign w:val="top"/>
            <w:tcMar>
              <w:top w:w="70" w:type="dxa"/>
              <w:start w:w="85" w:type="dxa"/>
              <w:bottom w:w="70" w:type="dxa"/>
              <w:end w:w="85" w:type="dxa"/>
            </w:tcMar>
          </w:tcPr>
          <w:p>
            <w:pPr>
              <w:spacing w:after="0"/>
            </w:pPr>
            <w:r>
              <w:rPr>
                <w:sz w:val="12"/>
              </w:rPr>
              <w:t>Osmânî istinsahla yedi harf ruhsatındaki genişliğin sınırlandırıldığı ve ümmetin ortak okuyuş alanının belirli bir çerçeveye bağlandığı ifade edilmiştir.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P82</w:t>
            </w:r>
          </w:p>
        </w:tc>
        <w:tc>
          <w:tcPr>
            <w:tcW w:type="dxa" w:w="964"/>
            <w:vAlign w:val="top"/>
            <w:tcMar>
              <w:top w:w="70" w:type="dxa"/>
              <w:start w:w="85" w:type="dxa"/>
              <w:bottom w:w="70" w:type="dxa"/>
              <w:end w:w="85" w:type="dxa"/>
            </w:tcMar>
          </w:tcPr>
          <w:p>
            <w:pPr>
              <w:spacing w:after="0"/>
            </w:pPr>
            <w:r>
              <w:rPr>
                <w:sz w:val="12"/>
              </w:rPr>
              <w:t>163</w:t>
            </w:r>
          </w:p>
        </w:tc>
        <w:tc>
          <w:tcPr>
            <w:tcW w:type="dxa" w:w="4195"/>
            <w:vAlign w:val="top"/>
            <w:tcMar>
              <w:top w:w="70" w:type="dxa"/>
              <w:start w:w="85" w:type="dxa"/>
              <w:bottom w:w="70" w:type="dxa"/>
              <w:end w:w="85" w:type="dxa"/>
            </w:tcMar>
          </w:tcPr>
          <w:p>
            <w:pPr>
              <w:spacing w:after="0"/>
            </w:pPr>
            <w:r>
              <w:rPr>
                <w:sz w:val="12"/>
              </w:rPr>
              <w:t>Mevcut rivâyetler, Hz. Ömer döneminde ise yeni bir istinsah faaliyetini gerekli kılacak ölçüde yaygın bir kırâat ihtilafının gündeme gelmediğine işaret etmektedir.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P95</w:t>
            </w:r>
          </w:p>
        </w:tc>
        <w:tc>
          <w:tcPr>
            <w:tcW w:type="dxa" w:w="964"/>
            <w:vAlign w:val="top"/>
            <w:tcMar>
              <w:top w:w="70" w:type="dxa"/>
              <w:start w:w="85" w:type="dxa"/>
              <w:bottom w:w="70" w:type="dxa"/>
              <w:end w:w="85" w:type="dxa"/>
            </w:tcMar>
          </w:tcPr>
          <w:p>
            <w:pPr>
              <w:spacing w:after="0"/>
            </w:pPr>
            <w:r>
              <w:rPr>
                <w:sz w:val="12"/>
              </w:rPr>
              <w:t>246</w:t>
            </w:r>
          </w:p>
        </w:tc>
        <w:tc>
          <w:tcPr>
            <w:tcW w:type="dxa" w:w="4195"/>
            <w:vAlign w:val="top"/>
            <w:tcMar>
              <w:top w:w="70" w:type="dxa"/>
              <w:start w:w="85" w:type="dxa"/>
              <w:bottom w:w="70" w:type="dxa"/>
              <w:end w:w="85" w:type="dxa"/>
            </w:tcMar>
          </w:tcPr>
          <w:p>
            <w:pPr>
              <w:spacing w:after="0"/>
            </w:pPr>
            <w:r>
              <w:rPr>
                <w:sz w:val="12"/>
              </w:rPr>
              <w:t>dönemde Müslümanlar arasında kırâate yönelik ihtilafların çok vahim bir noktaya geldiği, çözüm bulunmadığı takdirde Müslümanlar arasında bölünmelere ve ayrışmaya dönüşebileceğine dair ciddi bir endişe doğurduğunu göstermektedir.bütünlüğünden çok,</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P111</w:t>
            </w:r>
          </w:p>
        </w:tc>
        <w:tc>
          <w:tcPr>
            <w:tcW w:type="dxa" w:w="964"/>
            <w:vAlign w:val="top"/>
            <w:tcMar>
              <w:top w:w="70" w:type="dxa"/>
              <w:start w:w="85" w:type="dxa"/>
              <w:bottom w:w="70" w:type="dxa"/>
              <w:end w:w="85" w:type="dxa"/>
            </w:tcMar>
          </w:tcPr>
          <w:p>
            <w:pPr>
              <w:spacing w:after="0"/>
            </w:pPr>
            <w:r>
              <w:rPr>
                <w:sz w:val="12"/>
              </w:rPr>
              <w:t>212</w:t>
            </w:r>
          </w:p>
        </w:tc>
        <w:tc>
          <w:tcPr>
            <w:tcW w:type="dxa" w:w="4195"/>
            <w:vAlign w:val="top"/>
            <w:tcMar>
              <w:top w:w="70" w:type="dxa"/>
              <w:start w:w="85" w:type="dxa"/>
              <w:bottom w:w="70" w:type="dxa"/>
              <w:end w:w="85" w:type="dxa"/>
            </w:tcMar>
          </w:tcPr>
          <w:p>
            <w:pPr>
              <w:spacing w:after="0"/>
            </w:pPr>
            <w:r>
              <w:rPr>
                <w:sz w:val="12"/>
              </w:rPr>
              <w:t>bireysel kanaatlerin ötesine geçerek büyük ölçüde belli bir yöntemsel zemine dayanan değerlendirmeler hâline gelmiştir.Muhammed Abdülazîm ez-Zürkânî (ö.1948), Subhî es-Sâlih (ö. 1986), Mustafa el-Azamî (ö. 2017),</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P112</w:t>
            </w:r>
          </w:p>
        </w:tc>
        <w:tc>
          <w:tcPr>
            <w:tcW w:type="dxa" w:w="964"/>
            <w:vAlign w:val="top"/>
            <w:tcMar>
              <w:top w:w="70" w:type="dxa"/>
              <w:start w:w="85" w:type="dxa"/>
              <w:bottom w:w="70" w:type="dxa"/>
              <w:end w:w="85" w:type="dxa"/>
            </w:tcMar>
          </w:tcPr>
          <w:p>
            <w:pPr>
              <w:spacing w:after="0"/>
            </w:pPr>
            <w:r>
              <w:rPr>
                <w:sz w:val="12"/>
              </w:rPr>
              <w:t>1300</w:t>
            </w:r>
          </w:p>
        </w:tc>
        <w:tc>
          <w:tcPr>
            <w:tcW w:type="dxa" w:w="4195"/>
            <w:vAlign w:val="top"/>
            <w:tcMar>
              <w:top w:w="70" w:type="dxa"/>
              <w:start w:w="85" w:type="dxa"/>
              <w:bottom w:w="70" w:type="dxa"/>
              <w:end w:w="85" w:type="dxa"/>
            </w:tcMar>
          </w:tcPr>
          <w:p>
            <w:pPr>
              <w:spacing w:after="0"/>
            </w:pPr>
            <w:r>
              <w:rPr>
                <w:sz w:val="12"/>
              </w:rPr>
              <w:t>Zürkânî, klasik literatürü sistematik biçimde inceleyerek Dânî, ez-Zerkeşî, İbn Hacer ve Süyûtî'nin değerlendirmelerini karşılaştırmış; "beş şehir" mushafı görüşünün hem rivayet sıhhati hem de tarihî bağlam bakımından daha kuvvetli olduğunu ileri sürmüştür. Zürkânî'nin en önemli …</w:t>
            </w:r>
          </w:p>
        </w:tc>
        <w:tc>
          <w:tcPr>
            <w:tcW w:type="dxa" w:w="2721"/>
            <w:vAlign w:val="top"/>
            <w:tcMar>
              <w:top w:w="70" w:type="dxa"/>
              <w:start w:w="85" w:type="dxa"/>
              <w:bottom w:w="70" w:type="dxa"/>
              <w:end w:w="85" w:type="dxa"/>
            </w:tcMar>
          </w:tcPr>
          <w:p>
            <w:pPr>
              <w:spacing w:after="0"/>
            </w:pPr>
            <w:r>
              <w:rPr>
                <w:sz w:val="12"/>
              </w:rPr>
              <w:t>Uzun blok: içerik + akış + kaynak nispeti birlikte yeniden okunmalı; yazar kararı gerekir.</w:t>
            </w:r>
          </w:p>
        </w:tc>
      </w:tr>
      <w:tr>
        <w:trPr>
          <w:cantSplit/>
        </w:trPr>
        <w:tc>
          <w:tcPr>
            <w:tcW w:type="dxa" w:w="1928"/>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P117</w:t>
            </w:r>
          </w:p>
        </w:tc>
        <w:tc>
          <w:tcPr>
            <w:tcW w:type="dxa" w:w="964"/>
            <w:vAlign w:val="top"/>
            <w:tcMar>
              <w:top w:w="70" w:type="dxa"/>
              <w:start w:w="85" w:type="dxa"/>
              <w:bottom w:w="70" w:type="dxa"/>
              <w:end w:w="85" w:type="dxa"/>
            </w:tcMar>
          </w:tcPr>
          <w:p>
            <w:pPr>
              <w:spacing w:after="0"/>
            </w:pPr>
            <w:r>
              <w:rPr>
                <w:sz w:val="12"/>
              </w:rPr>
              <w:t>141</w:t>
            </w:r>
          </w:p>
        </w:tc>
        <w:tc>
          <w:tcPr>
            <w:tcW w:type="dxa" w:w="4195"/>
            <w:vAlign w:val="top"/>
            <w:tcMar>
              <w:top w:w="70" w:type="dxa"/>
              <w:start w:w="85" w:type="dxa"/>
              <w:bottom w:w="70" w:type="dxa"/>
              <w:end w:w="85" w:type="dxa"/>
            </w:tcMar>
          </w:tcPr>
          <w:p>
            <w:pPr>
              <w:spacing w:after="0"/>
            </w:pPr>
            <w:r>
              <w:rPr>
                <w:sz w:val="12"/>
              </w:rPr>
              <w:t>. Bu görüşler birlikte değerlendirildiğinde, beş ana merkez ile halifenin yanında kalan nüshayı ayrı sayan altı nüsha ihtimali savunulabilir.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P128</w:t>
            </w:r>
          </w:p>
        </w:tc>
        <w:tc>
          <w:tcPr>
            <w:tcW w:type="dxa" w:w="964"/>
            <w:vAlign w:val="top"/>
            <w:tcMar>
              <w:top w:w="70" w:type="dxa"/>
              <w:start w:w="85" w:type="dxa"/>
              <w:bottom w:w="70" w:type="dxa"/>
              <w:end w:w="85" w:type="dxa"/>
            </w:tcMar>
          </w:tcPr>
          <w:p>
            <w:pPr>
              <w:spacing w:after="0"/>
            </w:pPr>
            <w:r>
              <w:rPr>
                <w:sz w:val="12"/>
              </w:rPr>
              <w:t>165</w:t>
            </w:r>
          </w:p>
        </w:tc>
        <w:tc>
          <w:tcPr>
            <w:tcW w:type="dxa" w:w="4195"/>
            <w:vAlign w:val="top"/>
            <w:tcMar>
              <w:top w:w="70" w:type="dxa"/>
              <w:start w:w="85" w:type="dxa"/>
              <w:bottom w:w="70" w:type="dxa"/>
              <w:end w:w="85" w:type="dxa"/>
            </w:tcMar>
          </w:tcPr>
          <w:p>
            <w:pPr>
              <w:spacing w:after="0"/>
            </w:pPr>
            <w:r>
              <w:rPr>
                <w:sz w:val="12"/>
              </w:rPr>
              <w:t>Yazı, sözün geride bıraktığı kalıcı izdir. Ancak dilsel bir kökenden teknik bir terime geçiş, mecazi bir genişlemeden ziyade belirli bir ilmin ihtiyacının sonucudur.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P130</w:t>
            </w:r>
          </w:p>
        </w:tc>
        <w:tc>
          <w:tcPr>
            <w:tcW w:type="dxa" w:w="964"/>
            <w:vAlign w:val="top"/>
            <w:tcMar>
              <w:top w:w="70" w:type="dxa"/>
              <w:start w:w="85" w:type="dxa"/>
              <w:bottom w:w="70" w:type="dxa"/>
              <w:end w:w="85" w:type="dxa"/>
            </w:tcMar>
          </w:tcPr>
          <w:p>
            <w:pPr>
              <w:spacing w:after="0"/>
            </w:pPr>
            <w:r>
              <w:rPr>
                <w:sz w:val="12"/>
              </w:rPr>
              <w:t>238</w:t>
            </w:r>
          </w:p>
        </w:tc>
        <w:tc>
          <w:tcPr>
            <w:tcW w:type="dxa" w:w="4195"/>
            <w:vAlign w:val="top"/>
            <w:tcMar>
              <w:top w:w="70" w:type="dxa"/>
              <w:start w:w="85" w:type="dxa"/>
              <w:bottom w:w="70" w:type="dxa"/>
              <w:end w:w="85" w:type="dxa"/>
            </w:tcMar>
          </w:tcPr>
          <w:p>
            <w:pPr>
              <w:spacing w:after="0"/>
            </w:pPr>
            <w:r>
              <w:rPr>
                <w:sz w:val="12"/>
              </w:rPr>
              <w:t>Dânî'nin yaklaşımı, resmin kuralları bulunan teknik bir yazım disiplini niteliği taşıdığını göstermektedir; nitekim onun eserleri, resm farklılıklarını şehir mushaflarına göre tasnif eden ilk sistematik çalışmalar arasında yer almaktadır.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P131</w:t>
            </w:r>
          </w:p>
        </w:tc>
        <w:tc>
          <w:tcPr>
            <w:tcW w:type="dxa" w:w="964"/>
            <w:vAlign w:val="top"/>
            <w:tcMar>
              <w:top w:w="70" w:type="dxa"/>
              <w:start w:w="85" w:type="dxa"/>
              <w:bottom w:w="70" w:type="dxa"/>
              <w:end w:w="85" w:type="dxa"/>
            </w:tcMar>
          </w:tcPr>
          <w:p>
            <w:pPr>
              <w:spacing w:after="0"/>
            </w:pPr>
            <w:r>
              <w:rPr>
                <w:sz w:val="12"/>
              </w:rPr>
              <w:t>175</w:t>
            </w:r>
          </w:p>
        </w:tc>
        <w:tc>
          <w:tcPr>
            <w:tcW w:type="dxa" w:w="4195"/>
            <w:vAlign w:val="top"/>
            <w:tcMar>
              <w:top w:w="70" w:type="dxa"/>
              <w:start w:w="85" w:type="dxa"/>
              <w:bottom w:w="70" w:type="dxa"/>
              <w:end w:w="85" w:type="dxa"/>
            </w:tcMar>
          </w:tcPr>
          <w:p>
            <w:pPr>
              <w:spacing w:after="0"/>
            </w:pPr>
            <w:r>
              <w:rPr>
                <w:sz w:val="12"/>
              </w:rPr>
              <w:t>Yazı, sesin rastgele kaydını aşarak harf düzenine bağlı bir temsil biçimi hâline gelmiştir. Onun yaklaşımında yazı da sözün sıradan kaydını aşan kurallı bir temsil sistemidir.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P269</w:t>
            </w:r>
          </w:p>
        </w:tc>
        <w:tc>
          <w:tcPr>
            <w:tcW w:type="dxa" w:w="964"/>
            <w:vAlign w:val="top"/>
            <w:tcMar>
              <w:top w:w="70" w:type="dxa"/>
              <w:start w:w="85" w:type="dxa"/>
              <w:bottom w:w="70" w:type="dxa"/>
              <w:end w:w="85" w:type="dxa"/>
            </w:tcMar>
          </w:tcPr>
          <w:p>
            <w:pPr>
              <w:spacing w:after="0"/>
            </w:pPr>
            <w:r>
              <w:rPr>
                <w:sz w:val="12"/>
              </w:rPr>
              <w:t>163</w:t>
            </w:r>
          </w:p>
        </w:tc>
        <w:tc>
          <w:tcPr>
            <w:tcW w:type="dxa" w:w="4195"/>
            <w:vAlign w:val="top"/>
            <w:tcMar>
              <w:top w:w="70" w:type="dxa"/>
              <w:start w:w="85" w:type="dxa"/>
              <w:bottom w:w="70" w:type="dxa"/>
              <w:end w:w="85" w:type="dxa"/>
            </w:tcMar>
          </w:tcPr>
          <w:p>
            <w:pPr>
              <w:spacing w:after="0"/>
            </w:pPr>
            <w:r>
              <w:rPr>
                <w:sz w:val="12"/>
              </w:rPr>
              <w:t>Zira resmin ortaklaşması, yorum alanının sınırlandırılmasına katkı sağlamış ve bu tür yorumların meşruiyet zeminini belirli esaslar çerçevesinde şekillendirmiştir.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P304</w:t>
            </w:r>
          </w:p>
        </w:tc>
        <w:tc>
          <w:tcPr>
            <w:tcW w:type="dxa" w:w="964"/>
            <w:vAlign w:val="top"/>
            <w:tcMar>
              <w:top w:w="70" w:type="dxa"/>
              <w:start w:w="85" w:type="dxa"/>
              <w:bottom w:w="70" w:type="dxa"/>
              <w:end w:w="85" w:type="dxa"/>
            </w:tcMar>
          </w:tcPr>
          <w:p>
            <w:pPr>
              <w:spacing w:after="0"/>
            </w:pPr>
            <w:r>
              <w:rPr>
                <w:sz w:val="12"/>
              </w:rPr>
              <w:t>175</w:t>
            </w:r>
          </w:p>
        </w:tc>
        <w:tc>
          <w:tcPr>
            <w:tcW w:type="dxa" w:w="4195"/>
            <w:vAlign w:val="top"/>
            <w:tcMar>
              <w:top w:w="70" w:type="dxa"/>
              <w:start w:w="85" w:type="dxa"/>
              <w:bottom w:w="70" w:type="dxa"/>
              <w:end w:w="85" w:type="dxa"/>
            </w:tcMar>
          </w:tcPr>
          <w:p>
            <w:pPr>
              <w:spacing w:after="0"/>
            </w:pPr>
            <w:r>
              <w:rPr>
                <w:sz w:val="12"/>
              </w:rPr>
              <w:t>Bu nedenle resm-i Osmânî’yi sadece tek imlâ farklılıkları üzerinden okumak yeterli değildir; onu aynı zamanda bir anlam işaretleme sistemi olarak değerlendirmek gerekmektedir.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P322</w:t>
            </w:r>
          </w:p>
        </w:tc>
        <w:tc>
          <w:tcPr>
            <w:tcW w:type="dxa" w:w="964"/>
            <w:vAlign w:val="top"/>
            <w:tcMar>
              <w:top w:w="70" w:type="dxa"/>
              <w:start w:w="85" w:type="dxa"/>
              <w:bottom w:w="70" w:type="dxa"/>
              <w:end w:w="85" w:type="dxa"/>
            </w:tcMar>
          </w:tcPr>
          <w:p>
            <w:pPr>
              <w:spacing w:after="0"/>
            </w:pPr>
            <w:r>
              <w:rPr>
                <w:sz w:val="12"/>
              </w:rPr>
              <w:t>866</w:t>
            </w:r>
          </w:p>
        </w:tc>
        <w:tc>
          <w:tcPr>
            <w:tcW w:type="dxa" w:w="4195"/>
            <w:vAlign w:val="top"/>
            <w:tcMar>
              <w:top w:w="70" w:type="dxa"/>
              <w:start w:w="85" w:type="dxa"/>
              <w:bottom w:w="70" w:type="dxa"/>
              <w:end w:w="85" w:type="dxa"/>
            </w:tcMar>
          </w:tcPr>
          <w:p>
            <w:pPr>
              <w:spacing w:after="0"/>
            </w:pPr>
            <w:r>
              <w:rPr>
                <w:sz w:val="12"/>
              </w:rPr>
              <w:t>Sonuç olarak resm-i mushaf etrafındaki tartışmalar üç ana çizgide toplanmaktadır: onu tevkîfî ve bağlayıcı gören yaklaşım; yazım farklılıklarında hikmet ve mana incelikleri arayan yaklaşım. Zerkeşî, Merrâkuşî ve ed-Debbâğ’ın işaret merkezli yorumları, Dânî’nin dilci açıklamaları,…</w:t>
            </w:r>
          </w:p>
        </w:tc>
        <w:tc>
          <w:tcPr>
            <w:tcW w:type="dxa" w:w="2721"/>
            <w:vAlign w:val="top"/>
            <w:tcMar>
              <w:top w:w="70" w:type="dxa"/>
              <w:start w:w="85" w:type="dxa"/>
              <w:bottom w:w="70" w:type="dxa"/>
              <w:end w:w="85" w:type="dxa"/>
            </w:tcMar>
          </w:tcPr>
          <w:p>
            <w:pPr>
              <w:spacing w:after="0"/>
            </w:pPr>
            <w:r>
              <w:rPr>
                <w:sz w:val="12"/>
              </w:rPr>
              <w:t>Formülaik ara sonuç: önce silme/birleştirme ihtimalini değerlendir.</w:t>
            </w:r>
          </w:p>
        </w:tc>
      </w:tr>
      <w:tr>
        <w:trPr>
          <w:cantSplit/>
        </w:trPr>
        <w:tc>
          <w:tcPr>
            <w:tcW w:type="dxa" w:w="1928"/>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P332</w:t>
            </w:r>
          </w:p>
        </w:tc>
        <w:tc>
          <w:tcPr>
            <w:tcW w:type="dxa" w:w="964"/>
            <w:vAlign w:val="top"/>
            <w:tcMar>
              <w:top w:w="70" w:type="dxa"/>
              <w:start w:w="85" w:type="dxa"/>
              <w:bottom w:w="70" w:type="dxa"/>
              <w:end w:w="85" w:type="dxa"/>
            </w:tcMar>
          </w:tcPr>
          <w:p>
            <w:pPr>
              <w:spacing w:after="0"/>
            </w:pPr>
            <w:r>
              <w:rPr>
                <w:sz w:val="12"/>
              </w:rPr>
              <w:t>1497</w:t>
            </w:r>
          </w:p>
        </w:tc>
        <w:tc>
          <w:tcPr>
            <w:tcW w:type="dxa" w:w="4195"/>
            <w:vAlign w:val="top"/>
            <w:tcMar>
              <w:top w:w="70" w:type="dxa"/>
              <w:start w:w="85" w:type="dxa"/>
              <w:bottom w:w="70" w:type="dxa"/>
              <w:end w:w="85" w:type="dxa"/>
            </w:tcMar>
          </w:tcPr>
          <w:p>
            <w:pPr>
              <w:spacing w:after="0"/>
            </w:pPr>
            <w:r>
              <w:rPr>
                <w:sz w:val="12"/>
              </w:rPr>
              <w:t>Bu üçlü tasnif birlikte değerlendirildiğinde, mushaf yazımında resm-i Osmânî meselesinin tek boyutlu bir tartışma olmadığı anlaşılmaktadır. Birinci görüş, mushafın aslını korumayı metnin güvenilirliği, birlik içinde aktarımı ve kırâat geleneğinin muhafazası bakımından temel ilke …</w:t>
            </w:r>
          </w:p>
        </w:tc>
        <w:tc>
          <w:tcPr>
            <w:tcW w:type="dxa" w:w="2721"/>
            <w:vAlign w:val="top"/>
            <w:tcMar>
              <w:top w:w="70" w:type="dxa"/>
              <w:start w:w="85" w:type="dxa"/>
              <w:bottom w:w="70" w:type="dxa"/>
              <w:end w:w="85" w:type="dxa"/>
            </w:tcMar>
          </w:tcPr>
          <w:p>
            <w:pPr>
              <w:spacing w:after="0"/>
            </w:pPr>
            <w:r>
              <w:rPr>
                <w:sz w:val="12"/>
              </w:rPr>
              <w:t>Uzun blok: içerik + akış + kaynak nispeti birlikte yeniden okunmalı; yazar kararı gerekir.</w:t>
            </w:r>
          </w:p>
        </w:tc>
      </w:tr>
      <w:tr>
        <w:trPr>
          <w:cantSplit/>
        </w:trPr>
        <w:tc>
          <w:tcPr>
            <w:tcW w:type="dxa" w:w="1928"/>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P342</w:t>
            </w:r>
          </w:p>
        </w:tc>
        <w:tc>
          <w:tcPr>
            <w:tcW w:type="dxa" w:w="964"/>
            <w:vAlign w:val="top"/>
            <w:tcMar>
              <w:top w:w="70" w:type="dxa"/>
              <w:start w:w="85" w:type="dxa"/>
              <w:bottom w:w="70" w:type="dxa"/>
              <w:end w:w="85" w:type="dxa"/>
            </w:tcMar>
          </w:tcPr>
          <w:p>
            <w:pPr>
              <w:spacing w:after="0"/>
            </w:pPr>
            <w:r>
              <w:rPr>
                <w:sz w:val="12"/>
              </w:rPr>
              <w:t>244</w:t>
            </w:r>
          </w:p>
        </w:tc>
        <w:tc>
          <w:tcPr>
            <w:tcW w:type="dxa" w:w="4195"/>
            <w:vAlign w:val="top"/>
            <w:tcMar>
              <w:top w:w="70" w:type="dxa"/>
              <w:start w:w="85" w:type="dxa"/>
              <w:bottom w:w="70" w:type="dxa"/>
              <w:end w:w="85" w:type="dxa"/>
            </w:tcMar>
          </w:tcPr>
          <w:p>
            <w:pPr>
              <w:spacing w:after="0"/>
            </w:pPr>
            <w:r>
              <w:rPr>
                <w:sz w:val="12"/>
              </w:rPr>
              <w:t>değil,yazıdan ibaret olmayıpBu çerçevede resm-i Osmânî’ye bağlılığın, metnin yazımını koruma amacının yanı sıra, Kur’an’ın naklinde oluşan tarihî sürekliliği ve ilmî geleneği muhafaza etme iradesiyle de yakından ilişkili olduğu anlaşılmaktadır.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P344</w:t>
            </w:r>
          </w:p>
        </w:tc>
        <w:tc>
          <w:tcPr>
            <w:tcW w:type="dxa" w:w="964"/>
            <w:vAlign w:val="top"/>
            <w:tcMar>
              <w:top w:w="70" w:type="dxa"/>
              <w:start w:w="85" w:type="dxa"/>
              <w:bottom w:w="70" w:type="dxa"/>
              <w:end w:w="85" w:type="dxa"/>
            </w:tcMar>
          </w:tcPr>
          <w:p>
            <w:pPr>
              <w:spacing w:after="0"/>
            </w:pPr>
            <w:r>
              <w:rPr>
                <w:sz w:val="12"/>
              </w:rPr>
              <w:t>268</w:t>
            </w:r>
          </w:p>
        </w:tc>
        <w:tc>
          <w:tcPr>
            <w:tcW w:type="dxa" w:w="4195"/>
            <w:vAlign w:val="top"/>
            <w:tcMar>
              <w:top w:w="70" w:type="dxa"/>
              <w:start w:w="85" w:type="dxa"/>
              <w:bottom w:w="70" w:type="dxa"/>
              <w:end w:w="85" w:type="dxa"/>
            </w:tcMar>
          </w:tcPr>
          <w:p>
            <w:pPr>
              <w:spacing w:after="0"/>
            </w:pPr>
            <w:r>
              <w:rPr>
                <w:sz w:val="12"/>
              </w:rPr>
              <w:t>. Böyle bir anlayış içinde resm-i Osmânî'ye bağlılık, metnin dış görünüşünü koruma iradesinin ötesinde, Kur’an'ın nakil sürecinde teşekkül eden tarihî sürekliliği, ilmî meşruiyeti ve geleneksel güven zeminini muhafaza etme çabasının bir tezahürü olarak yorumlanabilir.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P351</w:t>
            </w:r>
          </w:p>
        </w:tc>
        <w:tc>
          <w:tcPr>
            <w:tcW w:type="dxa" w:w="964"/>
            <w:vAlign w:val="top"/>
            <w:tcMar>
              <w:top w:w="70" w:type="dxa"/>
              <w:start w:w="85" w:type="dxa"/>
              <w:bottom w:w="70" w:type="dxa"/>
              <w:end w:w="85" w:type="dxa"/>
            </w:tcMar>
          </w:tcPr>
          <w:p>
            <w:pPr>
              <w:spacing w:after="0"/>
            </w:pPr>
            <w:r>
              <w:rPr>
                <w:sz w:val="12"/>
              </w:rPr>
              <w:t>227</w:t>
            </w:r>
          </w:p>
        </w:tc>
        <w:tc>
          <w:tcPr>
            <w:tcW w:type="dxa" w:w="4195"/>
            <w:vAlign w:val="top"/>
            <w:tcMar>
              <w:top w:w="70" w:type="dxa"/>
              <w:start w:w="85" w:type="dxa"/>
              <w:bottom w:w="70" w:type="dxa"/>
              <w:end w:w="85" w:type="dxa"/>
            </w:tcMar>
          </w:tcPr>
          <w:p>
            <w:pPr>
              <w:spacing w:after="0"/>
            </w:pPr>
            <w:r>
              <w:rPr>
                <w:sz w:val="12"/>
              </w:rPr>
              <w:t>olarak görülmeyipBöylece resm-i mushaf, tarihî bir yazı geleneği olmanın yanı sıra, Kur’an'ın sözlü rivâyetini, sened zincirini ve sahih okuyuş disiplinini muhafaza eden temel unsurlardan biri hâline gelmiştirBu bağlamda değil,</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P362</w:t>
            </w:r>
          </w:p>
        </w:tc>
        <w:tc>
          <w:tcPr>
            <w:tcW w:type="dxa" w:w="964"/>
            <w:vAlign w:val="top"/>
            <w:tcMar>
              <w:top w:w="70" w:type="dxa"/>
              <w:start w:w="85" w:type="dxa"/>
              <w:bottom w:w="70" w:type="dxa"/>
              <w:end w:w="85" w:type="dxa"/>
            </w:tcMar>
          </w:tcPr>
          <w:p>
            <w:pPr>
              <w:spacing w:after="0"/>
            </w:pPr>
            <w:r>
              <w:rPr>
                <w:sz w:val="12"/>
              </w:rPr>
              <w:t>189</w:t>
            </w:r>
          </w:p>
        </w:tc>
        <w:tc>
          <w:tcPr>
            <w:tcW w:type="dxa" w:w="4195"/>
            <w:vAlign w:val="top"/>
            <w:tcMar>
              <w:top w:w="70" w:type="dxa"/>
              <w:start w:w="85" w:type="dxa"/>
              <w:bottom w:w="70" w:type="dxa"/>
              <w:end w:w="85" w:type="dxa"/>
            </w:tcMar>
          </w:tcPr>
          <w:p>
            <w:pPr>
              <w:spacing w:after="0"/>
            </w:pPr>
            <w:r>
              <w:rPr>
                <w:sz w:val="12"/>
              </w:rPr>
              <w:t>değil,Böylece resm-i mushaf, metnin güvenliğini sağlayan pasif bir yazı düzeni olmaktan çıkarak ümmetin dinî ve kültürel varlığını koruyan aktif bir muhafaza zemini olarak ortaya çıkmıştır.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P367</w:t>
            </w:r>
          </w:p>
        </w:tc>
        <w:tc>
          <w:tcPr>
            <w:tcW w:type="dxa" w:w="964"/>
            <w:vAlign w:val="top"/>
            <w:tcMar>
              <w:top w:w="70" w:type="dxa"/>
              <w:start w:w="85" w:type="dxa"/>
              <w:bottom w:w="70" w:type="dxa"/>
              <w:end w:w="85" w:type="dxa"/>
            </w:tcMar>
          </w:tcPr>
          <w:p>
            <w:pPr>
              <w:spacing w:after="0"/>
            </w:pPr>
            <w:r>
              <w:rPr>
                <w:sz w:val="12"/>
              </w:rPr>
              <w:t>161</w:t>
            </w:r>
          </w:p>
        </w:tc>
        <w:tc>
          <w:tcPr>
            <w:tcW w:type="dxa" w:w="4195"/>
            <w:vAlign w:val="top"/>
            <w:tcMar>
              <w:top w:w="70" w:type="dxa"/>
              <w:start w:w="85" w:type="dxa"/>
              <w:bottom w:w="70" w:type="dxa"/>
              <w:end w:w="85" w:type="dxa"/>
            </w:tcMar>
          </w:tcPr>
          <w:p>
            <w:pPr>
              <w:spacing w:after="0"/>
            </w:pPr>
            <w:r>
              <w:rPr>
                <w:sz w:val="12"/>
              </w:rPr>
              <w:t>Bu bakımdan resm-i mushaf, sahih kırâatlerin devamlılığını temin eden ve onların yazı içindeki imkân alanını koruyan kurucu bir unsur olarak değerlendirilebilir.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P369</w:t>
            </w:r>
          </w:p>
        </w:tc>
        <w:tc>
          <w:tcPr>
            <w:tcW w:type="dxa" w:w="964"/>
            <w:vAlign w:val="top"/>
            <w:tcMar>
              <w:top w:w="70" w:type="dxa"/>
              <w:start w:w="85" w:type="dxa"/>
              <w:bottom w:w="70" w:type="dxa"/>
              <w:end w:w="85" w:type="dxa"/>
            </w:tcMar>
          </w:tcPr>
          <w:p>
            <w:pPr>
              <w:spacing w:after="0"/>
            </w:pPr>
            <w:r>
              <w:rPr>
                <w:sz w:val="12"/>
              </w:rPr>
              <w:t>209</w:t>
            </w:r>
          </w:p>
        </w:tc>
        <w:tc>
          <w:tcPr>
            <w:tcW w:type="dxa" w:w="4195"/>
            <w:vAlign w:val="top"/>
            <w:tcMar>
              <w:top w:w="70" w:type="dxa"/>
              <w:start w:w="85" w:type="dxa"/>
              <w:bottom w:w="70" w:type="dxa"/>
              <w:end w:w="85" w:type="dxa"/>
            </w:tcMar>
          </w:tcPr>
          <w:p>
            <w:pPr>
              <w:spacing w:after="0"/>
            </w:pPr>
            <w:r>
              <w:rPr>
                <w:sz w:val="12"/>
              </w:rPr>
              <w:t>Bu sebeple resm-i Osmânî, basit bir yazım geleneği olarak görülemeyecek ölçüde, ümmetin Kur’an karşısındaki tarihî dikkatini ve ilim merkezli sadakatini temsil eden kurucu bir zemin olarak değerlendirilebilir.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P371</w:t>
            </w:r>
          </w:p>
        </w:tc>
        <w:tc>
          <w:tcPr>
            <w:tcW w:type="dxa" w:w="964"/>
            <w:vAlign w:val="top"/>
            <w:tcMar>
              <w:top w:w="70" w:type="dxa"/>
              <w:start w:w="85" w:type="dxa"/>
              <w:bottom w:w="70" w:type="dxa"/>
              <w:end w:w="85" w:type="dxa"/>
            </w:tcMar>
          </w:tcPr>
          <w:p>
            <w:pPr>
              <w:spacing w:after="0"/>
            </w:pPr>
            <w:r>
              <w:rPr>
                <w:sz w:val="12"/>
              </w:rPr>
              <w:t>352</w:t>
            </w:r>
          </w:p>
        </w:tc>
        <w:tc>
          <w:tcPr>
            <w:tcW w:type="dxa" w:w="4195"/>
            <w:vAlign w:val="top"/>
            <w:tcMar>
              <w:top w:w="70" w:type="dxa"/>
              <w:start w:w="85" w:type="dxa"/>
              <w:bottom w:w="70" w:type="dxa"/>
              <w:end w:w="85" w:type="dxa"/>
            </w:tcMar>
          </w:tcPr>
          <w:p>
            <w:pPr>
              <w:spacing w:after="0"/>
            </w:pPr>
            <w:r>
              <w:rPr>
                <w:sz w:val="12"/>
              </w:rPr>
              <w:t>Resm-i Osmânî'ye ittiba, yazıya dair biçimsel bir uygulama olarak sınırlandırılamayacak ölçüde, ümmetin Allah'ın kitabı karşısında ortak bir çizgide buluşmasının görünür işaretlerinden biri olarak yorumlanmaktadır.Bu yönüyle yazı, yalnızca metni aktaran bir vasıta olarak kalmayıp…</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P394</w:t>
            </w:r>
          </w:p>
        </w:tc>
        <w:tc>
          <w:tcPr>
            <w:tcW w:type="dxa" w:w="964"/>
            <w:vAlign w:val="top"/>
            <w:tcMar>
              <w:top w:w="70" w:type="dxa"/>
              <w:start w:w="85" w:type="dxa"/>
              <w:bottom w:w="70" w:type="dxa"/>
              <w:end w:w="85" w:type="dxa"/>
            </w:tcMar>
          </w:tcPr>
          <w:p>
            <w:pPr>
              <w:spacing w:after="0"/>
            </w:pPr>
            <w:r>
              <w:rPr>
                <w:sz w:val="12"/>
              </w:rPr>
              <w:t>212</w:t>
            </w:r>
          </w:p>
        </w:tc>
        <w:tc>
          <w:tcPr>
            <w:tcW w:type="dxa" w:w="4195"/>
            <w:vAlign w:val="top"/>
            <w:tcMar>
              <w:top w:w="70" w:type="dxa"/>
              <w:start w:w="85" w:type="dxa"/>
              <w:bottom w:w="70" w:type="dxa"/>
              <w:end w:w="85" w:type="dxa"/>
            </w:tcMar>
          </w:tcPr>
          <w:p>
            <w:pPr>
              <w:spacing w:after="0"/>
            </w:pPr>
            <w:r>
              <w:rPr>
                <w:sz w:val="12"/>
              </w:rPr>
              <w:t>Bütün bunlar birlikte düşünüldüğünde Bu çerçevede, resm-i Osmânî'nin kırâat tarihi, rivâyet disiplini ve ümmetin ortak mushaf otoritesinin teşekkülünde belirleyici bir işleve sahip bulunduğu açıkça görülmektedir.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P400</w:t>
            </w:r>
          </w:p>
        </w:tc>
        <w:tc>
          <w:tcPr>
            <w:tcW w:type="dxa" w:w="964"/>
            <w:vAlign w:val="top"/>
            <w:tcMar>
              <w:top w:w="70" w:type="dxa"/>
              <w:start w:w="85" w:type="dxa"/>
              <w:bottom w:w="70" w:type="dxa"/>
              <w:end w:w="85" w:type="dxa"/>
            </w:tcMar>
          </w:tcPr>
          <w:p>
            <w:pPr>
              <w:spacing w:after="0"/>
            </w:pPr>
            <w:r>
              <w:rPr>
                <w:sz w:val="12"/>
              </w:rPr>
              <w:t>125</w:t>
            </w:r>
          </w:p>
        </w:tc>
        <w:tc>
          <w:tcPr>
            <w:tcW w:type="dxa" w:w="4195"/>
            <w:vAlign w:val="top"/>
            <w:tcMar>
              <w:top w:w="70" w:type="dxa"/>
              <w:start w:w="85" w:type="dxa"/>
              <w:bottom w:w="70" w:type="dxa"/>
              <w:end w:w="85" w:type="dxa"/>
            </w:tcMar>
          </w:tcPr>
          <w:p>
            <w:pPr>
              <w:spacing w:after="0"/>
            </w:pPr>
            <w:r>
              <w:rPr>
                <w:sz w:val="12"/>
              </w:rPr>
              <w:t>Bu da resm-i Osmânî'nin, kırâat rivâyetleri arasında bağlayıcılık ölçüsü koyan kurucu bir çerçeve olduğunu ortaya koymaktadır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P406</w:t>
            </w:r>
          </w:p>
        </w:tc>
        <w:tc>
          <w:tcPr>
            <w:tcW w:type="dxa" w:w="964"/>
            <w:vAlign w:val="top"/>
            <w:tcMar>
              <w:top w:w="70" w:type="dxa"/>
              <w:start w:w="85" w:type="dxa"/>
              <w:bottom w:w="70" w:type="dxa"/>
              <w:end w:w="85" w:type="dxa"/>
            </w:tcMar>
          </w:tcPr>
          <w:p>
            <w:pPr>
              <w:spacing w:after="0"/>
            </w:pPr>
            <w:r>
              <w:rPr>
                <w:sz w:val="12"/>
              </w:rPr>
              <w:t>413</w:t>
            </w:r>
          </w:p>
        </w:tc>
        <w:tc>
          <w:tcPr>
            <w:tcW w:type="dxa" w:w="4195"/>
            <w:vAlign w:val="top"/>
            <w:tcMar>
              <w:top w:w="70" w:type="dxa"/>
              <w:start w:w="85" w:type="dxa"/>
              <w:bottom w:w="70" w:type="dxa"/>
              <w:end w:w="85" w:type="dxa"/>
            </w:tcMar>
          </w:tcPr>
          <w:p>
            <w:pPr>
              <w:spacing w:after="0"/>
            </w:pPr>
            <w:r>
              <w:rPr>
                <w:sz w:val="12"/>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P420</w:t>
            </w:r>
          </w:p>
        </w:tc>
        <w:tc>
          <w:tcPr>
            <w:tcW w:type="dxa" w:w="964"/>
            <w:vAlign w:val="top"/>
            <w:tcMar>
              <w:top w:w="70" w:type="dxa"/>
              <w:start w:w="85" w:type="dxa"/>
              <w:bottom w:w="70" w:type="dxa"/>
              <w:end w:w="85" w:type="dxa"/>
            </w:tcMar>
          </w:tcPr>
          <w:p>
            <w:pPr>
              <w:spacing w:after="0"/>
            </w:pPr>
            <w:r>
              <w:rPr>
                <w:sz w:val="12"/>
              </w:rPr>
              <w:t>271</w:t>
            </w:r>
          </w:p>
        </w:tc>
        <w:tc>
          <w:tcPr>
            <w:tcW w:type="dxa" w:w="4195"/>
            <w:vAlign w:val="top"/>
            <w:tcMar>
              <w:top w:w="70" w:type="dxa"/>
              <w:start w:w="85" w:type="dxa"/>
              <w:bottom w:w="70" w:type="dxa"/>
              <w:end w:w="85" w:type="dxa"/>
            </w:tcMar>
          </w:tcPr>
          <w:p>
            <w:pPr>
              <w:spacing w:after="0"/>
            </w:pPr>
            <w:r>
              <w:rPr>
                <w:sz w:val="12"/>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r>
        <w:trPr>
          <w:cantSplit/>
        </w:trPr>
        <w:tc>
          <w:tcPr>
            <w:tcW w:type="dxa" w:w="1928"/>
            <w:vAlign w:val="top"/>
            <w:tcMar>
              <w:top w:w="70" w:type="dxa"/>
              <w:start w:w="85" w:type="dxa"/>
              <w:bottom w:w="70" w:type="dxa"/>
              <w:end w:w="85" w:type="dxa"/>
            </w:tcMar>
          </w:tcPr>
          <w:p>
            <w:pPr>
              <w:spacing w:after="0"/>
            </w:pPr>
            <w:r>
              <w:rPr>
                <w:sz w:val="12"/>
              </w:rPr>
              <w:t>4.7 Kırâat Rivâyetlerine Göre Düzenlenen Basılı Mushafların Yaygınlaşması ve Etkileri</w:t>
            </w:r>
          </w:p>
        </w:tc>
        <w:tc>
          <w:tcPr>
            <w:tcW w:type="dxa" w:w="567"/>
            <w:vAlign w:val="top"/>
            <w:tcMar>
              <w:top w:w="70" w:type="dxa"/>
              <w:start w:w="85" w:type="dxa"/>
              <w:bottom w:w="70" w:type="dxa"/>
              <w:end w:w="85" w:type="dxa"/>
            </w:tcMar>
          </w:tcPr>
          <w:p>
            <w:pPr>
              <w:spacing w:after="0"/>
            </w:pPr>
            <w:r>
              <w:rPr>
                <w:sz w:val="12"/>
              </w:rPr>
              <w:t>P467</w:t>
            </w:r>
          </w:p>
        </w:tc>
        <w:tc>
          <w:tcPr>
            <w:tcW w:type="dxa" w:w="964"/>
            <w:vAlign w:val="top"/>
            <w:tcMar>
              <w:top w:w="70" w:type="dxa"/>
              <w:start w:w="85" w:type="dxa"/>
              <w:bottom w:w="70" w:type="dxa"/>
              <w:end w:w="85" w:type="dxa"/>
            </w:tcMar>
          </w:tcPr>
          <w:p>
            <w:pPr>
              <w:spacing w:after="0"/>
            </w:pPr>
            <w:r>
              <w:rPr>
                <w:sz w:val="12"/>
              </w:rPr>
              <w:t>919</w:t>
            </w:r>
          </w:p>
        </w:tc>
        <w:tc>
          <w:tcPr>
            <w:tcW w:type="dxa" w:w="4195"/>
            <w:vAlign w:val="top"/>
            <w:tcMar>
              <w:top w:w="70" w:type="dxa"/>
              <w:start w:w="85" w:type="dxa"/>
              <w:bottom w:w="70" w:type="dxa"/>
              <w:end w:w="85" w:type="dxa"/>
            </w:tcMar>
          </w:tcPr>
          <w:p>
            <w:pPr>
              <w:spacing w:after="0"/>
            </w:pPr>
            <w:r>
              <w:rPr>
                <w:sz w:val="12"/>
              </w:rPr>
              <w:t>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w:t>
            </w:r>
          </w:p>
        </w:tc>
        <w:tc>
          <w:tcPr>
            <w:tcW w:type="dxa" w:w="2721"/>
            <w:vAlign w:val="top"/>
            <w:tcMar>
              <w:top w:w="70" w:type="dxa"/>
              <w:start w:w="85" w:type="dxa"/>
              <w:bottom w:w="70" w:type="dxa"/>
              <w:end w:w="85" w:type="dxa"/>
            </w:tcMar>
          </w:tcPr>
          <w:p>
            <w:pPr>
              <w:spacing w:after="0"/>
            </w:pPr>
            <w:r>
              <w:rPr>
                <w:sz w:val="12"/>
              </w:rPr>
              <w:t>Uzun blok: içerik + akış + kaynak nispeti birlikte yeniden okunmalı; yazar kararı gerekir.</w:t>
            </w:r>
          </w:p>
        </w:tc>
      </w:tr>
      <w:tr>
        <w:trPr>
          <w:cantSplit/>
        </w:trPr>
        <w:tc>
          <w:tcPr>
            <w:tcW w:type="dxa" w:w="1928"/>
            <w:vAlign w:val="top"/>
            <w:tcMar>
              <w:top w:w="70" w:type="dxa"/>
              <w:start w:w="85" w:type="dxa"/>
              <w:bottom w:w="70" w:type="dxa"/>
              <w:end w:w="85" w:type="dxa"/>
            </w:tcMar>
          </w:tcPr>
          <w:p>
            <w:pPr>
              <w:spacing w:after="0"/>
            </w:pPr>
            <w:r>
              <w:rPr>
                <w:sz w:val="12"/>
              </w:rPr>
              <w:t>Sonuç</w:t>
            </w:r>
          </w:p>
        </w:tc>
        <w:tc>
          <w:tcPr>
            <w:tcW w:type="dxa" w:w="567"/>
            <w:vAlign w:val="top"/>
            <w:tcMar>
              <w:top w:w="70" w:type="dxa"/>
              <w:start w:w="85" w:type="dxa"/>
              <w:bottom w:w="70" w:type="dxa"/>
              <w:end w:w="85" w:type="dxa"/>
            </w:tcMar>
          </w:tcPr>
          <w:p>
            <w:pPr>
              <w:spacing w:after="0"/>
            </w:pPr>
            <w:r>
              <w:rPr>
                <w:sz w:val="12"/>
              </w:rPr>
              <w:t>P480</w:t>
            </w:r>
          </w:p>
        </w:tc>
        <w:tc>
          <w:tcPr>
            <w:tcW w:type="dxa" w:w="964"/>
            <w:vAlign w:val="top"/>
            <w:tcMar>
              <w:top w:w="70" w:type="dxa"/>
              <w:start w:w="85" w:type="dxa"/>
              <w:bottom w:w="70" w:type="dxa"/>
              <w:end w:w="85" w:type="dxa"/>
            </w:tcMar>
          </w:tcPr>
          <w:p>
            <w:pPr>
              <w:spacing w:after="0"/>
            </w:pPr>
            <w:r>
              <w:rPr>
                <w:sz w:val="12"/>
              </w:rPr>
              <w:t>177</w:t>
            </w:r>
          </w:p>
        </w:tc>
        <w:tc>
          <w:tcPr>
            <w:tcW w:type="dxa" w:w="4195"/>
            <w:vAlign w:val="top"/>
            <w:tcMar>
              <w:top w:w="70" w:type="dxa"/>
              <w:start w:w="85" w:type="dxa"/>
              <w:bottom w:w="70" w:type="dxa"/>
              <w:end w:w="85" w:type="dxa"/>
            </w:tcMar>
          </w:tcPr>
          <w:p>
            <w:pPr>
              <w:spacing w:after="0"/>
            </w:pPr>
            <w:r>
              <w:rPr>
                <w:sz w:val="12"/>
              </w:rPr>
              <w:t>Kaynaklarda heyetin yapısı ile imam mushaf dâhil altı mushafın dağılımına ilişkin farklı rivâyetlerin bulunması, tarihsel ayrıntılar konusunda ihtiyatlı olmayı gerektirmektedir.</w:t>
            </w:r>
          </w:p>
        </w:tc>
        <w:tc>
          <w:tcPr>
            <w:tcW w:type="dxa" w:w="2721"/>
            <w:vAlign w:val="top"/>
            <w:tcMar>
              <w:top w:w="70" w:type="dxa"/>
              <w:start w:w="85" w:type="dxa"/>
              <w:bottom w:w="70" w:type="dxa"/>
              <w:end w:w="85" w:type="dxa"/>
            </w:tcMar>
          </w:tcPr>
          <w:p>
            <w:pPr>
              <w:spacing w:after="0"/>
            </w:pPr>
            <w:r>
              <w:rPr>
                <w:sz w:val="12"/>
              </w:rPr>
              <w:t>Cümle/paragraf uyumu kontrolü; yalnız kelime ikamesi yapma.</w:t>
            </w:r>
          </w:p>
        </w:tc>
      </w:tr>
    </w:tbl>
    <w:p>
      <w:r>
        <w:br w:type="page"/>
      </w:r>
    </w:p>
    <w:p>
      <w:pPr>
        <w:pStyle w:val="Heading2"/>
        <w:keepNext/>
      </w:pPr>
      <w:r>
        <w:t>EK C. Sonuç Bölümü Dışındaki “Sonuç olarak” Kullanımlarının Kapatma Listesi</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737"/>
            <w:shd w:fill="D9EAF7"/>
          </w:tcPr>
          <w:p>
            <w:r>
              <w:rPr>
                <w:b/>
                <w:sz w:val="13"/>
              </w:rPr>
              <w:t>Paragraf</w:t>
            </w:r>
          </w:p>
        </w:tc>
        <w:tc>
          <w:tcPr>
            <w:tcW w:type="dxa" w:w="1474"/>
            <w:shd w:fill="D9EAF7"/>
          </w:tcPr>
          <w:p>
            <w:r>
              <w:rPr>
                <w:b/>
                <w:sz w:val="13"/>
              </w:rPr>
              <w:t>Yer</w:t>
            </w:r>
          </w:p>
        </w:tc>
        <w:tc>
          <w:tcPr>
            <w:tcW w:type="dxa" w:w="1701"/>
            <w:shd w:fill="D9EAF7"/>
          </w:tcPr>
          <w:p>
            <w:r>
              <w:rPr>
                <w:b/>
                <w:sz w:val="13"/>
              </w:rPr>
              <w:t>Sınıf</w:t>
            </w:r>
          </w:p>
        </w:tc>
        <w:tc>
          <w:tcPr>
            <w:tcW w:type="dxa" w:w="1417"/>
            <w:shd w:fill="D9EAF7"/>
          </w:tcPr>
          <w:p>
            <w:r>
              <w:rPr>
                <w:b/>
                <w:sz w:val="13"/>
              </w:rPr>
              <w:t>Mevcut açılış</w:t>
            </w:r>
          </w:p>
        </w:tc>
        <w:tc>
          <w:tcPr>
            <w:tcW w:type="dxa" w:w="1701"/>
            <w:shd w:fill="D9EAF7"/>
          </w:tcPr>
          <w:p>
            <w:r>
              <w:rPr>
                <w:b/>
                <w:sz w:val="13"/>
              </w:rPr>
              <w:t>Karar</w:t>
            </w:r>
          </w:p>
        </w:tc>
        <w:tc>
          <w:tcPr>
            <w:tcW w:type="dxa" w:w="3231"/>
            <w:shd w:fill="D9EAF7"/>
          </w:tcPr>
          <w:p>
            <w:r>
              <w:rPr>
                <w:b/>
                <w:sz w:val="13"/>
              </w:rPr>
              <w:t>Öneri</w:t>
            </w:r>
          </w:p>
        </w:tc>
      </w:tr>
      <w:tr>
        <w:trPr>
          <w:cantSplit/>
        </w:trPr>
        <w:tc>
          <w:tcPr>
            <w:tcW w:type="dxa" w:w="737"/>
            <w:vAlign w:val="top"/>
            <w:tcMar>
              <w:top w:w="70" w:type="dxa"/>
              <w:start w:w="85" w:type="dxa"/>
              <w:bottom w:w="70" w:type="dxa"/>
              <w:end w:w="85" w:type="dxa"/>
            </w:tcMar>
          </w:tcPr>
          <w:p>
            <w:pPr>
              <w:spacing w:after="0"/>
            </w:pPr>
            <w:r>
              <w:rPr>
                <w:sz w:val="13"/>
              </w:rPr>
              <w:t>133</w:t>
            </w:r>
          </w:p>
        </w:tc>
        <w:tc>
          <w:tcPr>
            <w:tcW w:type="dxa" w:w="1474"/>
            <w:vAlign w:val="top"/>
            <w:tcMar>
              <w:top w:w="70" w:type="dxa"/>
              <w:start w:w="85" w:type="dxa"/>
              <w:bottom w:w="70" w:type="dxa"/>
              <w:end w:w="85" w:type="dxa"/>
            </w:tcMar>
          </w:tcPr>
          <w:p>
            <w:pPr>
              <w:spacing w:after="0"/>
            </w:pPr>
            <w:r>
              <w:rPr>
                <w:sz w:val="13"/>
              </w:rPr>
              <w:t>1.6.2</w:t>
            </w:r>
          </w:p>
        </w:tc>
        <w:tc>
          <w:tcPr>
            <w:tcW w:type="dxa" w:w="1701"/>
            <w:vAlign w:val="top"/>
            <w:tcMar>
              <w:top w:w="70" w:type="dxa"/>
              <w:start w:w="85" w:type="dxa"/>
              <w:bottom w:w="70" w:type="dxa"/>
              <w:end w:w="85" w:type="dxa"/>
            </w:tcMar>
          </w:tcPr>
          <w:p>
            <w:pPr>
              <w:spacing w:after="0"/>
            </w:pPr>
            <w:r>
              <w:rPr>
                <w:sz w:val="13"/>
              </w:rPr>
              <w:t>D: Yapay mini-sonuç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Geçişe dönüştür</w:t>
            </w:r>
          </w:p>
        </w:tc>
        <w:tc>
          <w:tcPr>
            <w:tcW w:type="dxa" w:w="3231"/>
            <w:vAlign w:val="top"/>
            <w:tcMar>
              <w:top w:w="70" w:type="dxa"/>
              <w:start w:w="85" w:type="dxa"/>
              <w:bottom w:w="70" w:type="dxa"/>
              <w:end w:w="85" w:type="dxa"/>
            </w:tcMar>
          </w:tcPr>
          <w:p>
            <w:pPr>
              <w:spacing w:after="0"/>
            </w:pPr>
            <w:r>
              <w:rPr>
                <w:sz w:val="13"/>
              </w:rPr>
              <w:t>“Cürcânî ve Kastallânî’nin tanımları... sonraki tartışma için kavramsal zemin sağlar.”</w:t>
            </w:r>
          </w:p>
        </w:tc>
      </w:tr>
      <w:tr>
        <w:trPr>
          <w:cantSplit/>
        </w:trPr>
        <w:tc>
          <w:tcPr>
            <w:tcW w:type="dxa" w:w="737"/>
            <w:vAlign w:val="top"/>
            <w:tcMar>
              <w:top w:w="70" w:type="dxa"/>
              <w:start w:w="85" w:type="dxa"/>
              <w:bottom w:w="70" w:type="dxa"/>
              <w:end w:w="85" w:type="dxa"/>
            </w:tcMar>
          </w:tcPr>
          <w:p>
            <w:pPr>
              <w:spacing w:after="0"/>
            </w:pPr>
            <w:r>
              <w:rPr>
                <w:sz w:val="13"/>
              </w:rPr>
              <w:t>140</w:t>
            </w:r>
          </w:p>
        </w:tc>
        <w:tc>
          <w:tcPr>
            <w:tcW w:type="dxa" w:w="1474"/>
            <w:vAlign w:val="top"/>
            <w:tcMar>
              <w:top w:w="70" w:type="dxa"/>
              <w:start w:w="85" w:type="dxa"/>
              <w:bottom w:w="70" w:type="dxa"/>
              <w:end w:w="85" w:type="dxa"/>
            </w:tcMar>
          </w:tcPr>
          <w:p>
            <w:pPr>
              <w:spacing w:after="0"/>
            </w:pPr>
            <w:r>
              <w:rPr>
                <w:sz w:val="13"/>
              </w:rPr>
              <w:t>1.7</w:t>
            </w:r>
          </w:p>
        </w:tc>
        <w:tc>
          <w:tcPr>
            <w:tcW w:type="dxa" w:w="1701"/>
            <w:vAlign w:val="top"/>
            <w:tcMar>
              <w:top w:w="70" w:type="dxa"/>
              <w:start w:w="85" w:type="dxa"/>
              <w:bottom w:w="70" w:type="dxa"/>
              <w:end w:w="85" w:type="dxa"/>
            </w:tcMar>
          </w:tcPr>
          <w:p>
            <w:pPr>
              <w:spacing w:after="0"/>
            </w:pPr>
            <w:r>
              <w:rPr>
                <w:sz w:val="13"/>
              </w:rPr>
              <w:t>C/D: Tekrar + mini-sonuç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Bir önceki paragrafa yedir</w:t>
            </w:r>
          </w:p>
        </w:tc>
        <w:tc>
          <w:tcPr>
            <w:tcW w:type="dxa" w:w="3231"/>
            <w:vAlign w:val="top"/>
            <w:tcMar>
              <w:top w:w="70" w:type="dxa"/>
              <w:start w:w="85" w:type="dxa"/>
              <w:bottom w:w="70" w:type="dxa"/>
              <w:end w:w="85" w:type="dxa"/>
            </w:tcMar>
          </w:tcPr>
          <w:p>
            <w:pPr>
              <w:spacing w:after="0"/>
            </w:pPr>
            <w:r>
              <w:rPr>
                <w:sz w:val="13"/>
              </w:rPr>
              <w:t>“Bu yönüyle es-Sicistânî...”</w:t>
            </w:r>
          </w:p>
        </w:tc>
      </w:tr>
      <w:tr>
        <w:trPr>
          <w:cantSplit/>
        </w:trPr>
        <w:tc>
          <w:tcPr>
            <w:tcW w:type="dxa" w:w="737"/>
            <w:vAlign w:val="top"/>
            <w:tcMar>
              <w:top w:w="70" w:type="dxa"/>
              <w:start w:w="85" w:type="dxa"/>
              <w:bottom w:w="70" w:type="dxa"/>
              <w:end w:w="85" w:type="dxa"/>
            </w:tcMar>
          </w:tcPr>
          <w:p>
            <w:pPr>
              <w:spacing w:after="0"/>
            </w:pPr>
            <w:r>
              <w:rPr>
                <w:sz w:val="13"/>
              </w:rPr>
              <w:t>145</w:t>
            </w:r>
          </w:p>
        </w:tc>
        <w:tc>
          <w:tcPr>
            <w:tcW w:type="dxa" w:w="1474"/>
            <w:vAlign w:val="top"/>
            <w:tcMar>
              <w:top w:w="70" w:type="dxa"/>
              <w:start w:w="85" w:type="dxa"/>
              <w:bottom w:w="70" w:type="dxa"/>
              <w:end w:w="85" w:type="dxa"/>
            </w:tcMar>
          </w:tcPr>
          <w:p>
            <w:pPr>
              <w:spacing w:after="0"/>
            </w:pPr>
            <w:r>
              <w:rPr>
                <w:sz w:val="13"/>
              </w:rPr>
              <w:t>1.7</w:t>
            </w:r>
          </w:p>
        </w:tc>
        <w:tc>
          <w:tcPr>
            <w:tcW w:type="dxa" w:w="1701"/>
            <w:vAlign w:val="top"/>
            <w:tcMar>
              <w:top w:w="70" w:type="dxa"/>
              <w:start w:w="85" w:type="dxa"/>
              <w:bottom w:w="70" w:type="dxa"/>
              <w:end w:w="85" w:type="dxa"/>
            </w:tcMar>
          </w:tcPr>
          <w:p>
            <w:pPr>
              <w:spacing w:after="0"/>
            </w:pPr>
            <w:r>
              <w:rPr>
                <w:sz w:val="13"/>
              </w:rPr>
              <w:t>D: Ara kapanış</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Çağdaş literatüre köprü yap</w:t>
            </w:r>
          </w:p>
        </w:tc>
        <w:tc>
          <w:tcPr>
            <w:tcW w:type="dxa" w:w="3231"/>
            <w:vAlign w:val="top"/>
            <w:tcMar>
              <w:top w:w="70" w:type="dxa"/>
              <w:start w:w="85" w:type="dxa"/>
              <w:bottom w:w="70" w:type="dxa"/>
              <w:end w:w="85" w:type="dxa"/>
            </w:tcMar>
          </w:tcPr>
          <w:p>
            <w:pPr>
              <w:spacing w:after="0"/>
            </w:pPr>
            <w:r>
              <w:rPr>
                <w:sz w:val="13"/>
              </w:rPr>
              <w:t>“Bu erken değerlendirmelerin ardından çağdaş araştırmalarda...”</w:t>
            </w:r>
          </w:p>
        </w:tc>
      </w:tr>
      <w:tr>
        <w:trPr>
          <w:cantSplit/>
        </w:trPr>
        <w:tc>
          <w:tcPr>
            <w:tcW w:type="dxa" w:w="737"/>
            <w:vAlign w:val="top"/>
            <w:tcMar>
              <w:top w:w="70" w:type="dxa"/>
              <w:start w:w="85" w:type="dxa"/>
              <w:bottom w:w="70" w:type="dxa"/>
              <w:end w:w="85" w:type="dxa"/>
            </w:tcMar>
          </w:tcPr>
          <w:p>
            <w:pPr>
              <w:spacing w:after="0"/>
            </w:pPr>
            <w:r>
              <w:rPr>
                <w:sz w:val="13"/>
              </w:rPr>
              <w:t>151</w:t>
            </w:r>
          </w:p>
        </w:tc>
        <w:tc>
          <w:tcPr>
            <w:tcW w:type="dxa" w:w="1474"/>
            <w:vAlign w:val="top"/>
            <w:tcMar>
              <w:top w:w="70" w:type="dxa"/>
              <w:start w:w="85" w:type="dxa"/>
              <w:bottom w:w="70" w:type="dxa"/>
              <w:end w:w="85" w:type="dxa"/>
            </w:tcMar>
          </w:tcPr>
          <w:p>
            <w:pPr>
              <w:spacing w:after="0"/>
            </w:pPr>
            <w:r>
              <w:rPr>
                <w:sz w:val="13"/>
              </w:rPr>
              <w:t>1.7</w:t>
            </w:r>
          </w:p>
        </w:tc>
        <w:tc>
          <w:tcPr>
            <w:tcW w:type="dxa" w:w="1701"/>
            <w:vAlign w:val="top"/>
            <w:tcMar>
              <w:top w:w="70" w:type="dxa"/>
              <w:start w:w="85" w:type="dxa"/>
              <w:bottom w:w="70" w:type="dxa"/>
              <w:end w:w="85" w:type="dxa"/>
            </w:tcMar>
          </w:tcPr>
          <w:p>
            <w:pPr>
              <w:spacing w:after="0"/>
            </w:pPr>
            <w:r>
              <w:rPr>
                <w:sz w:val="13"/>
              </w:rPr>
              <w:t>D: İkinci/üçüncü kapanış</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Kısalt</w:t>
            </w:r>
          </w:p>
        </w:tc>
        <w:tc>
          <w:tcPr>
            <w:tcW w:type="dxa" w:w="3231"/>
            <w:vAlign w:val="top"/>
            <w:tcMar>
              <w:top w:w="70" w:type="dxa"/>
              <w:start w:w="85" w:type="dxa"/>
              <w:bottom w:w="70" w:type="dxa"/>
              <w:end w:w="85" w:type="dxa"/>
            </w:tcMar>
          </w:tcPr>
          <w:p>
            <w:pPr>
              <w:spacing w:after="0"/>
            </w:pPr>
            <w:r>
              <w:rPr>
                <w:sz w:val="13"/>
              </w:rPr>
              <w:t>Tek kısa sentez bırak.</w:t>
            </w:r>
          </w:p>
        </w:tc>
      </w:tr>
      <w:tr>
        <w:trPr>
          <w:cantSplit/>
        </w:trPr>
        <w:tc>
          <w:tcPr>
            <w:tcW w:type="dxa" w:w="737"/>
            <w:vAlign w:val="top"/>
            <w:tcMar>
              <w:top w:w="70" w:type="dxa"/>
              <w:start w:w="85" w:type="dxa"/>
              <w:bottom w:w="70" w:type="dxa"/>
              <w:end w:w="85" w:type="dxa"/>
            </w:tcMar>
          </w:tcPr>
          <w:p>
            <w:pPr>
              <w:spacing w:after="0"/>
            </w:pPr>
            <w:r>
              <w:rPr>
                <w:sz w:val="13"/>
              </w:rPr>
              <w:t>171</w:t>
            </w:r>
          </w:p>
        </w:tc>
        <w:tc>
          <w:tcPr>
            <w:tcW w:type="dxa" w:w="1474"/>
            <w:vAlign w:val="top"/>
            <w:tcMar>
              <w:top w:w="70" w:type="dxa"/>
              <w:start w:w="85" w:type="dxa"/>
              <w:bottom w:w="70" w:type="dxa"/>
              <w:end w:w="85" w:type="dxa"/>
            </w:tcMar>
          </w:tcPr>
          <w:p>
            <w:pPr>
              <w:spacing w:after="0"/>
            </w:pPr>
            <w:r>
              <w:rPr>
                <w:sz w:val="13"/>
              </w:rPr>
              <w:t>1.8</w:t>
            </w:r>
          </w:p>
        </w:tc>
        <w:tc>
          <w:tcPr>
            <w:tcW w:type="dxa" w:w="1701"/>
            <w:vAlign w:val="top"/>
            <w:tcMar>
              <w:top w:w="70" w:type="dxa"/>
              <w:start w:w="85" w:type="dxa"/>
              <w:bottom w:w="70" w:type="dxa"/>
              <w:end w:w="85" w:type="dxa"/>
            </w:tcMar>
          </w:tcPr>
          <w:p>
            <w:pPr>
              <w:spacing w:after="0"/>
            </w:pPr>
            <w:r>
              <w:rPr>
                <w:sz w:val="13"/>
              </w:rPr>
              <w:t>A: Gerekli analitik 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Korunabilir; açılış kalıbı çeşitlendirilebilir</w:t>
            </w:r>
          </w:p>
        </w:tc>
        <w:tc>
          <w:tcPr>
            <w:tcW w:type="dxa" w:w="3231"/>
            <w:vAlign w:val="top"/>
            <w:tcMar>
              <w:top w:w="70" w:type="dxa"/>
              <w:start w:w="85" w:type="dxa"/>
              <w:bottom w:w="70" w:type="dxa"/>
              <w:end w:w="85" w:type="dxa"/>
            </w:tcMar>
          </w:tcPr>
          <w:p>
            <w:pPr>
              <w:spacing w:after="0"/>
            </w:pPr>
            <w:r>
              <w:rPr>
                <w:sz w:val="13"/>
              </w:rPr>
              <w:t>“Bu rivâyetler birlikte okunduğunda...”</w:t>
            </w:r>
          </w:p>
        </w:tc>
      </w:tr>
      <w:tr>
        <w:trPr>
          <w:cantSplit/>
        </w:trPr>
        <w:tc>
          <w:tcPr>
            <w:tcW w:type="dxa" w:w="737"/>
            <w:vAlign w:val="top"/>
            <w:tcMar>
              <w:top w:w="70" w:type="dxa"/>
              <w:start w:w="85" w:type="dxa"/>
              <w:bottom w:w="70" w:type="dxa"/>
              <w:end w:w="85" w:type="dxa"/>
            </w:tcMar>
          </w:tcPr>
          <w:p>
            <w:pPr>
              <w:spacing w:after="0"/>
            </w:pPr>
            <w:r>
              <w:rPr>
                <w:sz w:val="13"/>
              </w:rPr>
              <w:t>176</w:t>
            </w:r>
          </w:p>
        </w:tc>
        <w:tc>
          <w:tcPr>
            <w:tcW w:type="dxa" w:w="1474"/>
            <w:vAlign w:val="top"/>
            <w:tcMar>
              <w:top w:w="70" w:type="dxa"/>
              <w:start w:w="85" w:type="dxa"/>
              <w:bottom w:w="70" w:type="dxa"/>
              <w:end w:w="85" w:type="dxa"/>
            </w:tcMar>
          </w:tcPr>
          <w:p>
            <w:pPr>
              <w:spacing w:after="0"/>
            </w:pPr>
            <w:r>
              <w:rPr>
                <w:sz w:val="13"/>
              </w:rPr>
              <w:t>1.9</w:t>
            </w:r>
          </w:p>
        </w:tc>
        <w:tc>
          <w:tcPr>
            <w:tcW w:type="dxa" w:w="1701"/>
            <w:vAlign w:val="top"/>
            <w:tcMar>
              <w:top w:w="70" w:type="dxa"/>
              <w:start w:w="85" w:type="dxa"/>
              <w:bottom w:w="70" w:type="dxa"/>
              <w:end w:w="85" w:type="dxa"/>
            </w:tcMar>
          </w:tcPr>
          <w:p>
            <w:pPr>
              <w:spacing w:after="0"/>
            </w:pPr>
            <w:r>
              <w:rPr>
                <w:sz w:val="13"/>
              </w:rPr>
              <w:t>D: Ayrıntı öncesi erken 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İncelemeye geçiş yap</w:t>
            </w:r>
          </w:p>
        </w:tc>
        <w:tc>
          <w:tcPr>
            <w:tcW w:type="dxa" w:w="3231"/>
            <w:vAlign w:val="top"/>
            <w:tcMar>
              <w:top w:w="70" w:type="dxa"/>
              <w:start w:w="85" w:type="dxa"/>
              <w:bottom w:w="70" w:type="dxa"/>
              <w:end w:w="85" w:type="dxa"/>
            </w:tcMar>
          </w:tcPr>
          <w:p>
            <w:pPr>
              <w:spacing w:after="0"/>
            </w:pPr>
            <w:r>
              <w:rPr>
                <w:sz w:val="13"/>
              </w:rPr>
              <w:t>“Bu genel çerçevenin hangi yazım özellikleri üzerinden...”</w:t>
            </w:r>
          </w:p>
        </w:tc>
      </w:tr>
      <w:tr>
        <w:trPr>
          <w:cantSplit/>
        </w:trPr>
        <w:tc>
          <w:tcPr>
            <w:tcW w:type="dxa" w:w="737"/>
            <w:vAlign w:val="top"/>
            <w:tcMar>
              <w:top w:w="70" w:type="dxa"/>
              <w:start w:w="85" w:type="dxa"/>
              <w:bottom w:w="70" w:type="dxa"/>
              <w:end w:w="85" w:type="dxa"/>
            </w:tcMar>
          </w:tcPr>
          <w:p>
            <w:pPr>
              <w:spacing w:after="0"/>
            </w:pPr>
            <w:r>
              <w:rPr>
                <w:sz w:val="13"/>
              </w:rPr>
              <w:t>185</w:t>
            </w:r>
          </w:p>
        </w:tc>
        <w:tc>
          <w:tcPr>
            <w:tcW w:type="dxa" w:w="1474"/>
            <w:vAlign w:val="top"/>
            <w:tcMar>
              <w:top w:w="70" w:type="dxa"/>
              <w:start w:w="85" w:type="dxa"/>
              <w:bottom w:w="70" w:type="dxa"/>
              <w:end w:w="85" w:type="dxa"/>
            </w:tcMar>
          </w:tcPr>
          <w:p>
            <w:pPr>
              <w:spacing w:after="0"/>
            </w:pPr>
            <w:r>
              <w:rPr>
                <w:sz w:val="13"/>
              </w:rPr>
              <w:t>1.9.1 Hazf</w:t>
            </w:r>
          </w:p>
        </w:tc>
        <w:tc>
          <w:tcPr>
            <w:tcW w:type="dxa" w:w="1701"/>
            <w:vAlign w:val="top"/>
            <w:tcMar>
              <w:top w:w="70" w:type="dxa"/>
              <w:start w:w="85" w:type="dxa"/>
              <w:bottom w:w="70" w:type="dxa"/>
              <w:end w:w="85" w:type="dxa"/>
            </w:tcMar>
          </w:tcPr>
          <w:p>
            <w:pPr>
              <w:spacing w:after="0"/>
            </w:pPr>
            <w:r>
              <w:rPr>
                <w:sz w:val="13"/>
              </w:rPr>
              <w:t>C/D: Örneklerin yeniden özeti</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İki cümleye indir</w:t>
            </w:r>
          </w:p>
        </w:tc>
        <w:tc>
          <w:tcPr>
            <w:tcW w:type="dxa" w:w="3231"/>
            <w:vAlign w:val="top"/>
            <w:tcMar>
              <w:top w:w="70" w:type="dxa"/>
              <w:start w:w="85" w:type="dxa"/>
              <w:bottom w:w="70" w:type="dxa"/>
              <w:end w:w="85" w:type="dxa"/>
            </w:tcMar>
          </w:tcPr>
          <w:p>
            <w:pPr>
              <w:spacing w:after="0"/>
            </w:pPr>
            <w:r>
              <w:rPr>
                <w:sz w:val="13"/>
              </w:rPr>
              <w:t>“Hazf ... yaygın bir özelliktir; kırâatle ilişkisi örneğe göre değişir.”</w:t>
            </w:r>
          </w:p>
        </w:tc>
      </w:tr>
      <w:tr>
        <w:trPr>
          <w:cantSplit/>
        </w:trPr>
        <w:tc>
          <w:tcPr>
            <w:tcW w:type="dxa" w:w="737"/>
            <w:vAlign w:val="top"/>
            <w:tcMar>
              <w:top w:w="70" w:type="dxa"/>
              <w:start w:w="85" w:type="dxa"/>
              <w:bottom w:w="70" w:type="dxa"/>
              <w:end w:w="85" w:type="dxa"/>
            </w:tcMar>
          </w:tcPr>
          <w:p>
            <w:pPr>
              <w:spacing w:after="0"/>
            </w:pPr>
            <w:r>
              <w:rPr>
                <w:sz w:val="13"/>
              </w:rPr>
              <w:t>218</w:t>
            </w:r>
          </w:p>
        </w:tc>
        <w:tc>
          <w:tcPr>
            <w:tcW w:type="dxa" w:w="1474"/>
            <w:vAlign w:val="top"/>
            <w:tcMar>
              <w:top w:w="70" w:type="dxa"/>
              <w:start w:w="85" w:type="dxa"/>
              <w:bottom w:w="70" w:type="dxa"/>
              <w:end w:w="85" w:type="dxa"/>
            </w:tcMar>
          </w:tcPr>
          <w:p>
            <w:pPr>
              <w:spacing w:after="0"/>
            </w:pPr>
            <w:r>
              <w:rPr>
                <w:sz w:val="13"/>
              </w:rPr>
              <w:t>1.10</w:t>
            </w:r>
          </w:p>
        </w:tc>
        <w:tc>
          <w:tcPr>
            <w:tcW w:type="dxa" w:w="1701"/>
            <w:vAlign w:val="top"/>
            <w:tcMar>
              <w:top w:w="70" w:type="dxa"/>
              <w:start w:w="85" w:type="dxa"/>
              <w:bottom w:w="70" w:type="dxa"/>
              <w:end w:w="85" w:type="dxa"/>
            </w:tcMar>
          </w:tcPr>
          <w:p>
            <w:pPr>
              <w:spacing w:after="0"/>
            </w:pPr>
            <w:r>
              <w:rPr>
                <w:sz w:val="13"/>
              </w:rPr>
              <w:t>A/B: Gerekli bölüm sonucu ve geçiş</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Kısalt; 2. bölüme bağla</w:t>
            </w:r>
          </w:p>
        </w:tc>
        <w:tc>
          <w:tcPr>
            <w:tcW w:type="dxa" w:w="3231"/>
            <w:vAlign w:val="top"/>
            <w:tcMar>
              <w:top w:w="70" w:type="dxa"/>
              <w:start w:w="85" w:type="dxa"/>
              <w:bottom w:w="70" w:type="dxa"/>
              <w:end w:w="85" w:type="dxa"/>
            </w:tcMar>
          </w:tcPr>
          <w:p>
            <w:pPr>
              <w:spacing w:after="0"/>
            </w:pPr>
            <w:r>
              <w:rPr>
                <w:sz w:val="13"/>
              </w:rPr>
              <w:t>“Bu yazılı ölçünün sözlü aktarım içindeki yerini...”</w:t>
            </w:r>
          </w:p>
        </w:tc>
      </w:tr>
      <w:tr>
        <w:trPr>
          <w:cantSplit/>
        </w:trPr>
        <w:tc>
          <w:tcPr>
            <w:tcW w:type="dxa" w:w="737"/>
            <w:vAlign w:val="top"/>
            <w:tcMar>
              <w:top w:w="70" w:type="dxa"/>
              <w:start w:w="85" w:type="dxa"/>
              <w:bottom w:w="70" w:type="dxa"/>
              <w:end w:w="85" w:type="dxa"/>
            </w:tcMar>
          </w:tcPr>
          <w:p>
            <w:pPr>
              <w:spacing w:after="0"/>
            </w:pPr>
            <w:r>
              <w:rPr>
                <w:sz w:val="13"/>
              </w:rPr>
              <w:t>250</w:t>
            </w:r>
          </w:p>
        </w:tc>
        <w:tc>
          <w:tcPr>
            <w:tcW w:type="dxa" w:w="1474"/>
            <w:vAlign w:val="top"/>
            <w:tcMar>
              <w:top w:w="70" w:type="dxa"/>
              <w:start w:w="85" w:type="dxa"/>
              <w:bottom w:w="70" w:type="dxa"/>
              <w:end w:w="85" w:type="dxa"/>
            </w:tcMar>
          </w:tcPr>
          <w:p>
            <w:pPr>
              <w:spacing w:after="0"/>
            </w:pPr>
            <w:r>
              <w:rPr>
                <w:sz w:val="13"/>
              </w:rPr>
              <w:t>2.2.3</w:t>
            </w:r>
          </w:p>
        </w:tc>
        <w:tc>
          <w:tcPr>
            <w:tcW w:type="dxa" w:w="1701"/>
            <w:vAlign w:val="top"/>
            <w:tcMar>
              <w:top w:w="70" w:type="dxa"/>
              <w:start w:w="85" w:type="dxa"/>
              <w:bottom w:w="70" w:type="dxa"/>
              <w:end w:w="85" w:type="dxa"/>
            </w:tcMar>
          </w:tcPr>
          <w:p>
            <w:pPr>
              <w:spacing w:after="0"/>
            </w:pPr>
            <w:r>
              <w:rPr>
                <w:sz w:val="13"/>
              </w:rPr>
              <w:t>D/B: Uzun mini-sonuç; geçiş ihtiyacı var</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Yedi harf başlığına köprü yap</w:t>
            </w:r>
          </w:p>
        </w:tc>
        <w:tc>
          <w:tcPr>
            <w:tcW w:type="dxa" w:w="3231"/>
            <w:vAlign w:val="top"/>
            <w:tcMar>
              <w:top w:w="70" w:type="dxa"/>
              <w:start w:w="85" w:type="dxa"/>
              <w:bottom w:w="70" w:type="dxa"/>
              <w:end w:w="85" w:type="dxa"/>
            </w:tcMar>
          </w:tcPr>
          <w:p>
            <w:pPr>
              <w:spacing w:after="0"/>
            </w:pPr>
            <w:r>
              <w:rPr>
                <w:sz w:val="13"/>
              </w:rPr>
              <w:t>“Bu aktarım düzeninin yazılı mushafla ilişkisi...”</w:t>
            </w:r>
          </w:p>
        </w:tc>
      </w:tr>
      <w:tr>
        <w:trPr>
          <w:cantSplit/>
        </w:trPr>
        <w:tc>
          <w:tcPr>
            <w:tcW w:type="dxa" w:w="737"/>
            <w:vAlign w:val="top"/>
            <w:tcMar>
              <w:top w:w="70" w:type="dxa"/>
              <w:start w:w="85" w:type="dxa"/>
              <w:bottom w:w="70" w:type="dxa"/>
              <w:end w:w="85" w:type="dxa"/>
            </w:tcMar>
          </w:tcPr>
          <w:p>
            <w:pPr>
              <w:spacing w:after="0"/>
            </w:pPr>
            <w:r>
              <w:rPr>
                <w:sz w:val="13"/>
              </w:rPr>
              <w:t>260</w:t>
            </w:r>
          </w:p>
        </w:tc>
        <w:tc>
          <w:tcPr>
            <w:tcW w:type="dxa" w:w="1474"/>
            <w:vAlign w:val="top"/>
            <w:tcMar>
              <w:top w:w="70" w:type="dxa"/>
              <w:start w:w="85" w:type="dxa"/>
              <w:bottom w:w="70" w:type="dxa"/>
              <w:end w:w="85" w:type="dxa"/>
            </w:tcMar>
          </w:tcPr>
          <w:p>
            <w:pPr>
              <w:spacing w:after="0"/>
            </w:pPr>
            <w:r>
              <w:rPr>
                <w:sz w:val="13"/>
              </w:rPr>
              <w:t>2.3</w:t>
            </w:r>
          </w:p>
        </w:tc>
        <w:tc>
          <w:tcPr>
            <w:tcW w:type="dxa" w:w="1701"/>
            <w:vAlign w:val="top"/>
            <w:tcMar>
              <w:top w:w="70" w:type="dxa"/>
              <w:start w:w="85" w:type="dxa"/>
              <w:bottom w:w="70" w:type="dxa"/>
              <w:end w:w="85" w:type="dxa"/>
            </w:tcMar>
          </w:tcPr>
          <w:p>
            <w:pPr>
              <w:spacing w:after="0"/>
            </w:pPr>
            <w:r>
              <w:rPr>
                <w:sz w:val="13"/>
              </w:rPr>
              <w:t>A/B: İşlevsel sentez fakat uzun</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Kısalt ve 2.4’e bağla</w:t>
            </w:r>
          </w:p>
        </w:tc>
        <w:tc>
          <w:tcPr>
            <w:tcW w:type="dxa" w:w="3231"/>
            <w:vAlign w:val="top"/>
            <w:tcMar>
              <w:top w:w="70" w:type="dxa"/>
              <w:start w:w="85" w:type="dxa"/>
              <w:bottom w:w="70" w:type="dxa"/>
              <w:end w:w="85" w:type="dxa"/>
            </w:tcMar>
          </w:tcPr>
          <w:p>
            <w:pPr>
              <w:spacing w:after="0"/>
            </w:pPr>
            <w:r>
              <w:rPr>
                <w:sz w:val="13"/>
              </w:rPr>
              <w:t>“Bu farklı görüşler ... ortak başvuru metni...”</w:t>
            </w:r>
          </w:p>
        </w:tc>
      </w:tr>
      <w:tr>
        <w:trPr>
          <w:cantSplit/>
        </w:trPr>
        <w:tc>
          <w:tcPr>
            <w:tcW w:type="dxa" w:w="737"/>
            <w:vAlign w:val="top"/>
            <w:tcMar>
              <w:top w:w="70" w:type="dxa"/>
              <w:start w:w="85" w:type="dxa"/>
              <w:bottom w:w="70" w:type="dxa"/>
              <w:end w:w="85" w:type="dxa"/>
            </w:tcMar>
          </w:tcPr>
          <w:p>
            <w:pPr>
              <w:spacing w:after="0"/>
            </w:pPr>
            <w:r>
              <w:rPr>
                <w:sz w:val="13"/>
              </w:rPr>
              <w:t>273</w:t>
            </w:r>
          </w:p>
        </w:tc>
        <w:tc>
          <w:tcPr>
            <w:tcW w:type="dxa" w:w="1474"/>
            <w:vAlign w:val="top"/>
            <w:tcMar>
              <w:top w:w="70" w:type="dxa"/>
              <w:start w:w="85" w:type="dxa"/>
              <w:bottom w:w="70" w:type="dxa"/>
              <w:end w:w="85" w:type="dxa"/>
            </w:tcMar>
          </w:tcPr>
          <w:p>
            <w:pPr>
              <w:spacing w:after="0"/>
            </w:pPr>
            <w:r>
              <w:rPr>
                <w:sz w:val="13"/>
              </w:rPr>
              <w:t>2.4</w:t>
            </w:r>
          </w:p>
        </w:tc>
        <w:tc>
          <w:tcPr>
            <w:tcW w:type="dxa" w:w="1701"/>
            <w:vAlign w:val="top"/>
            <w:tcMar>
              <w:top w:w="70" w:type="dxa"/>
              <w:start w:w="85" w:type="dxa"/>
              <w:bottom w:w="70" w:type="dxa"/>
              <w:end w:w="85" w:type="dxa"/>
            </w:tcMar>
          </w:tcPr>
          <w:p>
            <w:pPr>
              <w:spacing w:after="0"/>
            </w:pPr>
            <w:r>
              <w:rPr>
                <w:sz w:val="13"/>
              </w:rPr>
              <w:t>D/E: Tekrar + aşırı güçlü 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Kısalt; 3. bölüme bağla</w:t>
            </w:r>
          </w:p>
        </w:tc>
        <w:tc>
          <w:tcPr>
            <w:tcW w:type="dxa" w:w="3231"/>
            <w:vAlign w:val="top"/>
            <w:tcMar>
              <w:top w:w="70" w:type="dxa"/>
              <w:start w:w="85" w:type="dxa"/>
              <w:bottom w:w="70" w:type="dxa"/>
              <w:end w:w="85" w:type="dxa"/>
            </w:tcMar>
          </w:tcPr>
          <w:p>
            <w:pPr>
              <w:spacing w:after="0"/>
            </w:pPr>
            <w:r>
              <w:rPr>
                <w:sz w:val="13"/>
              </w:rPr>
              <w:t>“Bu genel çerçevenin somut görünümleri...”</w:t>
            </w:r>
          </w:p>
        </w:tc>
      </w:tr>
      <w:tr>
        <w:trPr>
          <w:cantSplit/>
        </w:trPr>
        <w:tc>
          <w:tcPr>
            <w:tcW w:type="dxa" w:w="737"/>
            <w:vAlign w:val="top"/>
            <w:tcMar>
              <w:top w:w="70" w:type="dxa"/>
              <w:start w:w="85" w:type="dxa"/>
              <w:bottom w:w="70" w:type="dxa"/>
              <w:end w:w="85" w:type="dxa"/>
            </w:tcMar>
          </w:tcPr>
          <w:p>
            <w:pPr>
              <w:spacing w:after="0"/>
            </w:pPr>
            <w:r>
              <w:rPr>
                <w:sz w:val="13"/>
              </w:rPr>
              <w:t>321</w:t>
            </w:r>
          </w:p>
        </w:tc>
        <w:tc>
          <w:tcPr>
            <w:tcW w:type="dxa" w:w="1474"/>
            <w:vAlign w:val="top"/>
            <w:tcMar>
              <w:top w:w="70" w:type="dxa"/>
              <w:start w:w="85" w:type="dxa"/>
              <w:bottom w:w="70" w:type="dxa"/>
              <w:end w:w="85" w:type="dxa"/>
            </w:tcMar>
          </w:tcPr>
          <w:p>
            <w:pPr>
              <w:spacing w:after="0"/>
            </w:pPr>
            <w:r>
              <w:rPr>
                <w:sz w:val="13"/>
              </w:rPr>
              <w:t>3.6</w:t>
            </w:r>
          </w:p>
        </w:tc>
        <w:tc>
          <w:tcPr>
            <w:tcW w:type="dxa" w:w="1701"/>
            <w:vAlign w:val="top"/>
            <w:tcMar>
              <w:top w:w="70" w:type="dxa"/>
              <w:start w:w="85" w:type="dxa"/>
              <w:bottom w:w="70" w:type="dxa"/>
              <w:end w:w="85" w:type="dxa"/>
            </w:tcMar>
          </w:tcPr>
          <w:p>
            <w:pPr>
              <w:spacing w:after="0"/>
            </w:pPr>
            <w:r>
              <w:rPr>
                <w:sz w:val="13"/>
              </w:rPr>
              <w:t>E: Mantıksal hata + 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Üç yaklaşımı doğru say</w:t>
            </w:r>
          </w:p>
        </w:tc>
        <w:tc>
          <w:tcPr>
            <w:tcW w:type="dxa" w:w="3231"/>
            <w:vAlign w:val="top"/>
            <w:tcMar>
              <w:top w:w="70" w:type="dxa"/>
              <w:start w:w="85" w:type="dxa"/>
              <w:bottom w:w="70" w:type="dxa"/>
              <w:end w:w="85" w:type="dxa"/>
            </w:tcMar>
          </w:tcPr>
          <w:p>
            <w:pPr>
              <w:spacing w:after="0"/>
            </w:pPr>
            <w:r>
              <w:rPr>
                <w:sz w:val="13"/>
              </w:rPr>
              <w:t>Önceki rapordaki üçlü formülasyon kullanılmalı.</w:t>
            </w:r>
          </w:p>
        </w:tc>
      </w:tr>
      <w:tr>
        <w:trPr>
          <w:cantSplit/>
        </w:trPr>
        <w:tc>
          <w:tcPr>
            <w:tcW w:type="dxa" w:w="737"/>
            <w:vAlign w:val="top"/>
            <w:tcMar>
              <w:top w:w="70" w:type="dxa"/>
              <w:start w:w="85" w:type="dxa"/>
              <w:bottom w:w="70" w:type="dxa"/>
              <w:end w:w="85" w:type="dxa"/>
            </w:tcMar>
          </w:tcPr>
          <w:p>
            <w:pPr>
              <w:spacing w:after="0"/>
            </w:pPr>
            <w:r>
              <w:rPr>
                <w:sz w:val="13"/>
              </w:rPr>
              <w:t>337</w:t>
            </w:r>
          </w:p>
        </w:tc>
        <w:tc>
          <w:tcPr>
            <w:tcW w:type="dxa" w:w="1474"/>
            <w:vAlign w:val="top"/>
            <w:tcMar>
              <w:top w:w="70" w:type="dxa"/>
              <w:start w:w="85" w:type="dxa"/>
              <w:bottom w:w="70" w:type="dxa"/>
              <w:end w:w="85" w:type="dxa"/>
            </w:tcMar>
          </w:tcPr>
          <w:p>
            <w:pPr>
              <w:spacing w:after="0"/>
            </w:pPr>
            <w:r>
              <w:rPr>
                <w:sz w:val="13"/>
              </w:rPr>
              <w:t>3.8</w:t>
            </w:r>
          </w:p>
        </w:tc>
        <w:tc>
          <w:tcPr>
            <w:tcW w:type="dxa" w:w="1701"/>
            <w:vAlign w:val="top"/>
            <w:tcMar>
              <w:top w:w="70" w:type="dxa"/>
              <w:start w:w="85" w:type="dxa"/>
              <w:bottom w:w="70" w:type="dxa"/>
              <w:end w:w="85" w:type="dxa"/>
            </w:tcMar>
          </w:tcPr>
          <w:p>
            <w:pPr>
              <w:spacing w:after="0"/>
            </w:pPr>
            <w:r>
              <w:rPr>
                <w:sz w:val="13"/>
              </w:rPr>
              <w:t>D: Normatif mini-sonuç</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Kısalt ve görüş sahibini belirginleştir</w:t>
            </w:r>
          </w:p>
        </w:tc>
        <w:tc>
          <w:tcPr>
            <w:tcW w:type="dxa" w:w="3231"/>
            <w:vAlign w:val="top"/>
            <w:tcMar>
              <w:top w:w="70" w:type="dxa"/>
              <w:start w:w="85" w:type="dxa"/>
              <w:bottom w:w="70" w:type="dxa"/>
              <w:end w:w="85" w:type="dxa"/>
            </w:tcMar>
          </w:tcPr>
          <w:p>
            <w:pPr>
              <w:spacing w:after="0"/>
            </w:pPr>
            <w:r>
              <w:rPr>
                <w:sz w:val="13"/>
              </w:rPr>
              <w:t>“Bu değerlendirmeler, bazı müelliflerin...”</w:t>
            </w:r>
          </w:p>
        </w:tc>
      </w:tr>
      <w:tr>
        <w:trPr>
          <w:cantSplit/>
        </w:trPr>
        <w:tc>
          <w:tcPr>
            <w:tcW w:type="dxa" w:w="737"/>
            <w:vAlign w:val="top"/>
            <w:tcMar>
              <w:top w:w="70" w:type="dxa"/>
              <w:start w:w="85" w:type="dxa"/>
              <w:bottom w:w="70" w:type="dxa"/>
              <w:end w:w="85" w:type="dxa"/>
            </w:tcMar>
          </w:tcPr>
          <w:p>
            <w:pPr>
              <w:spacing w:after="0"/>
            </w:pPr>
            <w:r>
              <w:rPr>
                <w:sz w:val="13"/>
              </w:rPr>
              <w:t>406</w:t>
            </w:r>
          </w:p>
        </w:tc>
        <w:tc>
          <w:tcPr>
            <w:tcW w:type="dxa" w:w="1474"/>
            <w:vAlign w:val="top"/>
            <w:tcMar>
              <w:top w:w="70" w:type="dxa"/>
              <w:start w:w="85" w:type="dxa"/>
              <w:bottom w:w="70" w:type="dxa"/>
              <w:end w:w="85" w:type="dxa"/>
            </w:tcMar>
          </w:tcPr>
          <w:p>
            <w:pPr>
              <w:spacing w:after="0"/>
            </w:pPr>
            <w:r>
              <w:rPr>
                <w:sz w:val="13"/>
              </w:rPr>
              <w:t>4.2</w:t>
            </w:r>
          </w:p>
        </w:tc>
        <w:tc>
          <w:tcPr>
            <w:tcW w:type="dxa" w:w="1701"/>
            <w:vAlign w:val="top"/>
            <w:tcMar>
              <w:top w:w="70" w:type="dxa"/>
              <w:start w:w="85" w:type="dxa"/>
              <w:bottom w:w="70" w:type="dxa"/>
              <w:end w:w="85" w:type="dxa"/>
            </w:tcMar>
          </w:tcPr>
          <w:p>
            <w:pPr>
              <w:spacing w:after="0"/>
            </w:pPr>
            <w:r>
              <w:rPr>
                <w:sz w:val="13"/>
              </w:rPr>
              <w:t>D/E: İkinci sonuç + retorik genelleme</w:t>
            </w:r>
          </w:p>
        </w:tc>
        <w:tc>
          <w:tcPr>
            <w:tcW w:type="dxa" w:w="1417"/>
            <w:vAlign w:val="top"/>
            <w:tcMar>
              <w:top w:w="70" w:type="dxa"/>
              <w:start w:w="85" w:type="dxa"/>
              <w:bottom w:w="70" w:type="dxa"/>
              <w:end w:w="85" w:type="dxa"/>
            </w:tcMar>
          </w:tcPr>
          <w:p>
            <w:pPr>
              <w:spacing w:after="0"/>
            </w:pPr>
            <w:r>
              <w:rPr>
                <w:sz w:val="13"/>
              </w:rPr>
              <w:t>Sonuç olarak</w:t>
            </w:r>
          </w:p>
        </w:tc>
        <w:tc>
          <w:tcPr>
            <w:tcW w:type="dxa" w:w="1701"/>
            <w:vAlign w:val="top"/>
            <w:tcMar>
              <w:top w:w="70" w:type="dxa"/>
              <w:start w:w="85" w:type="dxa"/>
              <w:bottom w:w="70" w:type="dxa"/>
              <w:end w:w="85" w:type="dxa"/>
            </w:tcMar>
          </w:tcPr>
          <w:p>
            <w:pPr>
              <w:spacing w:after="0"/>
            </w:pPr>
            <w:r>
              <w:rPr>
                <w:sz w:val="13"/>
              </w:rPr>
              <w:t>Tarihsel tanıklık/normatif otorite ayrımına dönüştür</w:t>
            </w:r>
          </w:p>
        </w:tc>
        <w:tc>
          <w:tcPr>
            <w:tcW w:type="dxa" w:w="3231"/>
            <w:vAlign w:val="top"/>
            <w:tcMar>
              <w:top w:w="70" w:type="dxa"/>
              <w:start w:w="85" w:type="dxa"/>
              <w:bottom w:w="70" w:type="dxa"/>
              <w:end w:w="85" w:type="dxa"/>
            </w:tcMar>
          </w:tcPr>
          <w:p>
            <w:pPr>
              <w:spacing w:after="0"/>
            </w:pPr>
            <w:r>
              <w:rPr>
                <w:sz w:val="13"/>
              </w:rPr>
              <w:t>“Sahâbe mushaflarının dolaşımdan çıkarılmasına ilişkin rivâyetler...”</w:t>
            </w:r>
          </w:p>
        </w:tc>
      </w:tr>
    </w:tbl>
    <w:p>
      <w:r>
        <w:br w:type="page"/>
      </w:r>
    </w:p>
    <w:p>
      <w:pPr>
        <w:pStyle w:val="Heading2"/>
        <w:keepNext/>
      </w:pPr>
      <w:r>
        <w:t>EK D. Bütün Kırmızı Metin Taşıyan Paragrafların Kompakt Sicili</w:t>
      </w:r>
    </w:p>
    <w:p>
      <w:r>
        <w:t>Bu sicil, “redaktör işaretlerinin tamamı kapatıldı mı?” sorusuna mekanik bir kontrol zemini sağlar. 183 paragrafın her biri burada yer alır. Bu tabloda yalnız yer ve kırmızı içerik özeti verilir; ayrıntılı kararlar Ek A/B ve ana rapordaki ilgili maddelerle birlikte uygulanmalıdır.</w:t>
      </w:r>
    </w:p>
    <w:tbl>
      <w:tblPr>
        <w:tblStyle w:val="TableGrid"/>
        <w:tblW w:type="auto" w:w="0"/>
        <w:jc w:val="center"/>
        <w:tblLook w:firstColumn="1" w:firstRow="1" w:lastColumn="0" w:lastRow="0" w:noHBand="0" w:noVBand="1" w:val="04A0"/>
      </w:tblPr>
      <w:tblGrid>
        <w:gridCol w:w="2436"/>
        <w:gridCol w:w="2436"/>
        <w:gridCol w:w="2436"/>
        <w:gridCol w:w="2436"/>
      </w:tblGrid>
      <w:tr>
        <w:trPr>
          <w:tblHeader w:val="true"/>
        </w:trPr>
        <w:tc>
          <w:tcPr>
            <w:tcW w:type="dxa" w:w="2381"/>
            <w:shd w:fill="D9EAF7"/>
          </w:tcPr>
          <w:p>
            <w:r>
              <w:rPr>
                <w:b/>
                <w:sz w:val="12"/>
              </w:rPr>
              <w:t>Yer</w:t>
            </w:r>
          </w:p>
        </w:tc>
        <w:tc>
          <w:tcPr>
            <w:tcW w:type="dxa" w:w="567"/>
            <w:shd w:fill="D9EAF7"/>
          </w:tcPr>
          <w:p>
            <w:r>
              <w:rPr>
                <w:b/>
                <w:sz w:val="12"/>
              </w:rPr>
              <w:t>P</w:t>
            </w:r>
          </w:p>
        </w:tc>
        <w:tc>
          <w:tcPr>
            <w:tcW w:type="dxa" w:w="1247"/>
            <w:shd w:fill="D9EAF7"/>
          </w:tcPr>
          <w:p>
            <w:r>
              <w:rPr>
                <w:b/>
                <w:sz w:val="12"/>
              </w:rPr>
              <w:t>Etiket</w:t>
            </w:r>
          </w:p>
        </w:tc>
        <w:tc>
          <w:tcPr>
            <w:tcW w:type="dxa" w:w="5953"/>
            <w:shd w:fill="D9EAF7"/>
          </w:tcPr>
          <w:p>
            <w:r>
              <w:rPr>
                <w:b/>
                <w:sz w:val="12"/>
              </w:rPr>
              <w:t>Kırmızı içerik özeti</w:t>
            </w:r>
          </w:p>
        </w:tc>
      </w:tr>
      <w:tr>
        <w:trPr>
          <w:cantSplit/>
        </w:trPr>
        <w:tc>
          <w:tcPr>
            <w:tcW w:type="dxa" w:w="2381"/>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P20</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Vahyin nüzûlüyle yazının kullanım alanı genişlemiş; Kur'an'ın kayda geçirilmesi, sözlü aktarımı tamamlayan ve onun güvenilirliğini pekiştiren bir muhafaza vasıtası olarak gelişmiştir.Kaynaklarda heyetin yapısı, mushafların sayısı ve gönderildikleri şehirler ha…</w:t>
            </w:r>
          </w:p>
        </w:tc>
      </w:tr>
      <w:tr>
        <w:trPr>
          <w:cantSplit/>
        </w:trPr>
        <w:tc>
          <w:tcPr>
            <w:tcW w:type="dxa" w:w="2381"/>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P25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P32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Giriş</w:t>
            </w:r>
          </w:p>
        </w:tc>
        <w:tc>
          <w:tcPr>
            <w:tcW w:type="dxa" w:w="567"/>
            <w:vAlign w:val="top"/>
            <w:tcMar>
              <w:top w:w="70" w:type="dxa"/>
              <w:start w:w="85" w:type="dxa"/>
              <w:bottom w:w="70" w:type="dxa"/>
              <w:end w:w="85" w:type="dxa"/>
            </w:tcMar>
          </w:tcPr>
          <w:p>
            <w:pPr>
              <w:spacing w:after="0"/>
            </w:pPr>
            <w:r>
              <w:rPr>
                <w:sz w:val="12"/>
              </w:rPr>
              <w:t>P35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P48</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el-Bağ</w:t>
            </w:r>
          </w:p>
        </w:tc>
      </w:tr>
      <w:tr>
        <w:trPr>
          <w:cantSplit/>
        </w:trPr>
        <w:tc>
          <w:tcPr>
            <w:tcW w:type="dxa" w:w="2381"/>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P51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P54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1.1 İslâm’dan Önce Arap Yazısının Durumu</w:t>
            </w:r>
          </w:p>
        </w:tc>
        <w:tc>
          <w:tcPr>
            <w:tcW w:type="dxa" w:w="567"/>
            <w:vAlign w:val="top"/>
            <w:tcMar>
              <w:top w:w="70" w:type="dxa"/>
              <w:start w:w="85" w:type="dxa"/>
              <w:bottom w:w="70" w:type="dxa"/>
              <w:end w:w="85" w:type="dxa"/>
            </w:tcMar>
          </w:tcPr>
          <w:p>
            <w:pPr>
              <w:spacing w:after="0"/>
            </w:pPr>
            <w:r>
              <w:rPr>
                <w:sz w:val="12"/>
              </w:rPr>
              <w:t>P57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Bütün bu veriler bir arada değerlendirildiğinde</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P59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eğil</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P62</w:t>
            </w:r>
          </w:p>
        </w:tc>
        <w:tc>
          <w:tcPr>
            <w:tcW w:type="dxa" w:w="1247"/>
            <w:vAlign w:val="top"/>
            <w:tcMar>
              <w:top w:w="70" w:type="dxa"/>
              <w:start w:w="85" w:type="dxa"/>
              <w:bottom w:w="70" w:type="dxa"/>
              <w:end w:w="85" w:type="dxa"/>
            </w:tcMar>
          </w:tcPr>
          <w:p>
            <w:pPr>
              <w:spacing w:after="0"/>
            </w:pPr>
            <w:r>
              <w:rPr>
                <w:sz w:val="12"/>
              </w:rPr>
              <w:t>değil, uzun</w:t>
            </w:r>
          </w:p>
        </w:tc>
        <w:tc>
          <w:tcPr>
            <w:tcW w:type="dxa" w:w="5953"/>
            <w:vAlign w:val="top"/>
            <w:tcMar>
              <w:top w:w="70" w:type="dxa"/>
              <w:start w:w="85" w:type="dxa"/>
              <w:bottom w:w="70" w:type="dxa"/>
              <w:end w:w="85" w:type="dxa"/>
            </w:tcMar>
          </w:tcPr>
          <w:p>
            <w:pPr>
              <w:spacing w:after="0"/>
            </w:pPr>
            <w:r>
              <w:rPr>
                <w:sz w:val="12"/>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P63</w:t>
            </w:r>
          </w:p>
        </w:tc>
        <w:tc>
          <w:tcPr>
            <w:tcW w:type="dxa" w:w="1247"/>
            <w:vAlign w:val="top"/>
            <w:tcMar>
              <w:top w:w="70" w:type="dxa"/>
              <w:start w:w="85" w:type="dxa"/>
              <w:bottom w:w="70" w:type="dxa"/>
              <w:end w:w="85" w:type="dxa"/>
            </w:tcMar>
          </w:tcPr>
          <w:p>
            <w:pPr>
              <w:spacing w:after="0"/>
            </w:pPr>
            <w:r>
              <w:rPr>
                <w:sz w:val="12"/>
              </w:rPr>
              <w:t>açıkça, not</w:t>
            </w:r>
          </w:p>
        </w:tc>
        <w:tc>
          <w:tcPr>
            <w:tcW w:type="dxa" w:w="5953"/>
            <w:vAlign w:val="top"/>
            <w:tcMar>
              <w:top w:w="70" w:type="dxa"/>
              <w:start w:w="85" w:type="dxa"/>
              <w:bottom w:w="70" w:type="dxa"/>
              <w:end w:w="85" w:type="dxa"/>
            </w:tcMar>
          </w:tcPr>
          <w:p>
            <w:pPr>
              <w:spacing w:after="0"/>
            </w:pPr>
            <w:r>
              <w:rPr>
                <w:sz w:val="12"/>
              </w:rPr>
              <w:t>açıkça ortaya koymaktadır.(bu maddeyi ikinci maddeye yedirecektiniz)</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P65</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Rivâyetlerdeki dağınık bilgilerden hareketle, yazılı vahiy malzemesinin muhafazasına ilişkin iki temel görüş bulunmaktadır.</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1.2 Erken Dönemde Kur’an’ın Yazı ile İlişkisi</w:t>
            </w:r>
          </w:p>
        </w:tc>
        <w:tc>
          <w:tcPr>
            <w:tcW w:type="dxa" w:w="567"/>
            <w:vAlign w:val="top"/>
            <w:tcMar>
              <w:top w:w="70" w:type="dxa"/>
              <w:start w:w="85" w:type="dxa"/>
              <w:bottom w:w="70" w:type="dxa"/>
              <w:end w:w="85" w:type="dxa"/>
            </w:tcMar>
          </w:tcPr>
          <w:p>
            <w:pPr>
              <w:spacing w:after="0"/>
            </w:pPr>
            <w:r>
              <w:rPr>
                <w:sz w:val="12"/>
              </w:rPr>
              <w:t>P67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Her iki yaklaşım birlikte değerlendirildiğinde</w:t>
            </w:r>
          </w:p>
        </w:tc>
      </w:tr>
      <w:tr>
        <w:trPr>
          <w:cantSplit/>
        </w:trPr>
        <w:tc>
          <w:tcPr>
            <w:tcW w:type="dxa" w:w="2381"/>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bu ruhsatın sınırlandırılmasıdır</w:t>
            </w:r>
          </w:p>
        </w:tc>
      </w:tr>
      <w:tr>
        <w:trPr>
          <w:cantSplit/>
        </w:trPr>
        <w:tc>
          <w:tcPr>
            <w:tcW w:type="dxa" w:w="2381"/>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P78</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ifade etmektedir</w:t>
            </w:r>
          </w:p>
        </w:tc>
      </w:tr>
      <w:tr>
        <w:trPr>
          <w:cantSplit/>
        </w:trPr>
        <w:tc>
          <w:tcPr>
            <w:tcW w:type="dxa" w:w="2381"/>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P79</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Osmânî istinsahla yedi harf ruhsatındaki genişliğin sınırlandırıldığı ve ümmetin ortak okuyuş alanının belirli bir çerçeveye bağlandığı ifade edilmiştir.</w:t>
            </w:r>
          </w:p>
        </w:tc>
      </w:tr>
      <w:tr>
        <w:trPr>
          <w:cantSplit/>
        </w:trPr>
        <w:tc>
          <w:tcPr>
            <w:tcW w:type="dxa" w:w="2381"/>
            <w:vAlign w:val="top"/>
            <w:tcMar>
              <w:top w:w="70" w:type="dxa"/>
              <w:start w:w="85" w:type="dxa"/>
              <w:bottom w:w="70" w:type="dxa"/>
              <w:end w:w="85" w:type="dxa"/>
            </w:tcMar>
          </w:tcPr>
          <w:p>
            <w:pPr>
              <w:spacing w:after="0"/>
            </w:pPr>
            <w:r>
              <w:rPr>
                <w:sz w:val="12"/>
              </w:rPr>
              <w:t>1.3 Kur’an’ın Mushaflaştırılma İhtiyacı ve Tarihsel Arka Plan</w:t>
            </w:r>
          </w:p>
        </w:tc>
        <w:tc>
          <w:tcPr>
            <w:tcW w:type="dxa" w:w="567"/>
            <w:vAlign w:val="top"/>
            <w:tcMar>
              <w:top w:w="70" w:type="dxa"/>
              <w:start w:w="85" w:type="dxa"/>
              <w:bottom w:w="70" w:type="dxa"/>
              <w:end w:w="85" w:type="dxa"/>
            </w:tcMar>
          </w:tcPr>
          <w:p>
            <w:pPr>
              <w:spacing w:after="0"/>
            </w:pPr>
            <w:r>
              <w:rPr>
                <w:sz w:val="12"/>
              </w:rPr>
              <w:t>P80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P82</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Mevcut rivâyetler, Hz. Ömer döneminde ise yeni bir istinsah faaliyetini gerekli kılacak ölçüde yaygın bir kırâat ihtilafının gündeme gelmediğine işaret etmektedir.</w:t>
            </w:r>
          </w:p>
        </w:tc>
      </w:tr>
      <w:tr>
        <w:trPr>
          <w:cantSplit/>
        </w:trPr>
        <w:tc>
          <w:tcPr>
            <w:tcW w:type="dxa" w:w="2381"/>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P84</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(Tâberî’nin ölüm tarihi daha önce geçti mi bakılabilir mi)</w:t>
            </w:r>
          </w:p>
        </w:tc>
      </w:tr>
      <w:tr>
        <w:trPr>
          <w:cantSplit/>
        </w:trPr>
        <w:tc>
          <w:tcPr>
            <w:tcW w:type="dxa" w:w="2381"/>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P90</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şeklinde anlaşılmamalıolarak görülmelidir.Bu tedbirin temelini iseoluşturmaktadır.</w:t>
            </w:r>
          </w:p>
        </w:tc>
      </w:tr>
      <w:tr>
        <w:trPr>
          <w:cantSplit/>
        </w:trPr>
        <w:tc>
          <w:tcPr>
            <w:tcW w:type="dxa" w:w="2381"/>
            <w:vAlign w:val="top"/>
            <w:tcMar>
              <w:top w:w="70" w:type="dxa"/>
              <w:start w:w="85" w:type="dxa"/>
              <w:bottom w:w="70" w:type="dxa"/>
              <w:end w:w="85" w:type="dxa"/>
            </w:tcMar>
          </w:tcPr>
          <w:p>
            <w:pPr>
              <w:spacing w:after="0"/>
            </w:pPr>
            <w:r>
              <w:rPr>
                <w:sz w:val="12"/>
              </w:rPr>
              <w:t>1.4 Resm-i Mushaf’ı Çoğaltmayı Gerektiren Sebepler</w:t>
            </w:r>
          </w:p>
        </w:tc>
        <w:tc>
          <w:tcPr>
            <w:tcW w:type="dxa" w:w="567"/>
            <w:vAlign w:val="top"/>
            <w:tcMar>
              <w:top w:w="70" w:type="dxa"/>
              <w:start w:w="85" w:type="dxa"/>
              <w:bottom w:w="70" w:type="dxa"/>
              <w:end w:w="85" w:type="dxa"/>
            </w:tcMar>
          </w:tcPr>
          <w:p>
            <w:pPr>
              <w:spacing w:after="0"/>
            </w:pPr>
            <w:r>
              <w:rPr>
                <w:sz w:val="12"/>
              </w:rPr>
              <w:t>P95</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dönemde Müslümanlar arasında kırâate yönelik ihtilafların çok vahim bir noktaya geldiği, çözüm bulunmadığı takdirde Müslümanlar arasında bölünmelere ve ayrışmaya dönüşebileceğine dair ciddi bir endişe doğurduğunu göstermektedir.bütünlüğünden çok,</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P102</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bu ölüm tarihi muhtemeln ileriki sayfalarda geçmiştir. İleriki sayfalardan silinmesi lazım</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P106</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bu ölüm tarihi daha önce geçti mi bakılabilir</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P109</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Mevcut rivâyetler ışığında,</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P111</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bireysel kanaatlerin ötesine geçerek büyük ölçüde belli bir yöntemsel zemine dayanan değerlendirmeler hâline gelmiştir.Muhammed Abdülazîm ez-Zürkânî (ö.1948), Subhî es-Sâlih (ö. 1986), Mustafa el-Azamî (ö. 2017),</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P112</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Zürkânî, klasik literatürü sistematik biçimde inceleyerek Dânî, ez-Zerkeşî, İbn Hacer ve Süyûtî'nin değerlendirmelerini karşılaştırmış; "beş şehir" mushafı görüşünün hem rivayet sıhhati hem de tarihî bağlam bakımından daha kuvvetli olduğunu ileri sürmüştür. Zü…</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P114</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Türkiye'de bu yaklaşımı benimseyen</w:t>
            </w:r>
          </w:p>
        </w:tc>
      </w:tr>
      <w:tr>
        <w:trPr>
          <w:cantSplit/>
        </w:trPr>
        <w:tc>
          <w:tcPr>
            <w:tcW w:type="dxa" w:w="2381"/>
            <w:vAlign w:val="top"/>
            <w:tcMar>
              <w:top w:w="70" w:type="dxa"/>
              <w:start w:w="85" w:type="dxa"/>
              <w:bottom w:w="70" w:type="dxa"/>
              <w:end w:w="85" w:type="dxa"/>
            </w:tcMar>
          </w:tcPr>
          <w:p>
            <w:pPr>
              <w:spacing w:after="0"/>
            </w:pPr>
            <w:r>
              <w:rPr>
                <w:sz w:val="12"/>
              </w:rPr>
              <w:t>1.5 Çoğaltılan Mushafların Sayısı ve Gönderildikleri Şehirler</w:t>
            </w:r>
          </w:p>
        </w:tc>
        <w:tc>
          <w:tcPr>
            <w:tcW w:type="dxa" w:w="567"/>
            <w:vAlign w:val="top"/>
            <w:tcMar>
              <w:top w:w="70" w:type="dxa"/>
              <w:start w:w="85" w:type="dxa"/>
              <w:bottom w:w="70" w:type="dxa"/>
              <w:end w:w="85" w:type="dxa"/>
            </w:tcMar>
          </w:tcPr>
          <w:p>
            <w:pPr>
              <w:spacing w:after="0"/>
            </w:pPr>
            <w:r>
              <w:rPr>
                <w:sz w:val="12"/>
              </w:rPr>
              <w:t>P117</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 Bu görüşler birlikte değerlendirildiğinde, beş ana merkez ile halifenin yanında kalan nüshayı ayrı sayan altı nüsha ihtimali savunulabilir.</w:t>
            </w:r>
          </w:p>
        </w:tc>
      </w:tr>
      <w:tr>
        <w:trPr>
          <w:cantSplit/>
        </w:trPr>
        <w:tc>
          <w:tcPr>
            <w:tcW w:type="dxa" w:w="2381"/>
            <w:vAlign w:val="top"/>
            <w:tcMar>
              <w:top w:w="70" w:type="dxa"/>
              <w:start w:w="85" w:type="dxa"/>
              <w:bottom w:w="70" w:type="dxa"/>
              <w:end w:w="85" w:type="dxa"/>
            </w:tcMar>
          </w:tcPr>
          <w:p>
            <w:pPr>
              <w:spacing w:after="0"/>
            </w:pPr>
            <w:r>
              <w:rPr>
                <w:sz w:val="12"/>
              </w:rPr>
              <w:t>1.6 Resm-i Osmânî’nin Kavramsal Çerçevesi ve Tarihsel Oluşumu</w:t>
            </w:r>
          </w:p>
        </w:tc>
        <w:tc>
          <w:tcPr>
            <w:tcW w:type="dxa" w:w="567"/>
            <w:vAlign w:val="top"/>
            <w:tcMar>
              <w:top w:w="70" w:type="dxa"/>
              <w:start w:w="85" w:type="dxa"/>
              <w:bottom w:w="70" w:type="dxa"/>
              <w:end w:w="85" w:type="dxa"/>
            </w:tcMar>
          </w:tcPr>
          <w:p>
            <w:pPr>
              <w:spacing w:after="0"/>
            </w:pPr>
            <w:r>
              <w:rPr>
                <w:sz w:val="12"/>
              </w:rPr>
              <w:t>P120</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aşan ve</w:t>
            </w:r>
          </w:p>
        </w:tc>
      </w:tr>
      <w:tr>
        <w:trPr>
          <w:cantSplit/>
        </w:trPr>
        <w:tc>
          <w:tcPr>
            <w:tcW w:type="dxa" w:w="2381"/>
            <w:vAlign w:val="top"/>
            <w:tcMar>
              <w:top w:w="70" w:type="dxa"/>
              <w:start w:w="85" w:type="dxa"/>
              <w:bottom w:w="70" w:type="dxa"/>
              <w:end w:w="85" w:type="dxa"/>
            </w:tcMar>
          </w:tcPr>
          <w:p>
            <w:pPr>
              <w:spacing w:after="0"/>
            </w:pPr>
            <w:r>
              <w:rPr>
                <w:sz w:val="12"/>
              </w:rPr>
              <w:t>1.6.1 Resm Kavramının Lügavî Temeli</w:t>
            </w:r>
          </w:p>
        </w:tc>
        <w:tc>
          <w:tcPr>
            <w:tcW w:type="dxa" w:w="567"/>
            <w:vAlign w:val="top"/>
            <w:tcMar>
              <w:top w:w="70" w:type="dxa"/>
              <w:start w:w="85" w:type="dxa"/>
              <w:bottom w:w="70" w:type="dxa"/>
              <w:end w:w="85" w:type="dxa"/>
            </w:tcMar>
          </w:tcPr>
          <w:p>
            <w:pPr>
              <w:spacing w:after="0"/>
            </w:pPr>
            <w:r>
              <w:rPr>
                <w:sz w:val="12"/>
              </w:rPr>
              <w:t>P124</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Bu tespitler, resmin geçici bir olgudan çok kalıcı ve gözlemlenebilir bir belirtiyi ifade ettiğini göstermektedir.</w:t>
            </w:r>
          </w:p>
        </w:tc>
      </w:tr>
      <w:tr>
        <w:trPr>
          <w:cantSplit/>
        </w:trPr>
        <w:tc>
          <w:tcPr>
            <w:tcW w:type="dxa" w:w="2381"/>
            <w:vAlign w:val="top"/>
            <w:tcMar>
              <w:top w:w="70" w:type="dxa"/>
              <w:start w:w="85" w:type="dxa"/>
              <w:bottom w:w="70" w:type="dxa"/>
              <w:end w:w="85" w:type="dxa"/>
            </w:tcMar>
          </w:tcPr>
          <w:p>
            <w:pPr>
              <w:spacing w:after="0"/>
            </w:pPr>
            <w:r>
              <w:rPr>
                <w:sz w:val="12"/>
              </w:rPr>
              <w:t>1.6.1 Resm Kavramının Lügavî Temeli</w:t>
            </w:r>
          </w:p>
        </w:tc>
        <w:tc>
          <w:tcPr>
            <w:tcW w:type="dxa" w:w="567"/>
            <w:vAlign w:val="top"/>
            <w:tcMar>
              <w:top w:w="70" w:type="dxa"/>
              <w:start w:w="85" w:type="dxa"/>
              <w:bottom w:w="70" w:type="dxa"/>
              <w:end w:w="85" w:type="dxa"/>
            </w:tcMar>
          </w:tcPr>
          <w:p>
            <w:pPr>
              <w:spacing w:after="0"/>
            </w:pPr>
            <w:r>
              <w:rPr>
                <w:sz w:val="12"/>
              </w:rPr>
              <w:t>P126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bir izden ziyadeolarak değerlendirilmeyip</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P128</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Yazı, sözün geride bıraktığı kalıcı izdir. Ancak dilsel bir kökenden teknik bir terime geçiş, mecazi bir genişlemeden ziyade belirli bir ilmin ihtiyacının sonucudur.</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P130</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Dânî'nin yaklaşımı, resmin kuralları bulunan teknik bir yazım disiplini niteliği taşıdığını göstermektedir; nitekim onun eserleri, resm farklılıklarını şehir mushaflarına göre tasnif eden ilk sistematik çalışmalar arasında yer almaktadır.</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P131</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Yazı, sesin rastgele kaydını aşarak harf düzenine bağlı bir temsil biçimi hâline gelmiştir. Onun yaklaşımında yazı da sözün sıradan kaydını aşan kurallı bir temsil sistemidir.</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P133</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bu tarih daha önce geçtiyse silinsinBu iki yaklaşım birlikte değerlendirildiğinde</w:t>
            </w:r>
          </w:p>
        </w:tc>
      </w:tr>
      <w:tr>
        <w:trPr>
          <w:cantSplit/>
        </w:trPr>
        <w:tc>
          <w:tcPr>
            <w:tcW w:type="dxa" w:w="2381"/>
            <w:vAlign w:val="top"/>
            <w:tcMar>
              <w:top w:w="70" w:type="dxa"/>
              <w:start w:w="85" w:type="dxa"/>
              <w:bottom w:w="70" w:type="dxa"/>
              <w:end w:w="85" w:type="dxa"/>
            </w:tcMar>
          </w:tcPr>
          <w:p>
            <w:pPr>
              <w:spacing w:after="0"/>
            </w:pPr>
            <w:r>
              <w:rPr>
                <w:sz w:val="12"/>
              </w:rPr>
              <w:t>1.6.2 Resm Kavramının Istılâhî Çerçevesi</w:t>
            </w:r>
          </w:p>
        </w:tc>
        <w:tc>
          <w:tcPr>
            <w:tcW w:type="dxa" w:w="567"/>
            <w:vAlign w:val="top"/>
            <w:tcMar>
              <w:top w:w="70" w:type="dxa"/>
              <w:start w:w="85" w:type="dxa"/>
              <w:bottom w:w="70" w:type="dxa"/>
              <w:end w:w="85" w:type="dxa"/>
            </w:tcMar>
          </w:tcPr>
          <w:p>
            <w:pPr>
              <w:spacing w:after="0"/>
            </w:pPr>
            <w:r>
              <w:rPr>
                <w:sz w:val="12"/>
              </w:rPr>
              <w:t>P134</w:t>
            </w:r>
          </w:p>
        </w:tc>
        <w:tc>
          <w:tcPr>
            <w:tcW w:type="dxa" w:w="1247"/>
            <w:vAlign w:val="top"/>
            <w:tcMar>
              <w:top w:w="70" w:type="dxa"/>
              <w:start w:w="85" w:type="dxa"/>
              <w:bottom w:w="70" w:type="dxa"/>
              <w:end w:w="85" w:type="dxa"/>
            </w:tcMar>
          </w:tcPr>
          <w:p>
            <w:pPr>
              <w:spacing w:after="0"/>
            </w:pPr>
            <w:r>
              <w:rPr>
                <w:sz w:val="12"/>
              </w:rPr>
              <w:t>değil, sonuç</w:t>
            </w:r>
          </w:p>
        </w:tc>
        <w:tc>
          <w:tcPr>
            <w:tcW w:type="dxa" w:w="5953"/>
            <w:vAlign w:val="top"/>
            <w:tcMar>
              <w:top w:w="70" w:type="dxa"/>
              <w:start w:w="85" w:type="dxa"/>
              <w:bottom w:w="70" w:type="dxa"/>
              <w:end w:w="85" w:type="dxa"/>
            </w:tcMar>
          </w:tcPr>
          <w:p>
            <w:pPr>
              <w:spacing w:after="0"/>
            </w:pPr>
            <w:r>
              <w:rPr>
                <w:sz w:val="12"/>
              </w:rPr>
              <w:t>Sonuç olarak 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P139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P141</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değil,değildeğil, 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P146</w:t>
            </w:r>
          </w:p>
        </w:tc>
        <w:tc>
          <w:tcPr>
            <w:tcW w:type="dxa" w:w="1247"/>
            <w:vAlign w:val="top"/>
            <w:tcMar>
              <w:top w:w="70" w:type="dxa"/>
              <w:start w:w="85" w:type="dxa"/>
              <w:bottom w:w="70" w:type="dxa"/>
              <w:end w:w="85" w:type="dxa"/>
            </w:tcMar>
          </w:tcPr>
          <w:p>
            <w:pPr>
              <w:spacing w:after="0"/>
            </w:pPr>
            <w:r>
              <w:rPr>
                <w:sz w:val="12"/>
              </w:rPr>
              <w:t>değil, sonuç</w:t>
            </w:r>
          </w:p>
        </w:tc>
        <w:tc>
          <w:tcPr>
            <w:tcW w:type="dxa" w:w="5953"/>
            <w:vAlign w:val="top"/>
            <w:tcMar>
              <w:top w:w="70" w:type="dxa"/>
              <w:start w:w="85" w:type="dxa"/>
              <w:bottom w:w="70" w:type="dxa"/>
              <w:end w:w="85" w:type="dxa"/>
            </w:tcMar>
          </w:tcPr>
          <w:p>
            <w:pPr>
              <w:spacing w:after="0"/>
            </w:pPr>
            <w:r>
              <w:rPr>
                <w:sz w:val="12"/>
              </w:rPr>
              <w:t>Sonuç olarak değildeğil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P149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P150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P151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1.7 Resm-i Osmânî’nin Tanımı, Önemi ve Mahiyeti</w:t>
            </w:r>
          </w:p>
        </w:tc>
        <w:tc>
          <w:tcPr>
            <w:tcW w:type="dxa" w:w="567"/>
            <w:vAlign w:val="top"/>
            <w:tcMar>
              <w:top w:w="70" w:type="dxa"/>
              <w:start w:w="85" w:type="dxa"/>
              <w:bottom w:w="70" w:type="dxa"/>
              <w:end w:w="85" w:type="dxa"/>
            </w:tcMar>
          </w:tcPr>
          <w:p>
            <w:pPr>
              <w:spacing w:after="0"/>
            </w:pPr>
            <w:r>
              <w:rPr>
                <w:sz w:val="12"/>
              </w:rPr>
              <w:t>P152</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1.8 Resm-i Osmânî Tevkîfî mi İctihâdi mi?</w:t>
            </w:r>
          </w:p>
        </w:tc>
        <w:tc>
          <w:tcPr>
            <w:tcW w:type="dxa" w:w="567"/>
            <w:vAlign w:val="top"/>
            <w:tcMar>
              <w:top w:w="70" w:type="dxa"/>
              <w:start w:w="85" w:type="dxa"/>
              <w:bottom w:w="70" w:type="dxa"/>
              <w:end w:w="85" w:type="dxa"/>
            </w:tcMar>
          </w:tcPr>
          <w:p>
            <w:pPr>
              <w:spacing w:after="0"/>
            </w:pPr>
            <w:r>
              <w:rPr>
                <w:sz w:val="12"/>
              </w:rPr>
              <w:t>P158</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(ö. 403/10113 daha önce geçtiyse silinsin</w:t>
            </w:r>
          </w:p>
        </w:tc>
      </w:tr>
      <w:tr>
        <w:trPr>
          <w:cantSplit/>
        </w:trPr>
        <w:tc>
          <w:tcPr>
            <w:tcW w:type="dxa" w:w="2381"/>
            <w:vAlign w:val="top"/>
            <w:tcMar>
              <w:top w:w="70" w:type="dxa"/>
              <w:start w:w="85" w:type="dxa"/>
              <w:bottom w:w="70" w:type="dxa"/>
              <w:end w:w="85" w:type="dxa"/>
            </w:tcMar>
          </w:tcPr>
          <w:p>
            <w:pPr>
              <w:spacing w:after="0"/>
            </w:pPr>
            <w:r>
              <w:rPr>
                <w:sz w:val="12"/>
              </w:rPr>
              <w:t>1.8 Resm-i Osmânî Tevkîfî mi İctihâdi mi?</w:t>
            </w:r>
          </w:p>
        </w:tc>
        <w:tc>
          <w:tcPr>
            <w:tcW w:type="dxa" w:w="567"/>
            <w:vAlign w:val="top"/>
            <w:tcMar>
              <w:top w:w="70" w:type="dxa"/>
              <w:start w:w="85" w:type="dxa"/>
              <w:bottom w:w="70" w:type="dxa"/>
              <w:end w:w="85" w:type="dxa"/>
            </w:tcMar>
          </w:tcPr>
          <w:p>
            <w:pPr>
              <w:spacing w:after="0"/>
            </w:pPr>
            <w:r>
              <w:rPr>
                <w:sz w:val="12"/>
              </w:rPr>
              <w:t>P172</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1.9 Resm-i Mushaf’ın Temel Özellikleri</w:t>
            </w:r>
          </w:p>
        </w:tc>
        <w:tc>
          <w:tcPr>
            <w:tcW w:type="dxa" w:w="567"/>
            <w:vAlign w:val="top"/>
            <w:tcMar>
              <w:top w:w="70" w:type="dxa"/>
              <w:start w:w="85" w:type="dxa"/>
              <w:bottom w:w="70" w:type="dxa"/>
              <w:end w:w="85" w:type="dxa"/>
            </w:tcMar>
          </w:tcPr>
          <w:p>
            <w:pPr>
              <w:spacing w:after="0"/>
            </w:pPr>
            <w:r>
              <w:rPr>
                <w:sz w:val="12"/>
              </w:rPr>
              <w:t>P177</w:t>
            </w:r>
          </w:p>
        </w:tc>
        <w:tc>
          <w:tcPr>
            <w:tcW w:type="dxa" w:w="1247"/>
            <w:vAlign w:val="top"/>
            <w:tcMar>
              <w:top w:w="70" w:type="dxa"/>
              <w:start w:w="85" w:type="dxa"/>
              <w:bottom w:w="70" w:type="dxa"/>
              <w:end w:w="85" w:type="dxa"/>
            </w:tcMar>
          </w:tcPr>
          <w:p>
            <w:pPr>
              <w:spacing w:after="0"/>
            </w:pPr>
            <w:r>
              <w:rPr>
                <w:sz w:val="12"/>
              </w:rPr>
              <w:t>değil, sonuç</w:t>
            </w:r>
          </w:p>
        </w:tc>
        <w:tc>
          <w:tcPr>
            <w:tcW w:type="dxa" w:w="5953"/>
            <w:vAlign w:val="top"/>
            <w:tcMar>
              <w:top w:w="70" w:type="dxa"/>
              <w:start w:w="85" w:type="dxa"/>
              <w:bottom w:w="70" w:type="dxa"/>
              <w:end w:w="85" w:type="dxa"/>
            </w:tcMar>
          </w:tcPr>
          <w:p>
            <w:pPr>
              <w:spacing w:after="0"/>
            </w:pPr>
            <w:r>
              <w:rPr>
                <w:sz w:val="12"/>
              </w:rPr>
              <w:t>Sonuç olarak değil</w:t>
            </w:r>
          </w:p>
        </w:tc>
      </w:tr>
      <w:tr>
        <w:trPr>
          <w:cantSplit/>
        </w:trPr>
        <w:tc>
          <w:tcPr>
            <w:tcW w:type="dxa" w:w="2381"/>
            <w:vAlign w:val="top"/>
            <w:tcMar>
              <w:top w:w="70" w:type="dxa"/>
              <w:start w:w="85" w:type="dxa"/>
              <w:bottom w:w="70" w:type="dxa"/>
              <w:end w:w="85" w:type="dxa"/>
            </w:tcMar>
          </w:tcPr>
          <w:p>
            <w:pPr>
              <w:spacing w:after="0"/>
            </w:pPr>
            <w:r>
              <w:rPr>
                <w:sz w:val="12"/>
              </w:rPr>
              <w:t>1.9.1 İmlâ Kuralları ve Kullanıldığı Yerler</w:t>
            </w:r>
          </w:p>
        </w:tc>
        <w:tc>
          <w:tcPr>
            <w:tcW w:type="dxa" w:w="567"/>
            <w:vAlign w:val="top"/>
            <w:tcMar>
              <w:top w:w="70" w:type="dxa"/>
              <w:start w:w="85" w:type="dxa"/>
              <w:bottom w:w="70" w:type="dxa"/>
              <w:end w:w="85" w:type="dxa"/>
            </w:tcMar>
          </w:tcPr>
          <w:p>
            <w:pPr>
              <w:spacing w:after="0"/>
            </w:pPr>
            <w:r>
              <w:rPr>
                <w:sz w:val="12"/>
              </w:rPr>
              <w:t>P192</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ölüm tarihleri tekrar gözden geçirilmeli</w:t>
            </w:r>
          </w:p>
        </w:tc>
      </w:tr>
      <w:tr>
        <w:trPr>
          <w:cantSplit/>
        </w:trPr>
        <w:tc>
          <w:tcPr>
            <w:tcW w:type="dxa" w:w="2381"/>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P199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P200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1.9.2 Mushaf Yazısının İki Kırâatten Birine Göre Yazılması ve Diğer Okuyuşlara İmkân Vermesi</w:t>
            </w:r>
          </w:p>
        </w:tc>
        <w:tc>
          <w:tcPr>
            <w:tcW w:type="dxa" w:w="567"/>
            <w:vAlign w:val="top"/>
            <w:tcMar>
              <w:top w:w="70" w:type="dxa"/>
              <w:start w:w="85" w:type="dxa"/>
              <w:bottom w:w="70" w:type="dxa"/>
              <w:end w:w="85" w:type="dxa"/>
            </w:tcMar>
          </w:tcPr>
          <w:p>
            <w:pPr>
              <w:spacing w:after="0"/>
            </w:pPr>
            <w:r>
              <w:rPr>
                <w:sz w:val="12"/>
              </w:rPr>
              <w:t>P202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P207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ö. 324/936 tekrar gözden geçirilsin)</w:t>
            </w:r>
          </w:p>
        </w:tc>
      </w:tr>
      <w:tr>
        <w:trPr>
          <w:cantSplit/>
        </w:trPr>
        <w:tc>
          <w:tcPr>
            <w:tcW w:type="dxa" w:w="2381"/>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P215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P218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1.10 Resm-i Mushaf’ın Ortak Hâle Gelmesi ve Kırâatte Ölçü Olması</w:t>
            </w:r>
          </w:p>
        </w:tc>
        <w:tc>
          <w:tcPr>
            <w:tcW w:type="dxa" w:w="567"/>
            <w:vAlign w:val="top"/>
            <w:tcMar>
              <w:top w:w="70" w:type="dxa"/>
              <w:start w:w="85" w:type="dxa"/>
              <w:bottom w:w="70" w:type="dxa"/>
              <w:end w:w="85" w:type="dxa"/>
            </w:tcMar>
          </w:tcPr>
          <w:p>
            <w:pPr>
              <w:spacing w:after="0"/>
            </w:pPr>
            <w:r>
              <w:rPr>
                <w:sz w:val="12"/>
              </w:rPr>
              <w:t>P219</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P226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P227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2.1 Kırâat Kavramı ve Rivâyet Temelli Yapısı</w:t>
            </w:r>
          </w:p>
        </w:tc>
        <w:tc>
          <w:tcPr>
            <w:tcW w:type="dxa" w:w="567"/>
            <w:vAlign w:val="top"/>
            <w:tcMar>
              <w:top w:w="70" w:type="dxa"/>
              <w:start w:w="85" w:type="dxa"/>
              <w:bottom w:w="70" w:type="dxa"/>
              <w:end w:w="85" w:type="dxa"/>
            </w:tcMar>
          </w:tcPr>
          <w:p>
            <w:pPr>
              <w:spacing w:after="0"/>
            </w:pPr>
            <w:r>
              <w:rPr>
                <w:sz w:val="12"/>
              </w:rPr>
              <w:t>P232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eğil</w:t>
            </w:r>
          </w:p>
        </w:tc>
      </w:tr>
      <w:tr>
        <w:trPr>
          <w:cantSplit/>
        </w:trPr>
        <w:tc>
          <w:tcPr>
            <w:tcW w:type="dxa" w:w="2381"/>
            <w:vAlign w:val="top"/>
            <w:tcMar>
              <w:top w:w="70" w:type="dxa"/>
              <w:start w:w="85" w:type="dxa"/>
              <w:bottom w:w="70" w:type="dxa"/>
              <w:end w:w="85" w:type="dxa"/>
            </w:tcMar>
          </w:tcPr>
          <w:p>
            <w:pPr>
              <w:spacing w:after="0"/>
            </w:pPr>
            <w:r>
              <w:rPr>
                <w:sz w:val="12"/>
              </w:rPr>
              <w:t>2.2 Kırâatlerde Rivâyet, Sened ve Otorite Ekseni</w:t>
            </w:r>
          </w:p>
        </w:tc>
        <w:tc>
          <w:tcPr>
            <w:tcW w:type="dxa" w:w="567"/>
            <w:vAlign w:val="top"/>
            <w:tcMar>
              <w:top w:w="70" w:type="dxa"/>
              <w:start w:w="85" w:type="dxa"/>
              <w:bottom w:w="70" w:type="dxa"/>
              <w:end w:w="85" w:type="dxa"/>
            </w:tcMar>
          </w:tcPr>
          <w:p>
            <w:pPr>
              <w:spacing w:after="0"/>
            </w:pPr>
            <w:r>
              <w:rPr>
                <w:sz w:val="12"/>
              </w:rPr>
              <w:t>P234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 değil,</w:t>
            </w:r>
          </w:p>
        </w:tc>
      </w:tr>
      <w:tr>
        <w:trPr>
          <w:cantSplit/>
        </w:trPr>
        <w:tc>
          <w:tcPr>
            <w:tcW w:type="dxa" w:w="2381"/>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2.2.1 Rivâyet</w:t>
            </w:r>
          </w:p>
        </w:tc>
        <w:tc>
          <w:tcPr>
            <w:tcW w:type="dxa" w:w="567"/>
            <w:vAlign w:val="top"/>
            <w:tcMar>
              <w:top w:w="70" w:type="dxa"/>
              <w:start w:w="85" w:type="dxa"/>
              <w:bottom w:w="70" w:type="dxa"/>
              <w:end w:w="85" w:type="dxa"/>
            </w:tcMar>
          </w:tcPr>
          <w:p>
            <w:pPr>
              <w:spacing w:after="0"/>
            </w:pPr>
            <w:r>
              <w:rPr>
                <w:sz w:val="12"/>
              </w:rPr>
              <w:t>P239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 değil</w:t>
            </w:r>
          </w:p>
        </w:tc>
      </w:tr>
      <w:tr>
        <w:trPr>
          <w:cantSplit/>
        </w:trPr>
        <w:tc>
          <w:tcPr>
            <w:tcW w:type="dxa" w:w="2381"/>
            <w:vAlign w:val="top"/>
            <w:tcMar>
              <w:top w:w="70" w:type="dxa"/>
              <w:start w:w="85" w:type="dxa"/>
              <w:bottom w:w="70" w:type="dxa"/>
              <w:end w:w="85" w:type="dxa"/>
            </w:tcMar>
          </w:tcPr>
          <w:p>
            <w:pPr>
              <w:spacing w:after="0"/>
            </w:pPr>
            <w:r>
              <w:rPr>
                <w:sz w:val="12"/>
              </w:rPr>
              <w:t>2.2.2 Sened</w:t>
            </w:r>
          </w:p>
        </w:tc>
        <w:tc>
          <w:tcPr>
            <w:tcW w:type="dxa" w:w="567"/>
            <w:vAlign w:val="top"/>
            <w:tcMar>
              <w:top w:w="70" w:type="dxa"/>
              <w:start w:w="85" w:type="dxa"/>
              <w:bottom w:w="70" w:type="dxa"/>
              <w:end w:w="85" w:type="dxa"/>
            </w:tcMar>
          </w:tcPr>
          <w:p>
            <w:pPr>
              <w:spacing w:after="0"/>
            </w:pPr>
            <w:r>
              <w:rPr>
                <w:sz w:val="12"/>
              </w:rPr>
              <w:t>P244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2.2.3 Otorite Ekseni</w:t>
            </w:r>
          </w:p>
        </w:tc>
        <w:tc>
          <w:tcPr>
            <w:tcW w:type="dxa" w:w="567"/>
            <w:vAlign w:val="top"/>
            <w:tcMar>
              <w:top w:w="70" w:type="dxa"/>
              <w:start w:w="85" w:type="dxa"/>
              <w:bottom w:w="70" w:type="dxa"/>
              <w:end w:w="85" w:type="dxa"/>
            </w:tcMar>
          </w:tcPr>
          <w:p>
            <w:pPr>
              <w:spacing w:after="0"/>
            </w:pPr>
            <w:r>
              <w:rPr>
                <w:sz w:val="12"/>
              </w:rPr>
              <w:t>P247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2.2.3 Otorite Ekseni</w:t>
            </w:r>
          </w:p>
        </w:tc>
        <w:tc>
          <w:tcPr>
            <w:tcW w:type="dxa" w:w="567"/>
            <w:vAlign w:val="top"/>
            <w:tcMar>
              <w:top w:w="70" w:type="dxa"/>
              <w:start w:w="85" w:type="dxa"/>
              <w:bottom w:w="70" w:type="dxa"/>
              <w:end w:w="85" w:type="dxa"/>
            </w:tcMar>
          </w:tcPr>
          <w:p>
            <w:pPr>
              <w:spacing w:after="0"/>
            </w:pPr>
            <w:r>
              <w:rPr>
                <w:sz w:val="12"/>
              </w:rPr>
              <w:t>P250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değil,değildeğil,değildeğil</w:t>
            </w:r>
          </w:p>
        </w:tc>
      </w:tr>
      <w:tr>
        <w:trPr>
          <w:cantSplit/>
        </w:trPr>
        <w:tc>
          <w:tcPr>
            <w:tcW w:type="dxa" w:w="2381"/>
            <w:vAlign w:val="top"/>
            <w:tcMar>
              <w:top w:w="70" w:type="dxa"/>
              <w:start w:w="85" w:type="dxa"/>
              <w:bottom w:w="70" w:type="dxa"/>
              <w:end w:w="85" w:type="dxa"/>
            </w:tcMar>
          </w:tcPr>
          <w:p>
            <w:pPr>
              <w:spacing w:after="0"/>
            </w:pPr>
            <w:r>
              <w:rPr>
                <w:sz w:val="12"/>
              </w:rPr>
              <w:t>2.2.3 Otorite Ekseni</w:t>
            </w:r>
          </w:p>
        </w:tc>
        <w:tc>
          <w:tcPr>
            <w:tcW w:type="dxa" w:w="567"/>
            <w:vAlign w:val="top"/>
            <w:tcMar>
              <w:top w:w="70" w:type="dxa"/>
              <w:start w:w="85" w:type="dxa"/>
              <w:bottom w:w="70" w:type="dxa"/>
              <w:end w:w="85" w:type="dxa"/>
            </w:tcMar>
          </w:tcPr>
          <w:p>
            <w:pPr>
              <w:spacing w:after="0"/>
            </w:pPr>
            <w:r>
              <w:rPr>
                <w:sz w:val="12"/>
              </w:rPr>
              <w:t>P251</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 değil</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P259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2.3 Osmânî Mushaf ve Yedi Harf Meselesi</w:t>
            </w:r>
          </w:p>
        </w:tc>
        <w:tc>
          <w:tcPr>
            <w:tcW w:type="dxa" w:w="567"/>
            <w:vAlign w:val="top"/>
            <w:tcMar>
              <w:top w:w="70" w:type="dxa"/>
              <w:start w:w="85" w:type="dxa"/>
              <w:bottom w:w="70" w:type="dxa"/>
              <w:end w:w="85" w:type="dxa"/>
            </w:tcMar>
          </w:tcPr>
          <w:p>
            <w:pPr>
              <w:spacing w:after="0"/>
            </w:pPr>
            <w:r>
              <w:rPr>
                <w:sz w:val="12"/>
              </w:rPr>
              <w:t>P261</w:t>
            </w:r>
          </w:p>
        </w:tc>
        <w:tc>
          <w:tcPr>
            <w:tcW w:type="dxa" w:w="1247"/>
            <w:vAlign w:val="top"/>
            <w:tcMar>
              <w:top w:w="70" w:type="dxa"/>
              <w:start w:w="85" w:type="dxa"/>
              <w:bottom w:w="70" w:type="dxa"/>
              <w:end w:w="85" w:type="dxa"/>
            </w:tcMar>
          </w:tcPr>
          <w:p>
            <w:pPr>
              <w:spacing w:after="0"/>
            </w:pPr>
            <w:r>
              <w:rPr>
                <w:sz w:val="12"/>
              </w:rPr>
              <w:t>değil, sonuç</w:t>
            </w:r>
          </w:p>
        </w:tc>
        <w:tc>
          <w:tcPr>
            <w:tcW w:type="dxa" w:w="5953"/>
            <w:vAlign w:val="top"/>
            <w:tcMar>
              <w:top w:w="70" w:type="dxa"/>
              <w:start w:w="85" w:type="dxa"/>
              <w:bottom w:w="70" w:type="dxa"/>
              <w:end w:w="85" w:type="dxa"/>
            </w:tcMar>
          </w:tcPr>
          <w:p>
            <w:pPr>
              <w:spacing w:after="0"/>
            </w:pPr>
            <w:r>
              <w:rPr>
                <w:sz w:val="12"/>
              </w:rPr>
              <w:t>Sonuç olarak 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P262</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Osmânî Mushafların Ortak Başvuru Metni Hâline Gelmesinin Kırâat ve Tefsirdeki Yansımaları</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P263</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ölçülerden biri olmuşturortak başvuru hâline</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ortak hale gelmesininayırt edilmesinde görülmektedirdeğilortaklaşması</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P265</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belirgin biçimde görülmektedir</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değil,ortaklaşmasdeğil,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 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P269</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Zira resmin ortaklaşması, yorum alanının sınırlandırılmasına katkı sağlamış ve bu tür yorumların meşruiyet zeminini belirli esaslar çerçevesinde şekillendirmiştir.</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2.4 Osmânî Mushafların Ortak Başvuru Metni Hâline Gelmesinin Kırâat ve Tefsirdeki Yansımaları</w:t>
            </w:r>
          </w:p>
        </w:tc>
        <w:tc>
          <w:tcPr>
            <w:tcW w:type="dxa" w:w="567"/>
            <w:vAlign w:val="top"/>
            <w:tcMar>
              <w:top w:w="70" w:type="dxa"/>
              <w:start w:w="85" w:type="dxa"/>
              <w:bottom w:w="70" w:type="dxa"/>
              <w:end w:w="85" w:type="dxa"/>
            </w:tcMar>
          </w:tcPr>
          <w:p>
            <w:pPr>
              <w:spacing w:after="0"/>
            </w:pPr>
            <w:r>
              <w:rPr>
                <w:sz w:val="12"/>
              </w:rPr>
              <w:t>P274</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w:t>
            </w:r>
          </w:p>
        </w:tc>
      </w:tr>
      <w:tr>
        <w:trPr>
          <w:cantSplit/>
        </w:trPr>
        <w:tc>
          <w:tcPr>
            <w:tcW w:type="dxa" w:w="2381"/>
            <w:vAlign w:val="top"/>
            <w:tcMar>
              <w:top w:w="70" w:type="dxa"/>
              <w:start w:w="85" w:type="dxa"/>
              <w:bottom w:w="70" w:type="dxa"/>
              <w:end w:w="85" w:type="dxa"/>
            </w:tcMar>
          </w:tcPr>
          <w:p>
            <w:pPr>
              <w:spacing w:after="0"/>
            </w:pPr>
            <w:r>
              <w:rPr>
                <w:sz w:val="12"/>
              </w:rPr>
              <w:t>3.1 Resm-i Osmânî’nin Çoklu Kırâatleri Yansıtma Özelliği</w:t>
            </w:r>
          </w:p>
        </w:tc>
        <w:tc>
          <w:tcPr>
            <w:tcW w:type="dxa" w:w="567"/>
            <w:vAlign w:val="top"/>
            <w:tcMar>
              <w:top w:w="70" w:type="dxa"/>
              <w:start w:w="85" w:type="dxa"/>
              <w:bottom w:w="70" w:type="dxa"/>
              <w:end w:w="85" w:type="dxa"/>
            </w:tcMar>
          </w:tcPr>
          <w:p>
            <w:pPr>
              <w:spacing w:after="0"/>
            </w:pPr>
            <w:r>
              <w:rPr>
                <w:sz w:val="12"/>
              </w:rPr>
              <w:t>P282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 Resm-i Osmânî’nin Çoklu Kırâatleri Yansıtma Özelliği</w:t>
            </w:r>
          </w:p>
        </w:tc>
        <w:tc>
          <w:tcPr>
            <w:tcW w:type="dxa" w:w="567"/>
            <w:vAlign w:val="top"/>
            <w:tcMar>
              <w:top w:w="70" w:type="dxa"/>
              <w:start w:w="85" w:type="dxa"/>
              <w:bottom w:w="70" w:type="dxa"/>
              <w:end w:w="85" w:type="dxa"/>
            </w:tcMar>
          </w:tcPr>
          <w:p>
            <w:pPr>
              <w:spacing w:after="0"/>
            </w:pPr>
            <w:r>
              <w:rPr>
                <w:sz w:val="12"/>
              </w:rPr>
              <w:t>P285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3.2 Resm-i Osmânî’nin Bazı Fasih Arap Lehçelerine İşaret Etmesi</w:t>
            </w:r>
          </w:p>
        </w:tc>
        <w:tc>
          <w:tcPr>
            <w:tcW w:type="dxa" w:w="567"/>
            <w:vAlign w:val="top"/>
            <w:tcMar>
              <w:top w:w="70" w:type="dxa"/>
              <w:start w:w="85" w:type="dxa"/>
              <w:bottom w:w="70" w:type="dxa"/>
              <w:end w:w="85" w:type="dxa"/>
            </w:tcMar>
          </w:tcPr>
          <w:p>
            <w:pPr>
              <w:spacing w:after="0"/>
            </w:pPr>
            <w:r>
              <w:rPr>
                <w:sz w:val="12"/>
              </w:rPr>
              <w:t>P289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 değilBu örnekler birlikte değerlendirildiğinde</w:t>
            </w:r>
          </w:p>
        </w:tc>
      </w:tr>
      <w:tr>
        <w:trPr>
          <w:cantSplit/>
        </w:trPr>
        <w:tc>
          <w:tcPr>
            <w:tcW w:type="dxa" w:w="2381"/>
            <w:vAlign w:val="top"/>
            <w:tcMar>
              <w:top w:w="70" w:type="dxa"/>
              <w:start w:w="85" w:type="dxa"/>
              <w:bottom w:w="70" w:type="dxa"/>
              <w:end w:w="85" w:type="dxa"/>
            </w:tcMar>
          </w:tcPr>
          <w:p>
            <w:pPr>
              <w:spacing w:after="0"/>
            </w:pPr>
            <w:r>
              <w:rPr>
                <w:sz w:val="12"/>
              </w:rPr>
              <w:t>3.2 Resm-i Osmânî’nin Bazı Fasih Arap Lehçelerine İşaret Etmesi</w:t>
            </w:r>
          </w:p>
        </w:tc>
        <w:tc>
          <w:tcPr>
            <w:tcW w:type="dxa" w:w="567"/>
            <w:vAlign w:val="top"/>
            <w:tcMar>
              <w:top w:w="70" w:type="dxa"/>
              <w:start w:w="85" w:type="dxa"/>
              <w:bottom w:w="70" w:type="dxa"/>
              <w:end w:w="85" w:type="dxa"/>
            </w:tcMar>
          </w:tcPr>
          <w:p>
            <w:pPr>
              <w:spacing w:after="0"/>
            </w:pPr>
            <w:r>
              <w:rPr>
                <w:sz w:val="12"/>
              </w:rPr>
              <w:t>P290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değildeğil,değil,</w:t>
            </w:r>
          </w:p>
        </w:tc>
      </w:tr>
      <w:tr>
        <w:trPr>
          <w:cantSplit/>
        </w:trPr>
        <w:tc>
          <w:tcPr>
            <w:tcW w:type="dxa" w:w="2381"/>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w:t>
            </w:r>
          </w:p>
        </w:tc>
      </w:tr>
      <w:tr>
        <w:trPr>
          <w:cantSplit/>
        </w:trPr>
        <w:tc>
          <w:tcPr>
            <w:tcW w:type="dxa" w:w="2381"/>
            <w:vAlign w:val="top"/>
            <w:tcMar>
              <w:top w:w="70" w:type="dxa"/>
              <w:start w:w="85" w:type="dxa"/>
              <w:bottom w:w="70" w:type="dxa"/>
              <w:end w:w="85" w:type="dxa"/>
            </w:tcMar>
          </w:tcPr>
          <w:p>
            <w:pPr>
              <w:spacing w:after="0"/>
            </w:pPr>
            <w:r>
              <w:rPr>
                <w:sz w:val="12"/>
              </w:rPr>
              <w:t>3.3 Resm-i Osmânî’nin Harekenin Aslına İşaret Etmesi</w:t>
            </w:r>
          </w:p>
        </w:tc>
        <w:tc>
          <w:tcPr>
            <w:tcW w:type="dxa" w:w="567"/>
            <w:vAlign w:val="top"/>
            <w:tcMar>
              <w:top w:w="70" w:type="dxa"/>
              <w:start w:w="85" w:type="dxa"/>
              <w:bottom w:w="70" w:type="dxa"/>
              <w:end w:w="85" w:type="dxa"/>
            </w:tcMar>
          </w:tcPr>
          <w:p>
            <w:pPr>
              <w:spacing w:after="0"/>
            </w:pPr>
            <w:r>
              <w:rPr>
                <w:sz w:val="12"/>
              </w:rPr>
              <w:t>P296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P302</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P304</w:t>
            </w:r>
          </w:p>
        </w:tc>
        <w:tc>
          <w:tcPr>
            <w:tcW w:type="dxa" w:w="1247"/>
            <w:vAlign w:val="top"/>
            <w:tcMar>
              <w:top w:w="70" w:type="dxa"/>
              <w:start w:w="85" w:type="dxa"/>
              <w:bottom w:w="70" w:type="dxa"/>
              <w:end w:w="85" w:type="dxa"/>
            </w:tcMar>
          </w:tcPr>
          <w:p>
            <w:pPr>
              <w:spacing w:after="0"/>
            </w:pPr>
            <w:r>
              <w:rPr>
                <w:sz w:val="12"/>
              </w:rPr>
              <w:t>değil, uzun</w:t>
            </w:r>
          </w:p>
        </w:tc>
        <w:tc>
          <w:tcPr>
            <w:tcW w:type="dxa" w:w="5953"/>
            <w:vAlign w:val="top"/>
            <w:tcMar>
              <w:top w:w="70" w:type="dxa"/>
              <w:start w:w="85" w:type="dxa"/>
              <w:bottom w:w="70" w:type="dxa"/>
              <w:end w:w="85" w:type="dxa"/>
            </w:tcMar>
          </w:tcPr>
          <w:p>
            <w:pPr>
              <w:spacing w:after="0"/>
            </w:pPr>
            <w:r>
              <w:rPr>
                <w:sz w:val="12"/>
              </w:rPr>
              <w:t>Bu nedenle resm-i Osmânî’yi sadece tek imlâ farklılıkları üzerinden okumak yeterli değildir; onu aynı zamanda bir anlam işaretleme sistemi olarak değerlendirmek gerekmektedir.</w:t>
            </w:r>
          </w:p>
        </w:tc>
      </w:tr>
      <w:tr>
        <w:trPr>
          <w:cantSplit/>
        </w:trPr>
        <w:tc>
          <w:tcPr>
            <w:tcW w:type="dxa" w:w="2381"/>
            <w:vAlign w:val="top"/>
            <w:tcMar>
              <w:top w:w="70" w:type="dxa"/>
              <w:start w:w="85" w:type="dxa"/>
              <w:bottom w:w="70" w:type="dxa"/>
              <w:end w:w="85" w:type="dxa"/>
            </w:tcMar>
          </w:tcPr>
          <w:p>
            <w:pPr>
              <w:spacing w:after="0"/>
            </w:pPr>
            <w:r>
              <w:rPr>
                <w:sz w:val="12"/>
              </w:rPr>
              <w:t>3.4 Resm-i Osmânî’de Ziyâde ve Hazfin İnce Manaya Delaleti</w:t>
            </w:r>
          </w:p>
        </w:tc>
        <w:tc>
          <w:tcPr>
            <w:tcW w:type="dxa" w:w="567"/>
            <w:vAlign w:val="top"/>
            <w:tcMar>
              <w:top w:w="70" w:type="dxa"/>
              <w:start w:w="85" w:type="dxa"/>
              <w:bottom w:w="70" w:type="dxa"/>
              <w:end w:w="85" w:type="dxa"/>
            </w:tcMar>
          </w:tcPr>
          <w:p>
            <w:pPr>
              <w:spacing w:after="0"/>
            </w:pPr>
            <w:r>
              <w:rPr>
                <w:sz w:val="12"/>
              </w:rPr>
              <w:t>P306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Bütün bu örnekler birlikte değerlendirildiğinde</w:t>
            </w:r>
          </w:p>
        </w:tc>
      </w:tr>
      <w:tr>
        <w:trPr>
          <w:cantSplit/>
        </w:trPr>
        <w:tc>
          <w:tcPr>
            <w:tcW w:type="dxa" w:w="2381"/>
            <w:vAlign w:val="top"/>
            <w:tcMar>
              <w:top w:w="70" w:type="dxa"/>
              <w:start w:w="85" w:type="dxa"/>
              <w:bottom w:w="70" w:type="dxa"/>
              <w:end w:w="85" w:type="dxa"/>
            </w:tcMar>
          </w:tcPr>
          <w:p>
            <w:pPr>
              <w:spacing w:after="0"/>
            </w:pPr>
            <w:r>
              <w:rPr>
                <w:sz w:val="12"/>
              </w:rPr>
              <w:t>3.5 Resm-i Osmânî’de Yazım Farkının Anlam Farkına İşaret Etmesi</w:t>
            </w:r>
          </w:p>
        </w:tc>
        <w:tc>
          <w:tcPr>
            <w:tcW w:type="dxa" w:w="567"/>
            <w:vAlign w:val="top"/>
            <w:tcMar>
              <w:top w:w="70" w:type="dxa"/>
              <w:start w:w="85" w:type="dxa"/>
              <w:bottom w:w="70" w:type="dxa"/>
              <w:end w:w="85" w:type="dxa"/>
            </w:tcMar>
          </w:tcPr>
          <w:p>
            <w:pPr>
              <w:spacing w:after="0"/>
            </w:pPr>
            <w:r>
              <w:rPr>
                <w:sz w:val="12"/>
              </w:rPr>
              <w:t>P310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değildeğil,değil</w:t>
            </w:r>
          </w:p>
        </w:tc>
      </w:tr>
      <w:tr>
        <w:trPr>
          <w:cantSplit/>
        </w:trPr>
        <w:tc>
          <w:tcPr>
            <w:tcW w:type="dxa" w:w="2381"/>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P316</w:t>
            </w:r>
          </w:p>
        </w:tc>
        <w:tc>
          <w:tcPr>
            <w:tcW w:type="dxa" w:w="1247"/>
            <w:vAlign w:val="top"/>
            <w:tcMar>
              <w:top w:w="70" w:type="dxa"/>
              <w:start w:w="85" w:type="dxa"/>
              <w:bottom w:w="70" w:type="dxa"/>
              <w:end w:w="85" w:type="dxa"/>
            </w:tcMar>
          </w:tcPr>
          <w:p>
            <w:pPr>
              <w:spacing w:after="0"/>
            </w:pPr>
            <w:r>
              <w:rPr>
                <w:sz w:val="12"/>
              </w:rPr>
              <w:t>açıkça</w:t>
            </w:r>
          </w:p>
        </w:tc>
        <w:tc>
          <w:tcPr>
            <w:tcW w:type="dxa" w:w="5953"/>
            <w:vAlign w:val="top"/>
            <w:tcMar>
              <w:top w:w="70" w:type="dxa"/>
              <w:start w:w="85" w:type="dxa"/>
              <w:bottom w:w="70" w:type="dxa"/>
              <w:end w:w="85" w:type="dxa"/>
            </w:tcMar>
          </w:tcPr>
          <w:p>
            <w:pPr>
              <w:spacing w:after="0"/>
            </w:pPr>
            <w:r>
              <w:rPr>
                <w:sz w:val="12"/>
              </w:rPr>
              <w:t>açık biçimde ortaya koymaktadıraçıkça ortaya koymaktadır</w:t>
            </w:r>
          </w:p>
        </w:tc>
      </w:tr>
      <w:tr>
        <w:trPr>
          <w:cantSplit/>
        </w:trPr>
        <w:tc>
          <w:tcPr>
            <w:tcW w:type="dxa" w:w="2381"/>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P317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P319</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3.6 Resm-i Mushaf’ın Bağlayıcılığı, Hikmet Boyutu ve Eleştirel Yaklaşımlar</w:t>
            </w:r>
          </w:p>
        </w:tc>
        <w:tc>
          <w:tcPr>
            <w:tcW w:type="dxa" w:w="567"/>
            <w:vAlign w:val="top"/>
            <w:tcMar>
              <w:top w:w="70" w:type="dxa"/>
              <w:start w:w="85" w:type="dxa"/>
              <w:bottom w:w="70" w:type="dxa"/>
              <w:end w:w="85" w:type="dxa"/>
            </w:tcMar>
          </w:tcPr>
          <w:p>
            <w:pPr>
              <w:spacing w:after="0"/>
            </w:pPr>
            <w:r>
              <w:rPr>
                <w:sz w:val="12"/>
              </w:rPr>
              <w:t>P322</w:t>
            </w:r>
          </w:p>
        </w:tc>
        <w:tc>
          <w:tcPr>
            <w:tcW w:type="dxa" w:w="1247"/>
            <w:vAlign w:val="top"/>
            <w:tcMar>
              <w:top w:w="70" w:type="dxa"/>
              <w:start w:w="85" w:type="dxa"/>
              <w:bottom w:w="70" w:type="dxa"/>
              <w:end w:w="85" w:type="dxa"/>
            </w:tcMar>
          </w:tcPr>
          <w:p>
            <w:pPr>
              <w:spacing w:after="0"/>
            </w:pPr>
            <w:r>
              <w:rPr>
                <w:sz w:val="12"/>
              </w:rPr>
              <w:t>değil, sonuç, uzun</w:t>
            </w:r>
          </w:p>
        </w:tc>
        <w:tc>
          <w:tcPr>
            <w:tcW w:type="dxa" w:w="5953"/>
            <w:vAlign w:val="top"/>
            <w:tcMar>
              <w:top w:w="70" w:type="dxa"/>
              <w:start w:w="85" w:type="dxa"/>
              <w:bottom w:w="70" w:type="dxa"/>
              <w:end w:w="85" w:type="dxa"/>
            </w:tcMar>
          </w:tcPr>
          <w:p>
            <w:pPr>
              <w:spacing w:after="0"/>
            </w:pPr>
            <w:r>
              <w:rPr>
                <w:sz w:val="12"/>
              </w:rPr>
              <w:t>Sonuç olarak resm-i mushaf etrafındaki tartışmalar üç ana çizgide toplanmaktadır: onu tevkîfî ve bağlayıcı gören yaklaşım; yazım farklılıklarında hikmet ve mana incelikleri arayan yaklaşım. Zerkeşî, Merrâkuşî ve ed-Debbâğ’ın işaret merkezli yorumları, Dânî’nin…</w:t>
            </w:r>
          </w:p>
        </w:tc>
      </w:tr>
      <w:tr>
        <w:trPr>
          <w:cantSplit/>
        </w:trPr>
        <w:tc>
          <w:tcPr>
            <w:tcW w:type="dxa" w:w="2381"/>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erken değil</w:t>
            </w:r>
          </w:p>
        </w:tc>
      </w:tr>
      <w:tr>
        <w:trPr>
          <w:cantSplit/>
        </w:trPr>
        <w:tc>
          <w:tcPr>
            <w:tcW w:type="dxa" w:w="2381"/>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P329</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ilk dönem</w:t>
            </w:r>
          </w:p>
        </w:tc>
      </w:tr>
      <w:tr>
        <w:trPr>
          <w:cantSplit/>
        </w:trPr>
        <w:tc>
          <w:tcPr>
            <w:tcW w:type="dxa" w:w="2381"/>
            <w:vAlign w:val="top"/>
            <w:tcMar>
              <w:top w:w="70" w:type="dxa"/>
              <w:start w:w="85" w:type="dxa"/>
              <w:bottom w:w="70" w:type="dxa"/>
              <w:end w:w="85" w:type="dxa"/>
            </w:tcMar>
          </w:tcPr>
          <w:p>
            <w:pPr>
              <w:spacing w:after="0"/>
            </w:pPr>
            <w:r>
              <w:rPr>
                <w:sz w:val="12"/>
              </w:rPr>
              <w:t>3.7 Resm-i Osmânî’ye Bağlılığın Hata ve Tahriften Koruyucu İşlevi</w:t>
            </w:r>
          </w:p>
        </w:tc>
        <w:tc>
          <w:tcPr>
            <w:tcW w:type="dxa" w:w="567"/>
            <w:vAlign w:val="top"/>
            <w:tcMar>
              <w:top w:w="70" w:type="dxa"/>
              <w:start w:w="85" w:type="dxa"/>
              <w:bottom w:w="70" w:type="dxa"/>
              <w:end w:w="85" w:type="dxa"/>
            </w:tcMar>
          </w:tcPr>
          <w:p>
            <w:pPr>
              <w:spacing w:after="0"/>
            </w:pPr>
            <w:r>
              <w:rPr>
                <w:sz w:val="12"/>
              </w:rPr>
              <w:t>P332</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Bu üçlü tasnif birlikte değerlendirildiğinde, mushaf yazımında resm-i Osmânî meselesinin tek boyutlu bir tartışma olmadığı anlaşılmaktadır. Birinci görüş, mushafın aslını korumayı metnin güvenilirliği, birlik içinde aktarımı ve kırâat geleneğinin muhafazası ba…</w:t>
            </w:r>
          </w:p>
        </w:tc>
      </w:tr>
      <w:tr>
        <w:trPr>
          <w:cantSplit/>
        </w:trPr>
        <w:tc>
          <w:tcPr>
            <w:tcW w:type="dxa" w:w="2381"/>
            <w:vAlign w:val="top"/>
            <w:tcMar>
              <w:top w:w="70" w:type="dxa"/>
              <w:start w:w="85" w:type="dxa"/>
              <w:bottom w:w="70" w:type="dxa"/>
              <w:end w:w="85" w:type="dxa"/>
            </w:tcMar>
          </w:tcPr>
          <w:p>
            <w:pPr>
              <w:spacing w:after="0"/>
            </w:pPr>
            <w:r>
              <w:rPr>
                <w:sz w:val="12"/>
              </w:rPr>
              <w:t>3.8 Nebevî Rehberliğin ve Sünnetin Muhafazası Bağlamında Resm-i Osmânî’ye Bağlılık</w:t>
            </w:r>
          </w:p>
        </w:tc>
        <w:tc>
          <w:tcPr>
            <w:tcW w:type="dxa" w:w="567"/>
            <w:vAlign w:val="top"/>
            <w:tcMar>
              <w:top w:w="70" w:type="dxa"/>
              <w:start w:w="85" w:type="dxa"/>
              <w:bottom w:w="70" w:type="dxa"/>
              <w:end w:w="85" w:type="dxa"/>
            </w:tcMar>
          </w:tcPr>
          <w:p>
            <w:pPr>
              <w:spacing w:after="0"/>
            </w:pPr>
            <w:r>
              <w:rPr>
                <w:sz w:val="12"/>
              </w:rPr>
              <w:t>P336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göstermektedir</w:t>
            </w:r>
          </w:p>
        </w:tc>
      </w:tr>
      <w:tr>
        <w:trPr>
          <w:cantSplit/>
        </w:trPr>
        <w:tc>
          <w:tcPr>
            <w:tcW w:type="dxa" w:w="2381"/>
            <w:vAlign w:val="top"/>
            <w:tcMar>
              <w:top w:w="70" w:type="dxa"/>
              <w:start w:w="85" w:type="dxa"/>
              <w:bottom w:w="70" w:type="dxa"/>
              <w:end w:w="85" w:type="dxa"/>
            </w:tcMar>
          </w:tcPr>
          <w:p>
            <w:pPr>
              <w:spacing w:after="0"/>
            </w:pPr>
            <w:r>
              <w:rPr>
                <w:sz w:val="12"/>
              </w:rPr>
              <w:t>3.8 Nebevî Rehberliğin ve Sünnetin Muhafazası Bağlamında Resm-i Osmânî’ye Bağlılık</w:t>
            </w:r>
          </w:p>
        </w:tc>
        <w:tc>
          <w:tcPr>
            <w:tcW w:type="dxa" w:w="567"/>
            <w:vAlign w:val="top"/>
            <w:tcMar>
              <w:top w:w="70" w:type="dxa"/>
              <w:start w:w="85" w:type="dxa"/>
              <w:bottom w:w="70" w:type="dxa"/>
              <w:end w:w="85" w:type="dxa"/>
            </w:tcMar>
          </w:tcPr>
          <w:p>
            <w:pPr>
              <w:spacing w:after="0"/>
            </w:pPr>
            <w:r>
              <w:rPr>
                <w:sz w:val="12"/>
              </w:rPr>
              <w:t>P337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P342</w:t>
            </w:r>
          </w:p>
        </w:tc>
        <w:tc>
          <w:tcPr>
            <w:tcW w:type="dxa" w:w="1247"/>
            <w:vAlign w:val="top"/>
            <w:tcMar>
              <w:top w:w="70" w:type="dxa"/>
              <w:start w:w="85" w:type="dxa"/>
              <w:bottom w:w="70" w:type="dxa"/>
              <w:end w:w="85" w:type="dxa"/>
            </w:tcMar>
          </w:tcPr>
          <w:p>
            <w:pPr>
              <w:spacing w:after="0"/>
            </w:pPr>
            <w:r>
              <w:rPr>
                <w:sz w:val="12"/>
              </w:rPr>
              <w:t>değil, uzun</w:t>
            </w:r>
          </w:p>
        </w:tc>
        <w:tc>
          <w:tcPr>
            <w:tcW w:type="dxa" w:w="5953"/>
            <w:vAlign w:val="top"/>
            <w:tcMar>
              <w:top w:w="70" w:type="dxa"/>
              <w:start w:w="85" w:type="dxa"/>
              <w:bottom w:w="70" w:type="dxa"/>
              <w:end w:w="85" w:type="dxa"/>
            </w:tcMar>
          </w:tcPr>
          <w:p>
            <w:pPr>
              <w:spacing w:after="0"/>
            </w:pPr>
            <w:r>
              <w:rPr>
                <w:sz w:val="12"/>
              </w:rPr>
              <w:t>değil,yazıdan ibaret olmayıpBu çerçevede resm-i Osmânî’ye bağlılığın, metnin yazımını koruma amacının yanı sıra, Kur’an’ın naklinde oluşan tarihî sürekliliği ve ilmî geleneği muhafaza etme iradesiyle de yakından ilişkili olduğu anlaşılmaktadır.</w:t>
            </w:r>
          </w:p>
        </w:tc>
      </w:tr>
      <w:tr>
        <w:trPr>
          <w:cantSplit/>
        </w:trPr>
        <w:tc>
          <w:tcPr>
            <w:tcW w:type="dxa" w:w="2381"/>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P343</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değerlendirilebilir</w:t>
            </w:r>
          </w:p>
        </w:tc>
      </w:tr>
      <w:tr>
        <w:trPr>
          <w:cantSplit/>
        </w:trPr>
        <w:tc>
          <w:tcPr>
            <w:tcW w:type="dxa" w:w="2381"/>
            <w:vAlign w:val="top"/>
            <w:tcMar>
              <w:top w:w="70" w:type="dxa"/>
              <w:start w:w="85" w:type="dxa"/>
              <w:bottom w:w="70" w:type="dxa"/>
              <w:end w:w="85" w:type="dxa"/>
            </w:tcMar>
          </w:tcPr>
          <w:p>
            <w:pPr>
              <w:spacing w:after="0"/>
            </w:pPr>
            <w:r>
              <w:rPr>
                <w:sz w:val="12"/>
              </w:rPr>
              <w:t>3.9 Selef-i Sâlihînin İlmî Faziletini İdrâk ve Resm-i Mushaf’ın Bu Fazilete Delaleti</w:t>
            </w:r>
          </w:p>
        </w:tc>
        <w:tc>
          <w:tcPr>
            <w:tcW w:type="dxa" w:w="567"/>
            <w:vAlign w:val="top"/>
            <w:tcMar>
              <w:top w:w="70" w:type="dxa"/>
              <w:start w:w="85" w:type="dxa"/>
              <w:bottom w:w="70" w:type="dxa"/>
              <w:end w:w="85" w:type="dxa"/>
            </w:tcMar>
          </w:tcPr>
          <w:p>
            <w:pPr>
              <w:spacing w:after="0"/>
            </w:pPr>
            <w:r>
              <w:rPr>
                <w:sz w:val="12"/>
              </w:rPr>
              <w:t>P344</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 Böyle bir anlayış içinde resm-i Osmânî'ye bağlılık, metnin dış görünüşünü koruma iradesinin ötesinde, Kur’an'ın nakil sürecinde teşekkül eden tarihî sürekliliği, ilmî meşruiyeti ve geleneksel güven zeminini muhafaza etme çabasının bir tezahürü olarak yorumla…</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belirtmiştir</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P347</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P349</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yanı sıra</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P350</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unsur olarak değerlendirmektedir.ortaya koymaktadır</w:t>
            </w:r>
          </w:p>
        </w:tc>
      </w:tr>
      <w:tr>
        <w:trPr>
          <w:cantSplit/>
        </w:trPr>
        <w:tc>
          <w:tcPr>
            <w:tcW w:type="dxa" w:w="2381"/>
            <w:vAlign w:val="top"/>
            <w:tcMar>
              <w:top w:w="70" w:type="dxa"/>
              <w:start w:w="85" w:type="dxa"/>
              <w:bottom w:w="70" w:type="dxa"/>
              <w:end w:w="85" w:type="dxa"/>
            </w:tcMar>
          </w:tcPr>
          <w:p>
            <w:pPr>
              <w:spacing w:after="0"/>
            </w:pPr>
            <w:r>
              <w:rPr>
                <w:sz w:val="12"/>
              </w:rPr>
              <w:t>3.10 Kur’an-ı Kerim’in Öğreniminde Müşâfehe Geleneğinin İhyası ve Resm-i Osmânî’nin Bu Sürece Katkısı</w:t>
            </w:r>
          </w:p>
        </w:tc>
        <w:tc>
          <w:tcPr>
            <w:tcW w:type="dxa" w:w="567"/>
            <w:vAlign w:val="top"/>
            <w:tcMar>
              <w:top w:w="70" w:type="dxa"/>
              <w:start w:w="85" w:type="dxa"/>
              <w:bottom w:w="70" w:type="dxa"/>
              <w:end w:w="85" w:type="dxa"/>
            </w:tcMar>
          </w:tcPr>
          <w:p>
            <w:pPr>
              <w:spacing w:after="0"/>
            </w:pPr>
            <w:r>
              <w:rPr>
                <w:sz w:val="12"/>
              </w:rPr>
              <w:t>P351</w:t>
            </w:r>
          </w:p>
        </w:tc>
        <w:tc>
          <w:tcPr>
            <w:tcW w:type="dxa" w:w="1247"/>
            <w:vAlign w:val="top"/>
            <w:tcMar>
              <w:top w:w="70" w:type="dxa"/>
              <w:start w:w="85" w:type="dxa"/>
              <w:bottom w:w="70" w:type="dxa"/>
              <w:end w:w="85" w:type="dxa"/>
            </w:tcMar>
          </w:tcPr>
          <w:p>
            <w:pPr>
              <w:spacing w:after="0"/>
            </w:pPr>
            <w:r>
              <w:rPr>
                <w:sz w:val="12"/>
              </w:rPr>
              <w:t>değil, uzun</w:t>
            </w:r>
          </w:p>
        </w:tc>
        <w:tc>
          <w:tcPr>
            <w:tcW w:type="dxa" w:w="5953"/>
            <w:vAlign w:val="top"/>
            <w:tcMar>
              <w:top w:w="70" w:type="dxa"/>
              <w:start w:w="85" w:type="dxa"/>
              <w:bottom w:w="70" w:type="dxa"/>
              <w:end w:w="85" w:type="dxa"/>
            </w:tcMar>
          </w:tcPr>
          <w:p>
            <w:pPr>
              <w:spacing w:after="0"/>
            </w:pPr>
            <w:r>
              <w:rPr>
                <w:sz w:val="12"/>
              </w:rPr>
              <w:t>olarak görülmeyipBöylece resm-i mushaf, tarihî bir yazı geleneği olmanın yanı sıra, Kur’an'ın sözlü rivâyetini, sened zincirini ve sahih okuyuş disiplinini muhafaza eden temel unsurlardan biri hâline gelmiştirBu bağlamda değil,</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P353</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kasıtlı tahrifin yer aldığıiddia edilmiştir</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P362</w:t>
            </w:r>
          </w:p>
        </w:tc>
        <w:tc>
          <w:tcPr>
            <w:tcW w:type="dxa" w:w="1247"/>
            <w:vAlign w:val="top"/>
            <w:tcMar>
              <w:top w:w="70" w:type="dxa"/>
              <w:start w:w="85" w:type="dxa"/>
              <w:bottom w:w="70" w:type="dxa"/>
              <w:end w:w="85" w:type="dxa"/>
            </w:tcMar>
          </w:tcPr>
          <w:p>
            <w:pPr>
              <w:spacing w:after="0"/>
            </w:pPr>
            <w:r>
              <w:rPr>
                <w:sz w:val="12"/>
              </w:rPr>
              <w:t>değil, uzun</w:t>
            </w:r>
          </w:p>
        </w:tc>
        <w:tc>
          <w:tcPr>
            <w:tcW w:type="dxa" w:w="5953"/>
            <w:vAlign w:val="top"/>
            <w:tcMar>
              <w:top w:w="70" w:type="dxa"/>
              <w:start w:w="85" w:type="dxa"/>
              <w:bottom w:w="70" w:type="dxa"/>
              <w:end w:w="85" w:type="dxa"/>
            </w:tcMar>
          </w:tcPr>
          <w:p>
            <w:pPr>
              <w:spacing w:after="0"/>
            </w:pPr>
            <w:r>
              <w:rPr>
                <w:sz w:val="12"/>
              </w:rPr>
              <w:t>değil,Böylece resm-i mushaf, metnin güvenliğini sağlayan pasif bir yazı düzeni olmaktan çıkarak ümmetin dinî ve kültürel varlığını koruyan aktif bir muhafaza zemini olarak ortaya çıkmıştır.</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P364</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P367</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Bu bakımdan resm-i mushaf, sahih kırâatlerin devamlılığını temin eden ve onların yazı içindeki imkân alanını koruyan kurucu bir unsur olarak değerlendirilebilir.</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P368</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Bütün bu tespitler birlikte değerlendirildiğindeilk dönem literatüründegeleneksel</w:t>
            </w:r>
          </w:p>
        </w:tc>
      </w:tr>
      <w:tr>
        <w:trPr>
          <w:cantSplit/>
        </w:trPr>
        <w:tc>
          <w:tcPr>
            <w:tcW w:type="dxa" w:w="2381"/>
            <w:vAlign w:val="top"/>
            <w:tcMar>
              <w:top w:w="70" w:type="dxa"/>
              <w:start w:w="85" w:type="dxa"/>
              <w:bottom w:w="70" w:type="dxa"/>
              <w:end w:w="85" w:type="dxa"/>
            </w:tcMar>
          </w:tcPr>
          <w:p>
            <w:pPr>
              <w:spacing w:after="0"/>
            </w:pPr>
            <w:r>
              <w:rPr>
                <w:sz w:val="12"/>
              </w:rPr>
              <w:t>3.11 Mushafın Aslî Yazım Geleneğinin Korunması ve Bunun Gerekçeleri</w:t>
            </w:r>
          </w:p>
        </w:tc>
        <w:tc>
          <w:tcPr>
            <w:tcW w:type="dxa" w:w="567"/>
            <w:vAlign w:val="top"/>
            <w:tcMar>
              <w:top w:w="70" w:type="dxa"/>
              <w:start w:w="85" w:type="dxa"/>
              <w:bottom w:w="70" w:type="dxa"/>
              <w:end w:w="85" w:type="dxa"/>
            </w:tcMar>
          </w:tcPr>
          <w:p>
            <w:pPr>
              <w:spacing w:after="0"/>
            </w:pPr>
            <w:r>
              <w:rPr>
                <w:sz w:val="12"/>
              </w:rPr>
              <w:t>P369</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Bu sebeple resm-i Osmânî, basit bir yazım geleneği olarak görülemeyecek ölçüde, ümmetin Kur’an karşısındaki tarihî dikkatini ve ilim merkezli sadakatini temsil eden kurucu bir zemin olarak değerlendirilebilir.</w:t>
            </w:r>
          </w:p>
        </w:tc>
      </w:tr>
      <w:tr>
        <w:trPr>
          <w:cantSplit/>
        </w:trPr>
        <w:tc>
          <w:tcPr>
            <w:tcW w:type="dxa" w:w="2381"/>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P371</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Resm-i Osmânî'ye ittiba, yazıya dair biçimsel bir uygulama olarak sınırlandırılamayacak ölçüde, ümmetin Allah'ın kitabı karşısında ortak bir çizgide buluşmasının görünür işaretlerinden biri olarak yorumlanmaktadır.Bu yönüyle yazı, yalnızca metni aktaran bir va…</w:t>
            </w:r>
          </w:p>
        </w:tc>
      </w:tr>
      <w:tr>
        <w:trPr>
          <w:cantSplit/>
        </w:trPr>
        <w:tc>
          <w:tcPr>
            <w:tcW w:type="dxa" w:w="2381"/>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P373</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alnızca biçimsel bir düzenleme niteliği taşımayıp</w:t>
            </w:r>
          </w:p>
        </w:tc>
      </w:tr>
      <w:tr>
        <w:trPr>
          <w:cantSplit/>
        </w:trPr>
        <w:tc>
          <w:tcPr>
            <w:tcW w:type="dxa" w:w="2381"/>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P375</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P376</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3.12 Resm-i Osmânî’nin Ümmet Birliği ve Ortak Dinî Hafıza Açısından İşlevi</w:t>
            </w:r>
          </w:p>
        </w:tc>
        <w:tc>
          <w:tcPr>
            <w:tcW w:type="dxa" w:w="567"/>
            <w:vAlign w:val="top"/>
            <w:tcMar>
              <w:top w:w="70" w:type="dxa"/>
              <w:start w:w="85" w:type="dxa"/>
              <w:bottom w:w="70" w:type="dxa"/>
              <w:end w:w="85" w:type="dxa"/>
            </w:tcMar>
          </w:tcPr>
          <w:p>
            <w:pPr>
              <w:spacing w:after="0"/>
            </w:pPr>
            <w:r>
              <w:rPr>
                <w:sz w:val="12"/>
              </w:rPr>
              <w:t>P377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değerlendirilebileceği söylenebilir</w:t>
            </w:r>
          </w:p>
        </w:tc>
      </w:tr>
      <w:tr>
        <w:trPr>
          <w:cantSplit/>
        </w:trPr>
        <w:tc>
          <w:tcPr>
            <w:tcW w:type="dxa" w:w="2381"/>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P385</w:t>
            </w:r>
          </w:p>
        </w:tc>
        <w:tc>
          <w:tcPr>
            <w:tcW w:type="dxa" w:w="1247"/>
            <w:vAlign w:val="top"/>
            <w:tcMar>
              <w:top w:w="70" w:type="dxa"/>
              <w:start w:w="85" w:type="dxa"/>
              <w:bottom w:w="70" w:type="dxa"/>
              <w:end w:w="85" w:type="dxa"/>
            </w:tcMar>
          </w:tcPr>
          <w:p>
            <w:pPr>
              <w:spacing w:after="0"/>
            </w:pPr>
            <w:r>
              <w:rPr>
                <w:sz w:val="12"/>
              </w:rPr>
              <w:t>açıkça</w:t>
            </w:r>
          </w:p>
        </w:tc>
        <w:tc>
          <w:tcPr>
            <w:tcW w:type="dxa" w:w="5953"/>
            <w:vAlign w:val="top"/>
            <w:tcMar>
              <w:top w:w="70" w:type="dxa"/>
              <w:start w:w="85" w:type="dxa"/>
              <w:bottom w:w="70" w:type="dxa"/>
              <w:end w:w="85" w:type="dxa"/>
            </w:tcMar>
          </w:tcPr>
          <w:p>
            <w:pPr>
              <w:spacing w:after="0"/>
            </w:pPr>
            <w:r>
              <w:rPr>
                <w:sz w:val="12"/>
              </w:rPr>
              <w:t>açıkça ortaya koymaktadırkaynağı olarak görülmeyip,</w:t>
            </w:r>
          </w:p>
        </w:tc>
      </w:tr>
      <w:tr>
        <w:trPr>
          <w:cantSplit/>
        </w:trPr>
        <w:tc>
          <w:tcPr>
            <w:tcW w:type="dxa" w:w="2381"/>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P386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değerlendirilebilir.</w:t>
            </w:r>
          </w:p>
        </w:tc>
      </w:tr>
      <w:tr>
        <w:trPr>
          <w:cantSplit/>
        </w:trPr>
        <w:tc>
          <w:tcPr>
            <w:tcW w:type="dxa" w:w="2381"/>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P388</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P393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4.1 Resm-i Osmânî’nin Kırâat Rivâyetlerinin Tespiti ve Tahdidindeki Rolü</w:t>
            </w:r>
          </w:p>
        </w:tc>
        <w:tc>
          <w:tcPr>
            <w:tcW w:type="dxa" w:w="567"/>
            <w:vAlign w:val="top"/>
            <w:tcMar>
              <w:top w:w="70" w:type="dxa"/>
              <w:start w:w="85" w:type="dxa"/>
              <w:bottom w:w="70" w:type="dxa"/>
              <w:end w:w="85" w:type="dxa"/>
            </w:tcMar>
          </w:tcPr>
          <w:p>
            <w:pPr>
              <w:spacing w:after="0"/>
            </w:pPr>
            <w:r>
              <w:rPr>
                <w:sz w:val="12"/>
              </w:rPr>
              <w:t>P394</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Bütün bunlar birlikte düşünüldüğünde Bu çerçevede, resm-i Osmânî'nin kırâat tarihi, rivâyet disiplini ve ümmetin ortak mushaf otoritesinin teşekkülünde belirleyici bir işleve sahip bulunduğu açıkça görülmektedir.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P398</w:t>
            </w:r>
          </w:p>
        </w:tc>
        <w:tc>
          <w:tcPr>
            <w:tcW w:type="dxa" w:w="1247"/>
            <w:vAlign w:val="top"/>
            <w:tcMar>
              <w:top w:w="70" w:type="dxa"/>
              <w:start w:w="85" w:type="dxa"/>
              <w:bottom w:w="70" w:type="dxa"/>
              <w:end w:w="85" w:type="dxa"/>
            </w:tcMar>
          </w:tcPr>
          <w:p>
            <w:pPr>
              <w:spacing w:after="0"/>
            </w:pPr>
            <w:r>
              <w:rPr>
                <w:sz w:val="12"/>
              </w:rPr>
              <w:t>değil, not</w:t>
            </w:r>
          </w:p>
        </w:tc>
        <w:tc>
          <w:tcPr>
            <w:tcW w:type="dxa" w:w="5953"/>
            <w:vAlign w:val="top"/>
            <w:tcMar>
              <w:top w:w="70" w:type="dxa"/>
              <w:start w:w="85" w:type="dxa"/>
              <w:bottom w:w="70" w:type="dxa"/>
              <w:end w:w="85" w:type="dxa"/>
            </w:tcMar>
          </w:tcPr>
          <w:p>
            <w:pPr>
              <w:spacing w:after="0"/>
            </w:pPr>
            <w:r>
              <w:rPr>
                <w:sz w:val="12"/>
              </w:rPr>
              <w:t>ifade edilmektedir.(burası daha önce düzeltilmemiş, ”anlaşılmaktadır”olarak kalmış)değil,</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P399</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belirtmektedir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P400</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Bu da resm-i Osmânî'nin, kırâat rivâyetleri arasında bağlayıcılık ölçüsü koyan kurucu bir çerçeve olduğunu ortaya koymaktadır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P401</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değerlendirilebilir.değil</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P402</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şeklinde görülmeyip,ifade edilebilir.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P403</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ifade edilmektedir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P404</w:t>
            </w:r>
          </w:p>
        </w:tc>
        <w:tc>
          <w:tcPr>
            <w:tcW w:type="dxa" w:w="1247"/>
            <w:vAlign w:val="top"/>
            <w:tcMar>
              <w:top w:w="70" w:type="dxa"/>
              <w:start w:w="85" w:type="dxa"/>
              <w:bottom w:w="70" w:type="dxa"/>
              <w:end w:w="85" w:type="dxa"/>
            </w:tcMar>
          </w:tcPr>
          <w:p>
            <w:pPr>
              <w:spacing w:after="0"/>
            </w:pPr>
            <w:r>
              <w:rPr>
                <w:sz w:val="12"/>
              </w:rPr>
              <w:t>açıkça</w:t>
            </w:r>
          </w:p>
        </w:tc>
        <w:tc>
          <w:tcPr>
            <w:tcW w:type="dxa" w:w="5953"/>
            <w:vAlign w:val="top"/>
            <w:tcMar>
              <w:top w:w="70" w:type="dxa"/>
              <w:start w:w="85" w:type="dxa"/>
              <w:bottom w:w="70" w:type="dxa"/>
              <w:end w:w="85" w:type="dxa"/>
            </w:tcMar>
          </w:tcPr>
          <w:p>
            <w:pPr>
              <w:spacing w:after="0"/>
            </w:pPr>
            <w:r>
              <w:rPr>
                <w:sz w:val="12"/>
              </w:rPr>
              <w:t>açıkça ortaya koymaktadır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P405</w:t>
            </w:r>
          </w:p>
        </w:tc>
        <w:tc>
          <w:tcPr>
            <w:tcW w:type="dxa" w:w="1247"/>
            <w:vAlign w:val="top"/>
            <w:tcMar>
              <w:top w:w="70" w:type="dxa"/>
              <w:start w:w="85" w:type="dxa"/>
              <w:bottom w:w="70" w:type="dxa"/>
              <w:end w:w="85" w:type="dxa"/>
            </w:tcMar>
          </w:tcPr>
          <w:p>
            <w:pPr>
              <w:spacing w:after="0"/>
            </w:pPr>
            <w:r>
              <w:rPr>
                <w:sz w:val="12"/>
              </w:rPr>
              <w:t>açıkça</w:t>
            </w:r>
          </w:p>
        </w:tc>
        <w:tc>
          <w:tcPr>
            <w:tcW w:type="dxa" w:w="5953"/>
            <w:vAlign w:val="top"/>
            <w:tcMar>
              <w:top w:w="70" w:type="dxa"/>
              <w:start w:w="85" w:type="dxa"/>
              <w:bottom w:w="70" w:type="dxa"/>
              <w:end w:w="85" w:type="dxa"/>
            </w:tcMar>
          </w:tcPr>
          <w:p>
            <w:pPr>
              <w:spacing w:after="0"/>
            </w:pPr>
            <w:r>
              <w:rPr>
                <w:sz w:val="12"/>
              </w:rPr>
              <w:t>açıkça ortaya çıkarmaktadır</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P406</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w:t>
            </w:r>
          </w:p>
        </w:tc>
      </w:tr>
      <w:tr>
        <w:trPr>
          <w:cantSplit/>
        </w:trPr>
        <w:tc>
          <w:tcPr>
            <w:tcW w:type="dxa" w:w="2381"/>
            <w:vAlign w:val="top"/>
            <w:tcMar>
              <w:top w:w="70" w:type="dxa"/>
              <w:start w:w="85" w:type="dxa"/>
              <w:bottom w:w="70" w:type="dxa"/>
              <w:end w:w="85" w:type="dxa"/>
            </w:tcMar>
          </w:tcPr>
          <w:p>
            <w:pPr>
              <w:spacing w:after="0"/>
            </w:pPr>
            <w:r>
              <w:rPr>
                <w:sz w:val="12"/>
              </w:rPr>
              <w:t>4.2 Sahâbe Mushaflarındaki Kırâat Rivâyetlerine Karşı Resm-i Osmânî’nin Konumu</w:t>
            </w:r>
          </w:p>
        </w:tc>
        <w:tc>
          <w:tcPr>
            <w:tcW w:type="dxa" w:w="567"/>
            <w:vAlign w:val="top"/>
            <w:tcMar>
              <w:top w:w="70" w:type="dxa"/>
              <w:start w:w="85" w:type="dxa"/>
              <w:bottom w:w="70" w:type="dxa"/>
              <w:end w:w="85" w:type="dxa"/>
            </w:tcMar>
          </w:tcPr>
          <w:p>
            <w:pPr>
              <w:spacing w:after="0"/>
            </w:pPr>
            <w:r>
              <w:rPr>
                <w:sz w:val="12"/>
              </w:rPr>
              <w:t>P407</w:t>
            </w:r>
          </w:p>
        </w:tc>
        <w:tc>
          <w:tcPr>
            <w:tcW w:type="dxa" w:w="1247"/>
            <w:vAlign w:val="top"/>
            <w:tcMar>
              <w:top w:w="70" w:type="dxa"/>
              <w:start w:w="85" w:type="dxa"/>
              <w:bottom w:w="70" w:type="dxa"/>
              <w:end w:w="85" w:type="dxa"/>
            </w:tcMar>
          </w:tcPr>
          <w:p>
            <w:pPr>
              <w:spacing w:after="0"/>
            </w:pPr>
            <w:r>
              <w:rPr>
                <w:sz w:val="12"/>
              </w:rPr>
              <w:t>sonuç</w:t>
            </w:r>
          </w:p>
        </w:tc>
        <w:tc>
          <w:tcPr>
            <w:tcW w:type="dxa" w:w="5953"/>
            <w:vAlign w:val="top"/>
            <w:tcMar>
              <w:top w:w="70" w:type="dxa"/>
              <w:start w:w="85" w:type="dxa"/>
              <w:bottom w:w="70" w:type="dxa"/>
              <w:end w:w="85" w:type="dxa"/>
            </w:tcMar>
          </w:tcPr>
          <w:p>
            <w:pPr>
              <w:spacing w:after="0"/>
            </w:pPr>
            <w:r>
              <w:rPr>
                <w:sz w:val="12"/>
              </w:rPr>
              <w:t>Sonuç olarak bu veriler birlikte değerlendirildiğindedeğerlendirilebilir.</w:t>
            </w:r>
          </w:p>
        </w:tc>
      </w:tr>
      <w:tr>
        <w:trPr>
          <w:cantSplit/>
        </w:trPr>
        <w:tc>
          <w:tcPr>
            <w:tcW w:type="dxa" w:w="2381"/>
            <w:vAlign w:val="top"/>
            <w:tcMar>
              <w:top w:w="70" w:type="dxa"/>
              <w:start w:w="85" w:type="dxa"/>
              <w:bottom w:w="70" w:type="dxa"/>
              <w:end w:w="85" w:type="dxa"/>
            </w:tcMar>
          </w:tcPr>
          <w:p>
            <w:pPr>
              <w:spacing w:after="0"/>
            </w:pPr>
            <w:r>
              <w:rPr>
                <w:sz w:val="12"/>
              </w:rPr>
              <w:t>4.3 Resm-i Osmânî’nin Kırâat Rivâyetlerinin Kabul ve Tercihindeki Belirleyici İşlevi</w:t>
            </w:r>
          </w:p>
        </w:tc>
        <w:tc>
          <w:tcPr>
            <w:tcW w:type="dxa" w:w="567"/>
            <w:vAlign w:val="top"/>
            <w:tcMar>
              <w:top w:w="70" w:type="dxa"/>
              <w:start w:w="85" w:type="dxa"/>
              <w:bottom w:w="70" w:type="dxa"/>
              <w:end w:w="85" w:type="dxa"/>
            </w:tcMar>
          </w:tcPr>
          <w:p>
            <w:pPr>
              <w:spacing w:after="0"/>
            </w:pPr>
            <w:r>
              <w:rPr>
                <w:sz w:val="12"/>
              </w:rPr>
              <w:t>P410</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Bu itibarla</w:t>
            </w:r>
          </w:p>
        </w:tc>
      </w:tr>
      <w:tr>
        <w:trPr>
          <w:cantSplit/>
        </w:trPr>
        <w:tc>
          <w:tcPr>
            <w:tcW w:type="dxa" w:w="2381"/>
            <w:vAlign w:val="top"/>
            <w:tcMar>
              <w:top w:w="70" w:type="dxa"/>
              <w:start w:w="85" w:type="dxa"/>
              <w:bottom w:w="70" w:type="dxa"/>
              <w:end w:w="85" w:type="dxa"/>
            </w:tcMar>
          </w:tcPr>
          <w:p>
            <w:pPr>
              <w:spacing w:after="0"/>
            </w:pPr>
            <w:r>
              <w:rPr>
                <w:sz w:val="12"/>
              </w:rPr>
              <w:t>4.3 Resm-i Osmânî’nin Kırâat Rivâyetlerinin Kabul ve Tercihindeki Belirleyici İşlevi</w:t>
            </w:r>
          </w:p>
        </w:tc>
        <w:tc>
          <w:tcPr>
            <w:tcW w:type="dxa" w:w="567"/>
            <w:vAlign w:val="top"/>
            <w:tcMar>
              <w:top w:w="70" w:type="dxa"/>
              <w:start w:w="85" w:type="dxa"/>
              <w:bottom w:w="70" w:type="dxa"/>
              <w:end w:w="85" w:type="dxa"/>
            </w:tcMar>
          </w:tcPr>
          <w:p>
            <w:pPr>
              <w:spacing w:after="0"/>
            </w:pPr>
            <w:r>
              <w:rPr>
                <w:sz w:val="12"/>
              </w:rPr>
              <w:t>P416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işlevi gördüğü anlaşılmaktadır.</w:t>
            </w:r>
          </w:p>
        </w:tc>
      </w:tr>
      <w:tr>
        <w:trPr>
          <w:cantSplit/>
        </w:trPr>
        <w:tc>
          <w:tcPr>
            <w:tcW w:type="dxa" w:w="2381"/>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P420</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w:t>
            </w:r>
          </w:p>
        </w:tc>
      </w:tr>
      <w:tr>
        <w:trPr>
          <w:cantSplit/>
        </w:trPr>
        <w:tc>
          <w:tcPr>
            <w:tcW w:type="dxa" w:w="2381"/>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P424</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 biçimde ortaya koymaktadır</w:t>
            </w:r>
          </w:p>
        </w:tc>
      </w:tr>
      <w:tr>
        <w:trPr>
          <w:cantSplit/>
        </w:trPr>
        <w:tc>
          <w:tcPr>
            <w:tcW w:type="dxa" w:w="2381"/>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göstermektedir</w:t>
            </w:r>
          </w:p>
        </w:tc>
      </w:tr>
      <w:tr>
        <w:trPr>
          <w:cantSplit/>
        </w:trPr>
        <w:tc>
          <w:tcPr>
            <w:tcW w:type="dxa" w:w="2381"/>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P427</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Bu sebeple resm-i Mushaf, okuyuşun fiilî icrasına yön veren bağlayıcı bir ölçü olarak karşımıza çıkmaktadır.</w:t>
            </w:r>
          </w:p>
        </w:tc>
      </w:tr>
      <w:tr>
        <w:trPr>
          <w:cantSplit/>
        </w:trPr>
        <w:tc>
          <w:tcPr>
            <w:tcW w:type="dxa" w:w="2381"/>
            <w:vAlign w:val="top"/>
            <w:tcMar>
              <w:top w:w="70" w:type="dxa"/>
              <w:start w:w="85" w:type="dxa"/>
              <w:bottom w:w="70" w:type="dxa"/>
              <w:end w:w="85" w:type="dxa"/>
            </w:tcMar>
          </w:tcPr>
          <w:p>
            <w:pPr>
              <w:spacing w:after="0"/>
            </w:pPr>
            <w:r>
              <w:rPr>
                <w:sz w:val="12"/>
              </w:rPr>
              <w:t>4.4 Resm-i Osmânî’nin Kırâatlerin Tercîhî, Tevcîhi ve Vakıf Uygulamalarına Etkisi</w:t>
            </w:r>
          </w:p>
        </w:tc>
        <w:tc>
          <w:tcPr>
            <w:tcW w:type="dxa" w:w="567"/>
            <w:vAlign w:val="top"/>
            <w:tcMar>
              <w:top w:w="70" w:type="dxa"/>
              <w:start w:w="85" w:type="dxa"/>
              <w:bottom w:w="70" w:type="dxa"/>
              <w:end w:w="85" w:type="dxa"/>
            </w:tcMar>
          </w:tcPr>
          <w:p>
            <w:pPr>
              <w:spacing w:after="0"/>
            </w:pPr>
            <w:r>
              <w:rPr>
                <w:sz w:val="12"/>
              </w:rPr>
              <w:t>P429</w:t>
            </w:r>
          </w:p>
        </w:tc>
        <w:tc>
          <w:tcPr>
            <w:tcW w:type="dxa" w:w="1247"/>
            <w:vAlign w:val="top"/>
            <w:tcMar>
              <w:top w:w="70" w:type="dxa"/>
              <w:start w:w="85" w:type="dxa"/>
              <w:bottom w:w="70" w:type="dxa"/>
              <w:end w:w="85" w:type="dxa"/>
            </w:tcMar>
          </w:tcPr>
          <w:p>
            <w:pPr>
              <w:spacing w:after="0"/>
            </w:pPr>
            <w:r>
              <w:rPr>
                <w:sz w:val="12"/>
              </w:rPr>
              <w:t>açıkça</w:t>
            </w:r>
          </w:p>
        </w:tc>
        <w:tc>
          <w:tcPr>
            <w:tcW w:type="dxa" w:w="5953"/>
            <w:vAlign w:val="top"/>
            <w:tcMar>
              <w:top w:w="70" w:type="dxa"/>
              <w:start w:w="85" w:type="dxa"/>
              <w:bottom w:w="70" w:type="dxa"/>
              <w:end w:w="85" w:type="dxa"/>
            </w:tcMar>
          </w:tcPr>
          <w:p>
            <w:pPr>
              <w:spacing w:after="0"/>
            </w:pPr>
            <w:r>
              <w:rPr>
                <w:sz w:val="12"/>
              </w:rPr>
              <w:t>açıkça ortaya koymaktadır</w:t>
            </w:r>
          </w:p>
        </w:tc>
      </w:tr>
      <w:tr>
        <w:trPr>
          <w:cantSplit/>
        </w:trPr>
        <w:tc>
          <w:tcPr>
            <w:tcW w:type="dxa" w:w="2381"/>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P432</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ö. 440/1048daha önce geçmişmi),</w:t>
            </w:r>
          </w:p>
        </w:tc>
      </w:tr>
      <w:tr>
        <w:trPr>
          <w:cantSplit/>
        </w:trPr>
        <w:tc>
          <w:tcPr>
            <w:tcW w:type="dxa" w:w="2381"/>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P434</w:t>
            </w:r>
          </w:p>
        </w:tc>
        <w:tc>
          <w:tcPr>
            <w:tcW w:type="dxa" w:w="1247"/>
            <w:vAlign w:val="top"/>
            <w:tcMar>
              <w:top w:w="70" w:type="dxa"/>
              <w:start w:w="85" w:type="dxa"/>
              <w:bottom w:w="70" w:type="dxa"/>
              <w:end w:w="85" w:type="dxa"/>
            </w:tcMar>
          </w:tcPr>
          <w:p>
            <w:pPr>
              <w:spacing w:after="0"/>
            </w:pPr>
            <w:r>
              <w:rPr>
                <w:sz w:val="12"/>
              </w:rPr>
              <w:t>değil, not</w:t>
            </w:r>
          </w:p>
        </w:tc>
        <w:tc>
          <w:tcPr>
            <w:tcW w:type="dxa" w:w="5953"/>
            <w:vAlign w:val="top"/>
            <w:tcMar>
              <w:top w:w="70" w:type="dxa"/>
              <w:start w:w="85" w:type="dxa"/>
              <w:bottom w:w="70" w:type="dxa"/>
              <w:end w:w="85" w:type="dxa"/>
            </w:tcMar>
          </w:tcPr>
          <w:p>
            <w:pPr>
              <w:spacing w:after="0"/>
            </w:pPr>
            <w:r>
              <w:rPr>
                <w:sz w:val="12"/>
              </w:rPr>
              <w:t>ö. 496/1103ö. 154/771daha önce geçti mideğil,</w:t>
            </w:r>
          </w:p>
        </w:tc>
      </w:tr>
      <w:tr>
        <w:trPr>
          <w:cantSplit/>
        </w:trPr>
        <w:tc>
          <w:tcPr>
            <w:tcW w:type="dxa" w:w="2381"/>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P436</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 442/10509daha önce geçti mi</w:t>
            </w:r>
          </w:p>
        </w:tc>
      </w:tr>
      <w:tr>
        <w:trPr>
          <w:cantSplit/>
        </w:trPr>
        <w:tc>
          <w:tcPr>
            <w:tcW w:type="dxa" w:w="2381"/>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P437</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ö. 642/1244daha önce geçti mi(ö. 590/1193) yansıttığı söylenebilir.</w:t>
            </w:r>
          </w:p>
        </w:tc>
      </w:tr>
      <w:tr>
        <w:trPr>
          <w:cantSplit/>
        </w:trPr>
        <w:tc>
          <w:tcPr>
            <w:tcW w:type="dxa" w:w="2381"/>
            <w:vAlign w:val="top"/>
            <w:tcMar>
              <w:top w:w="70" w:type="dxa"/>
              <w:start w:w="85" w:type="dxa"/>
              <w:bottom w:w="70" w:type="dxa"/>
              <w:end w:w="85" w:type="dxa"/>
            </w:tcMar>
          </w:tcPr>
          <w:p>
            <w:pPr>
              <w:spacing w:after="0"/>
            </w:pPr>
            <w:r>
              <w:rPr>
                <w:sz w:val="12"/>
              </w:rPr>
              <w:t>4.5 Resm-i Osmânî’nin Yazım Özelliklerine Dair Rivâyetlerin Kırâat İhtilaflarının Tespiti ve Yorumlanmasındaki Rolü</w:t>
            </w:r>
          </w:p>
        </w:tc>
        <w:tc>
          <w:tcPr>
            <w:tcW w:type="dxa" w:w="567"/>
            <w:vAlign w:val="top"/>
            <w:tcMar>
              <w:top w:w="70" w:type="dxa"/>
              <w:start w:w="85" w:type="dxa"/>
              <w:bottom w:w="70" w:type="dxa"/>
              <w:end w:w="85" w:type="dxa"/>
            </w:tcMar>
          </w:tcPr>
          <w:p>
            <w:pPr>
              <w:spacing w:after="0"/>
            </w:pPr>
            <w:r>
              <w:rPr>
                <w:sz w:val="12"/>
              </w:rPr>
              <w:t>P439</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değerlendirilebilir.</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P442</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(ö. 458/1066) ö. 553/1158</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P450</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değil,açıkça belirtmiştir</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P451</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açıkça ifade etmektedir.</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P453</w:t>
            </w:r>
          </w:p>
        </w:tc>
        <w:tc>
          <w:tcPr>
            <w:tcW w:type="dxa" w:w="1247"/>
            <w:vAlign w:val="top"/>
            <w:tcMar>
              <w:top w:w="70" w:type="dxa"/>
              <w:start w:w="85" w:type="dxa"/>
              <w:bottom w:w="70" w:type="dxa"/>
              <w:end w:w="85" w:type="dxa"/>
            </w:tcMar>
          </w:tcPr>
          <w:p>
            <w:pPr>
              <w:spacing w:after="0"/>
            </w:pPr>
            <w:r>
              <w:rPr>
                <w:sz w:val="12"/>
              </w:rPr>
              <w:t>değil</w:t>
            </w:r>
          </w:p>
        </w:tc>
        <w:tc>
          <w:tcPr>
            <w:tcW w:type="dxa" w:w="5953"/>
            <w:vAlign w:val="top"/>
            <w:tcMar>
              <w:top w:w="70" w:type="dxa"/>
              <w:start w:w="85" w:type="dxa"/>
              <w:bottom w:w="70" w:type="dxa"/>
              <w:end w:w="85" w:type="dxa"/>
            </w:tcMar>
          </w:tcPr>
          <w:p>
            <w:pPr>
              <w:spacing w:after="0"/>
            </w:pPr>
            <w:r>
              <w:rPr>
                <w:sz w:val="12"/>
              </w:rPr>
              <w:t>değil,</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P455</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Bütün bu veriler birlikte değerlendirildiğinde</w:t>
            </w:r>
          </w:p>
        </w:tc>
      </w:tr>
      <w:tr>
        <w:trPr>
          <w:cantSplit/>
        </w:trPr>
        <w:tc>
          <w:tcPr>
            <w:tcW w:type="dxa" w:w="2381"/>
            <w:vAlign w:val="top"/>
            <w:tcMar>
              <w:top w:w="70" w:type="dxa"/>
              <w:start w:w="85" w:type="dxa"/>
              <w:bottom w:w="70" w:type="dxa"/>
              <w:end w:w="85" w:type="dxa"/>
            </w:tcMar>
          </w:tcPr>
          <w:p>
            <w:pPr>
              <w:spacing w:after="0"/>
            </w:pPr>
            <w:r>
              <w:rPr>
                <w:sz w:val="12"/>
              </w:rPr>
              <w:t>4.6 Çağdaş Basılı Mushaflarda Resm-i Osmânî’nin Korunması ve Klasik Kaynaklara Dayalı Yazım Geleneği</w:t>
            </w:r>
          </w:p>
        </w:tc>
        <w:tc>
          <w:tcPr>
            <w:tcW w:type="dxa" w:w="567"/>
            <w:vAlign w:val="top"/>
            <w:tcMar>
              <w:top w:w="70" w:type="dxa"/>
              <w:start w:w="85" w:type="dxa"/>
              <w:bottom w:w="70" w:type="dxa"/>
              <w:end w:w="85" w:type="dxa"/>
            </w:tcMar>
          </w:tcPr>
          <w:p>
            <w:pPr>
              <w:spacing w:after="0"/>
            </w:pPr>
            <w:r>
              <w:rPr>
                <w:sz w:val="12"/>
              </w:rPr>
              <w:t>P456</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ilk dönem</w:t>
            </w:r>
          </w:p>
        </w:tc>
      </w:tr>
      <w:tr>
        <w:trPr>
          <w:cantSplit/>
        </w:trPr>
        <w:tc>
          <w:tcPr>
            <w:tcW w:type="dxa" w:w="2381"/>
            <w:vAlign w:val="top"/>
            <w:tcMar>
              <w:top w:w="70" w:type="dxa"/>
              <w:start w:w="85" w:type="dxa"/>
              <w:bottom w:w="70" w:type="dxa"/>
              <w:end w:w="85" w:type="dxa"/>
            </w:tcMar>
          </w:tcPr>
          <w:p>
            <w:pPr>
              <w:spacing w:after="0"/>
            </w:pPr>
            <w:r>
              <w:rPr>
                <w:sz w:val="12"/>
              </w:rPr>
              <w:t>4.7 Kırâat Rivâyetlerine Göre Düzenlenen Basılı Mushafların Yaygınlaşması ve Etkileri</w:t>
            </w:r>
          </w:p>
        </w:tc>
        <w:tc>
          <w:tcPr>
            <w:tcW w:type="dxa" w:w="567"/>
            <w:vAlign w:val="top"/>
            <w:tcMar>
              <w:top w:w="70" w:type="dxa"/>
              <w:start w:w="85" w:type="dxa"/>
              <w:bottom w:w="70" w:type="dxa"/>
              <w:end w:w="85" w:type="dxa"/>
            </w:tcMar>
          </w:tcPr>
          <w:p>
            <w:pPr>
              <w:spacing w:after="0"/>
            </w:pPr>
            <w:r>
              <w:rPr>
                <w:sz w:val="12"/>
              </w:rPr>
              <w:t>P463</w:t>
            </w:r>
          </w:p>
        </w:tc>
        <w:tc>
          <w:tcPr>
            <w:tcW w:type="dxa" w:w="1247"/>
            <w:vAlign w:val="top"/>
            <w:tcMar>
              <w:top w:w="70" w:type="dxa"/>
              <w:start w:w="85" w:type="dxa"/>
              <w:bottom w:w="70" w:type="dxa"/>
              <w:end w:w="85" w:type="dxa"/>
            </w:tcMar>
          </w:tcPr>
          <w:p>
            <w:pPr>
              <w:spacing w:after="0"/>
            </w:pPr>
            <w:r>
              <w:rPr>
                <w:sz w:val="12"/>
              </w:rPr>
              <w:t>not</w:t>
            </w:r>
          </w:p>
        </w:tc>
        <w:tc>
          <w:tcPr>
            <w:tcW w:type="dxa" w:w="5953"/>
            <w:vAlign w:val="top"/>
            <w:tcMar>
              <w:top w:w="70" w:type="dxa"/>
              <w:start w:w="85" w:type="dxa"/>
              <w:bottom w:w="70" w:type="dxa"/>
              <w:end w:w="85" w:type="dxa"/>
            </w:tcMar>
          </w:tcPr>
          <w:p>
            <w:pPr>
              <w:spacing w:after="0"/>
            </w:pPr>
            <w:r>
              <w:rPr>
                <w:sz w:val="12"/>
              </w:rPr>
              <w:t>ö. 408/1017daha önce geçti mi</w:t>
            </w:r>
          </w:p>
        </w:tc>
      </w:tr>
      <w:tr>
        <w:trPr>
          <w:cantSplit/>
        </w:trPr>
        <w:tc>
          <w:tcPr>
            <w:tcW w:type="dxa" w:w="2381"/>
            <w:vAlign w:val="top"/>
            <w:tcMar>
              <w:top w:w="70" w:type="dxa"/>
              <w:start w:w="85" w:type="dxa"/>
              <w:bottom w:w="70" w:type="dxa"/>
              <w:end w:w="85" w:type="dxa"/>
            </w:tcMar>
          </w:tcPr>
          <w:p>
            <w:pPr>
              <w:spacing w:after="0"/>
            </w:pPr>
            <w:r>
              <w:rPr>
                <w:sz w:val="12"/>
              </w:rPr>
              <w:t>4.7 Kırâat Rivâyetlerine Göre Düzenlenen Basılı Mushafların Yaygınlaşması ve Etkileri</w:t>
            </w:r>
          </w:p>
        </w:tc>
        <w:tc>
          <w:tcPr>
            <w:tcW w:type="dxa" w:w="567"/>
            <w:vAlign w:val="top"/>
            <w:tcMar>
              <w:top w:w="70" w:type="dxa"/>
              <w:start w:w="85" w:type="dxa"/>
              <w:bottom w:w="70" w:type="dxa"/>
              <w:end w:w="85" w:type="dxa"/>
            </w:tcMar>
          </w:tcPr>
          <w:p>
            <w:pPr>
              <w:spacing w:after="0"/>
            </w:pPr>
            <w:r>
              <w:rPr>
                <w:sz w:val="12"/>
              </w:rPr>
              <w:t>P464</w:t>
            </w:r>
          </w:p>
        </w:tc>
        <w:tc>
          <w:tcPr>
            <w:tcW w:type="dxa" w:w="1247"/>
            <w:vAlign w:val="top"/>
            <w:tcMar>
              <w:top w:w="70" w:type="dxa"/>
              <w:start w:w="85" w:type="dxa"/>
              <w:bottom w:w="70" w:type="dxa"/>
              <w:end w:w="85" w:type="dxa"/>
            </w:tcMar>
          </w:tcPr>
          <w:p>
            <w:pPr>
              <w:spacing w:after="0"/>
            </w:pPr>
            <w:r>
              <w:rPr>
                <w:sz w:val="12"/>
              </w:rPr>
              <w:t>diğer</w:t>
            </w:r>
          </w:p>
        </w:tc>
        <w:tc>
          <w:tcPr>
            <w:tcW w:type="dxa" w:w="5953"/>
            <w:vAlign w:val="top"/>
            <w:tcMar>
              <w:top w:w="70" w:type="dxa"/>
              <w:start w:w="85" w:type="dxa"/>
              <w:bottom w:w="70" w:type="dxa"/>
              <w:end w:w="85" w:type="dxa"/>
            </w:tcMar>
          </w:tcPr>
          <w:p>
            <w:pPr>
              <w:spacing w:after="0"/>
            </w:pPr>
            <w:r>
              <w:rPr>
                <w:sz w:val="12"/>
              </w:rPr>
              <w:t>dizgi baskılarının</w:t>
            </w:r>
          </w:p>
        </w:tc>
      </w:tr>
      <w:tr>
        <w:trPr>
          <w:cantSplit/>
        </w:trPr>
        <w:tc>
          <w:tcPr>
            <w:tcW w:type="dxa" w:w="2381"/>
            <w:vAlign w:val="top"/>
            <w:tcMar>
              <w:top w:w="70" w:type="dxa"/>
              <w:start w:w="85" w:type="dxa"/>
              <w:bottom w:w="70" w:type="dxa"/>
              <w:end w:w="85" w:type="dxa"/>
            </w:tcMar>
          </w:tcPr>
          <w:p>
            <w:pPr>
              <w:spacing w:after="0"/>
            </w:pPr>
            <w:r>
              <w:rPr>
                <w:sz w:val="12"/>
              </w:rPr>
              <w:t>4.7 Kırâat Rivâyetlerine Göre Düzenlenen Basılı Mushafların Yaygınlaşması ve Etkileri</w:t>
            </w:r>
          </w:p>
        </w:tc>
        <w:tc>
          <w:tcPr>
            <w:tcW w:type="dxa" w:w="567"/>
            <w:vAlign w:val="top"/>
            <w:tcMar>
              <w:top w:w="70" w:type="dxa"/>
              <w:start w:w="85" w:type="dxa"/>
              <w:bottom w:w="70" w:type="dxa"/>
              <w:end w:w="85" w:type="dxa"/>
            </w:tcMar>
          </w:tcPr>
          <w:p>
            <w:pPr>
              <w:spacing w:after="0"/>
            </w:pPr>
            <w:r>
              <w:rPr>
                <w:sz w:val="12"/>
              </w:rPr>
              <w:t>P467</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Osmanlı sahasında ise matbaanın kabulü daha tedricî bir seyir takip etmiştir. Matbaanın Sultan III. Ahmed döneminde İbrahim Müteferrika'nın girişimiyle kurulduğu ve İslâm ulemasının belirli şartlar altında kullanılmasına cevaz verdiği bilinmektedir. Bununla bi…</w:t>
            </w:r>
          </w:p>
        </w:tc>
      </w:tr>
      <w:tr>
        <w:trPr>
          <w:cantSplit/>
        </w:trPr>
        <w:tc>
          <w:tcPr>
            <w:tcW w:type="dxa" w:w="2381"/>
            <w:vAlign w:val="top"/>
            <w:tcMar>
              <w:top w:w="70" w:type="dxa"/>
              <w:start w:w="85" w:type="dxa"/>
              <w:bottom w:w="70" w:type="dxa"/>
              <w:end w:w="85" w:type="dxa"/>
            </w:tcMar>
          </w:tcPr>
          <w:p>
            <w:pPr>
              <w:spacing w:after="0"/>
            </w:pPr>
            <w:r>
              <w:rPr>
                <w:sz w:val="12"/>
              </w:rPr>
              <w:t>Sonuç</w:t>
            </w:r>
          </w:p>
        </w:tc>
        <w:tc>
          <w:tcPr>
            <w:tcW w:type="dxa" w:w="567"/>
            <w:vAlign w:val="top"/>
            <w:tcMar>
              <w:top w:w="70" w:type="dxa"/>
              <w:start w:w="85" w:type="dxa"/>
              <w:bottom w:w="70" w:type="dxa"/>
              <w:end w:w="85" w:type="dxa"/>
            </w:tcMar>
          </w:tcPr>
          <w:p>
            <w:pPr>
              <w:spacing w:after="0"/>
            </w:pPr>
            <w:r>
              <w:rPr>
                <w:sz w:val="12"/>
              </w:rPr>
              <w:t>P480</w:t>
            </w:r>
          </w:p>
        </w:tc>
        <w:tc>
          <w:tcPr>
            <w:tcW w:type="dxa" w:w="1247"/>
            <w:vAlign w:val="top"/>
            <w:tcMar>
              <w:top w:w="70" w:type="dxa"/>
              <w:start w:w="85" w:type="dxa"/>
              <w:bottom w:w="70" w:type="dxa"/>
              <w:end w:w="85" w:type="dxa"/>
            </w:tcMar>
          </w:tcPr>
          <w:p>
            <w:pPr>
              <w:spacing w:after="0"/>
            </w:pPr>
            <w:r>
              <w:rPr>
                <w:sz w:val="12"/>
              </w:rPr>
              <w:t>uzun</w:t>
            </w:r>
          </w:p>
        </w:tc>
        <w:tc>
          <w:tcPr>
            <w:tcW w:type="dxa" w:w="5953"/>
            <w:vAlign w:val="top"/>
            <w:tcMar>
              <w:top w:w="70" w:type="dxa"/>
              <w:start w:w="85" w:type="dxa"/>
              <w:bottom w:w="70" w:type="dxa"/>
              <w:end w:w="85" w:type="dxa"/>
            </w:tcMar>
          </w:tcPr>
          <w:p>
            <w:pPr>
              <w:spacing w:after="0"/>
            </w:pPr>
            <w:r>
              <w:rPr>
                <w:sz w:val="12"/>
              </w:rPr>
              <w:t>Kaynaklarda heyetin yapısı ile imam mushaf dâhil altı mushafın dağılımına ilişkin farklı rivâyetlerin bulunması, tarihsel ayrıntılar konusunda ihtiyatlı olmayı gerektirmektedir.</w:t>
            </w:r>
          </w:p>
        </w:tc>
      </w:tr>
    </w:tbl>
    <w:p>
      <w:pPr>
        <w:spacing w:before="200"/>
      </w:pPr>
      <w:r>
        <w:rPr>
          <w:b/>
        </w:rPr>
        <w:t xml:space="preserve">Nihai not: </w:t>
      </w:r>
      <w:r>
        <w:t>Bu üçüncü rapor, önceki iki raporun yerine geçmez; onların uygulanmasını yönetmek için bir kapatma ve doğrulama katmanıdır. Eserde doğrudan metin değişikliğine geçildiğinde bu rapordaki sıralama izlenirse bilimsel içerik, yapı, üslup ve teknik finalizasyon birbirine karışmadan ilerletilebilir.</w:t>
      </w:r>
    </w:p>
    <w:p>
      <w:r>
        <w:br w:type="page"/>
      </w:r>
    </w:p>
    <w:p>
      <w:pPr>
        <w:pStyle w:val="Heading1"/>
      </w:pPr>
      <w:r>
        <w:t>Birleşik Raporun Kullanım Notu</w:t>
      </w:r>
    </w:p>
    <w:p>
      <w:r>
        <w:rPr>
          <w:rFonts w:ascii="Aptos" w:hAnsi="Aptos" w:cs="Aptos" w:eastAsia="Aptos"/>
          <w:b/>
          <w:sz w:val="21"/>
        </w:rPr>
        <w:t>Bu birleşik sürüm, önceki üç raporun ayrıntılı içeriğini tek dosyada korur. Bundan sonraki manuscript düzeltmelerinde ayrı raporlar arasında geçiş yapmak yerine bu dosya esas alınabilir. Üçüncü Kısım uygulama ve kapanış kontrolü için önceliklidir; Birinci ve İkinci Kısımlar ilgili maddelerin gerekçesi ve önerilen metinleri için ayrıntılı başvuru bölümleridir.</w:t>
      </w:r>
    </w:p>
    <w:sectPr w:rsidR="00FC693F" w:rsidRPr="0006063C" w:rsidSect="00034616">
      <w:footerReference w:type="default" r:id="rId9"/>
      <w:pgSz w:w="12240" w:h="15840"/>
      <w:pgMar w:top="1247" w:right="1219"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180" w:after="100"/>
      <w:outlineLvl w:val="0"/>
    </w:pPr>
    <w:rPr>
      <w:rFonts w:asciiTheme="majorHAnsi" w:eastAsiaTheme="majorEastAsia" w:hAnsiTheme="majorHAnsi" w:cstheme="majorBidi" w:ascii="Times New Roman" w:hAnsi="Times New Roman"/>
      <w:b/>
      <w:bCs/>
      <w:color w:val="2F5496"/>
      <w:sz w:val="31"/>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180" w:after="100"/>
      <w:outlineLvl w:val="3"/>
    </w:pPr>
    <w:rPr>
      <w:rFonts w:asciiTheme="majorHAnsi" w:eastAsiaTheme="majorEastAsia" w:hAnsiTheme="majorHAnsi" w:cstheme="majorBidi" w:ascii="Times New Roman" w:hAnsi="Times New Roman"/>
      <w:b/>
      <w:bCs/>
      <w:i/>
      <w:iCs/>
      <w:color w:val="2F549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ueQuote">
    <w:name w:val="Issue Quote"/>
    <w:pPr>
      <w:spacing w:after="80"/>
      <w:ind w:left="369" w:right="142"/>
    </w:pPr>
    <w:rPr>
      <w:rFonts w:ascii="Times New Roman" w:hAnsi="Times New Roman"/>
      <w:i/>
      <w:sz w:val="20"/>
    </w:rPr>
  </w:style>
  <w:style w:type="paragraph" w:customStyle="1" w:styleId="Compact">
    <w:name w:val="Compact"/>
    <w:pPr>
      <w:spacing w:after="30" w:line="240" w:lineRule="auto"/>
    </w:pPr>
    <w:rPr>
      <w:rFonts w:ascii="Times New Roman" w:hAnsi="Times New Roman"/>
      <w:sz w:val="18"/>
    </w:rPr>
  </w:style>
  <w:style w:type="paragraph" w:customStyle="1" w:styleId="QuoteBlock">
    <w:name w:val="QuoteBlock"/>
    <w:pPr>
      <w:spacing w:before="60" w:after="120"/>
      <w:ind w:left="397" w:right="227"/>
    </w:pPr>
    <w:rPr>
      <w:rFonts w:ascii="Times New Roman" w:hAnsi="Times New Roman" w:eastAsia="Times New Roman"/>
      <w:i/>
      <w:color w:val="3737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Kırâatlerin Rivayetinde Resm-i Mushaf’ın Etkisi - Kapsamlı Akademik Son Denetim Raporu</dc:title>
  <dc:subject>Akademik, bilimsel, editoryal, kaynak, İSNAD 2 ve teknik yayın öncesi denetim</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