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0"/>
        </w:rPr>
        <w:t>KIRÂATLERİN RİVAYETİNDE</w:t>
        <w:br/>
        <w:t>RESM-İ MUSHAF’IN ETKİSİ</w:t>
      </w:r>
    </w:p>
    <w:p>
      <w:pPr>
        <w:jc w:val="center"/>
      </w:pPr>
      <w:r>
        <w:rPr>
          <w:rFonts w:ascii="Times New Roman" w:hAnsi="Times New Roman"/>
          <w:b/>
          <w:sz w:val="32"/>
        </w:rPr>
        <w:t>METİNSEL AKIŞ, GEÇİŞ, TEKRAR VE</w:t>
        <w:br/>
        <w:t>FORMÜLAİK ANLATIM SON DENETİM RAPORU</w:t>
      </w:r>
    </w:p>
    <w:p>
      <w:pPr>
        <w:jc w:val="center"/>
      </w:pPr>
      <w:r>
        <w:rPr>
          <w:i/>
        </w:rPr>
        <w:t>Bağımsız ikinci tarama + önceki kapsamlı raporla karşılaştırmalı kontrol</w:t>
      </w:r>
    </w:p>
    <w:p/>
    <w:tbl>
      <w:tblPr>
        <w:tblStyle w:val="TableGrid"/>
        <w:tblW w:type="auto" w:w="0"/>
        <w:jc w:val="center"/>
        <w:tblLook w:firstColumn="1" w:firstRow="1" w:lastColumn="0" w:lastRow="0" w:noHBand="0" w:noVBand="1" w:val="04A0"/>
      </w:tblPr>
      <w:tblGrid>
        <w:gridCol w:w="4703"/>
        <w:gridCol w:w="4703"/>
      </w:tblGrid>
      <w:tr>
        <w:tc>
          <w:tcPr>
            <w:tcW w:type="dxa" w:w="4703"/>
            <w:shd w:fill="D9EAF7"/>
            <w:tcMar>
              <w:top w:w="80" w:type="dxa"/>
              <w:start w:w="100" w:type="dxa"/>
              <w:bottom w:w="80" w:type="dxa"/>
              <w:end w:w="100" w:type="dxa"/>
            </w:tcMar>
          </w:tcPr>
          <w:p>
            <w:r>
              <w:rPr>
                <w:rFonts w:ascii="Times New Roman" w:hAnsi="Times New Roman" w:eastAsia="Times New Roman"/>
                <w:sz w:val="17"/>
              </w:rPr>
              <w:t>Ana inceleme metni</w:t>
            </w:r>
          </w:p>
        </w:tc>
        <w:tc>
          <w:tcPr>
            <w:tcW w:type="dxa" w:w="4703"/>
            <w:tcMar>
              <w:top w:w="80" w:type="dxa"/>
              <w:start w:w="100" w:type="dxa"/>
              <w:bottom w:w="80" w:type="dxa"/>
              <w:end w:w="100" w:type="dxa"/>
            </w:tcMar>
          </w:tcPr>
          <w:p>
            <w:r>
              <w:rPr>
                <w:rFonts w:ascii="Times New Roman" w:hAnsi="Times New Roman" w:eastAsia="Times New Roman"/>
                <w:sz w:val="17"/>
              </w:rPr>
              <w:t>muazzam_yener_kiraatlerin_rivayetinde_resm-i_mushafin_etkisi_redaktorden_gelen.docx</w:t>
            </w:r>
          </w:p>
        </w:tc>
      </w:tr>
      <w:tr>
        <w:tc>
          <w:tcPr>
            <w:tcW w:type="dxa" w:w="4703"/>
            <w:shd w:fill="D9EAF7"/>
            <w:tcMar>
              <w:top w:w="80" w:type="dxa"/>
              <w:start w:w="100" w:type="dxa"/>
              <w:bottom w:w="80" w:type="dxa"/>
              <w:end w:w="100" w:type="dxa"/>
            </w:tcMar>
          </w:tcPr>
          <w:p>
            <w:r>
              <w:rPr>
                <w:rFonts w:ascii="Times New Roman" w:hAnsi="Times New Roman" w:eastAsia="Times New Roman"/>
                <w:sz w:val="17"/>
              </w:rPr>
              <w:t>Karşılaştırma</w:t>
            </w:r>
          </w:p>
        </w:tc>
        <w:tc>
          <w:tcPr>
            <w:tcW w:type="dxa" w:w="4703"/>
            <w:tcMar>
              <w:top w:w="80" w:type="dxa"/>
              <w:start w:w="100" w:type="dxa"/>
              <w:bottom w:w="80" w:type="dxa"/>
              <w:end w:w="100" w:type="dxa"/>
            </w:tcMar>
          </w:tcPr>
          <w:p>
            <w:r>
              <w:rPr>
                <w:rFonts w:ascii="Times New Roman" w:hAnsi="Times New Roman" w:eastAsia="Times New Roman"/>
                <w:sz w:val="17"/>
              </w:rPr>
              <w:t>Kiraatlerin_Rivayetinde_Resm-i_Mushafin_Etkisi_Kapsamli_Akademik_Son_Denetim_Raporu.docx</w:t>
            </w:r>
          </w:p>
        </w:tc>
      </w:tr>
      <w:tr>
        <w:tc>
          <w:tcPr>
            <w:tcW w:type="dxa" w:w="4703"/>
            <w:shd w:fill="D9EAF7"/>
            <w:tcMar>
              <w:top w:w="80" w:type="dxa"/>
              <w:start w:w="100" w:type="dxa"/>
              <w:bottom w:w="80" w:type="dxa"/>
              <w:end w:w="100" w:type="dxa"/>
            </w:tcMar>
          </w:tcPr>
          <w:p>
            <w:r>
              <w:rPr>
                <w:rFonts w:ascii="Times New Roman" w:hAnsi="Times New Roman" w:eastAsia="Times New Roman"/>
                <w:sz w:val="17"/>
              </w:rPr>
              <w:t>Kontrol listesi</w:t>
            </w:r>
          </w:p>
        </w:tc>
        <w:tc>
          <w:tcPr>
            <w:tcW w:type="dxa" w:w="4703"/>
            <w:tcMar>
              <w:top w:w="80" w:type="dxa"/>
              <w:start w:w="100" w:type="dxa"/>
              <w:bottom w:w="80" w:type="dxa"/>
              <w:end w:w="100" w:type="dxa"/>
            </w:tcMar>
          </w:tcPr>
          <w:p>
            <w:r>
              <w:rPr>
                <w:rFonts w:ascii="Times New Roman" w:hAnsi="Times New Roman" w:eastAsia="Times New Roman"/>
                <w:sz w:val="17"/>
              </w:rPr>
              <w:t>düzeltilecekler dosyası</w:t>
            </w:r>
          </w:p>
        </w:tc>
      </w:tr>
      <w:tr>
        <w:tc>
          <w:tcPr>
            <w:tcW w:type="dxa" w:w="4703"/>
            <w:shd w:fill="D9EAF7"/>
            <w:tcMar>
              <w:top w:w="80" w:type="dxa"/>
              <w:start w:w="100" w:type="dxa"/>
              <w:bottom w:w="80" w:type="dxa"/>
              <w:end w:w="100" w:type="dxa"/>
            </w:tcMar>
          </w:tcPr>
          <w:p>
            <w:r>
              <w:rPr>
                <w:rFonts w:ascii="Times New Roman" w:hAnsi="Times New Roman" w:eastAsia="Times New Roman"/>
                <w:sz w:val="17"/>
              </w:rPr>
              <w:t>Dış kaynak</w:t>
            </w:r>
          </w:p>
        </w:tc>
        <w:tc>
          <w:tcPr>
            <w:tcW w:type="dxa" w:w="4703"/>
            <w:tcMar>
              <w:top w:w="80" w:type="dxa"/>
              <w:start w:w="100" w:type="dxa"/>
              <w:bottom w:w="80" w:type="dxa"/>
              <w:end w:w="100" w:type="dxa"/>
            </w:tcMar>
          </w:tcPr>
          <w:p>
            <w:r>
              <w:rPr>
                <w:rFonts w:ascii="Times New Roman" w:hAnsi="Times New Roman" w:eastAsia="Times New Roman"/>
                <w:sz w:val="17"/>
              </w:rPr>
              <w:t>Kullanılmadı</w:t>
            </w:r>
          </w:p>
        </w:tc>
      </w:tr>
    </w:tbl>
    <w:p>
      <w:r>
        <w:br w:type="page"/>
      </w:r>
    </w:p>
    <w:p>
      <w:pPr>
        <w:pStyle w:val="Heading1"/>
        <w:keepNext/>
      </w:pPr>
      <w:r>
        <w:t>1. Genel Metinsel Akış ve Üslup Değerlendirmesi</w:t>
      </w:r>
    </w:p>
    <w:p>
      <w:r>
        <w:t>Bu ikinci denetim önceki kapsamlı raporun bulgularını başlangıç noktası olarak kullanmadan yapılmış; kitap önce paragraf ve bölüm akışı bakımından bağımsız olarak taranmış, daha sonra bulgular önceki raporla karşılaştırılmıştır. İncelemenin odağı bilimsel içeriği yeniden hakemlemek değil, mevcut ilmî çerçevenin kitap boyunca nasıl ilerlediğini ve okura nasıl aktarıldığını denetlemektir.</w:t>
      </w:r>
    </w:p>
    <w:p>
      <w:r>
        <w:t>Güncel nüshada ana tez özellikle Önsöz, Giriş ve Sonuçta açık ve tutarlıdır. Buna karşılık gövdede düşünce akışını zayıflatan başlıca problem, yanlış bilgi kadar “aynı doğru düşüncenin fazla sayıda yeniden kurulmasıdır”. Birçok alt başlık, önce bir çerçeve paragrafı kurmakta, ardından örnekleri vermekte, sonra bir ara sonuç çıkarmakta ve sonraki birkaç paragrafta aynı değerlendirmeyi farklı kelimelerle tekrar etmektedir. Bu yapı özellikle 1.4–1.10, 2.1–2.4, 3.4–3.12 ve 4.1–4.7’de belirgindir.</w:t>
      </w:r>
    </w:p>
    <w:p>
      <w:r>
        <w:t>En ağır akış sorunları beş türde yoğunlaşmaktadır: (1) deliller tamamlanmadan gelen erken sentezler, (2) alt başlık bitmeden konuyu kapatan mini-sonuç paragrafları, (3) bir sonraki alt başlığın konusunu önceki başlıkta ayrıntılı biçimde anlatma, (4) bölümün ana tezini her alt başlıkta yeniden kurma ve (5) “Bu çerçevede / Nitekim / Böylece / Dolayısıyla / göstermektedir / ortaya koymaktadır” zincirlerinin düşünsel ilişkiyi açıklamak yerine mekanik geçiş görevi görmesi.</w:t>
      </w:r>
    </w:p>
    <w:p>
      <w:r>
        <w:t>Bu nedenle önerilen redaksiyonun ana ilkesi yeni metin eklemek değil, önce gereksiz tekrarları çıkarmak, sonra kalan paragrafların ilk ve son cümlelerini birbirine bağlamak olmalıdır. Yeni geçiş paragrafı yalnız mevcut cümlelerin düzenlenmesiyle bağ kurulamadığı yerlerde kullanılmalıdır.</w:t>
      </w:r>
    </w:p>
    <w:p>
      <w:pPr>
        <w:pStyle w:val="Heading1"/>
        <w:keepNext/>
      </w:pPr>
      <w:r>
        <w:t>2. Yüksek Öncelikli Yapısal ve Geçiş Sorunları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r>
              <w:rPr>
                <w:rFonts w:ascii="Times New Roman" w:hAnsi="Times New Roman" w:eastAsia="Times New Roman"/>
                <w:b/>
                <w:color w:val="FFFFFF"/>
                <w:sz w:val="17"/>
              </w:rPr>
              <w:t>Yer</w:t>
            </w:r>
          </w:p>
        </w:tc>
        <w:tc>
          <w:tcPr>
            <w:tcW w:type="dxa" w:w="2351"/>
            <w:shd w:fill="1F4E79"/>
          </w:tcPr>
          <w:p>
            <w:r>
              <w:rPr>
                <w:rFonts w:ascii="Times New Roman" w:hAnsi="Times New Roman" w:eastAsia="Times New Roman"/>
                <w:b/>
                <w:color w:val="FFFFFF"/>
                <w:sz w:val="17"/>
              </w:rPr>
              <w:t>Temel sorun</w:t>
            </w:r>
          </w:p>
        </w:tc>
        <w:tc>
          <w:tcPr>
            <w:tcW w:type="dxa" w:w="2351"/>
            <w:shd w:fill="1F4E79"/>
          </w:tcPr>
          <w:p>
            <w:r>
              <w:rPr>
                <w:rFonts w:ascii="Times New Roman" w:hAnsi="Times New Roman" w:eastAsia="Times New Roman"/>
                <w:b/>
                <w:color w:val="FFFFFF"/>
                <w:sz w:val="17"/>
              </w:rPr>
              <w:t>Önerilen işlem</w:t>
            </w:r>
          </w:p>
        </w:tc>
        <w:tc>
          <w:tcPr>
            <w:tcW w:type="dxa" w:w="2351"/>
            <w:shd w:fill="1F4E79"/>
          </w:tcPr>
          <w:p>
            <w:r>
              <w:rPr>
                <w:rFonts w:ascii="Times New Roman" w:hAnsi="Times New Roman" w:eastAsia="Times New Roman"/>
                <w:b/>
                <w:color w:val="FFFFFF"/>
                <w:sz w:val="17"/>
              </w:rPr>
              <w:t>Önceki rapor</w:t>
            </w:r>
          </w:p>
        </w:tc>
      </w:tr>
      <w:tr>
        <w:tc>
          <w:tcPr>
            <w:tcW w:type="dxa" w:w="2351"/>
            <w:tcMar>
              <w:top w:w="80" w:type="dxa"/>
              <w:start w:w="100" w:type="dxa"/>
              <w:bottom w:w="80" w:type="dxa"/>
              <w:end w:w="100" w:type="dxa"/>
            </w:tcMar>
            <w:vAlign w:val="top"/>
          </w:tcPr>
          <w:p>
            <w:r>
              <w:rPr>
                <w:rFonts w:ascii="Times New Roman" w:hAnsi="Times New Roman" w:eastAsia="Times New Roman"/>
                <w:sz w:val="17"/>
              </w:rPr>
              <w:t>Giriş</w:t>
            </w:r>
          </w:p>
        </w:tc>
        <w:tc>
          <w:tcPr>
            <w:tcW w:type="dxa" w:w="2351"/>
            <w:tcMar>
              <w:top w:w="80" w:type="dxa"/>
              <w:start w:w="100" w:type="dxa"/>
              <w:bottom w:w="80" w:type="dxa"/>
              <w:end w:w="100" w:type="dxa"/>
            </w:tcMar>
            <w:vAlign w:val="top"/>
          </w:tcPr>
          <w:p>
            <w:r>
              <w:rPr>
                <w:rFonts w:ascii="Times New Roman" w:hAnsi="Times New Roman" w:eastAsia="Times New Roman"/>
                <w:sz w:val="17"/>
              </w:rPr>
              <w:t>Amaç–kapsam–yöntem–kaynak–katkı–bölüm planı dizisi iki kez kuruluyor; 4. bölüm ön izlemesi yöntemden önce geliyor.</w:t>
            </w:r>
          </w:p>
        </w:tc>
        <w:tc>
          <w:tcPr>
            <w:tcW w:type="dxa" w:w="2351"/>
            <w:tcMar>
              <w:top w:w="80" w:type="dxa"/>
              <w:start w:w="100" w:type="dxa"/>
              <w:bottom w:w="80" w:type="dxa"/>
              <w:end w:w="100" w:type="dxa"/>
            </w:tcMar>
            <w:vAlign w:val="top"/>
          </w:tcPr>
          <w:p>
            <w:r>
              <w:rPr>
                <w:rFonts w:ascii="Times New Roman" w:hAnsi="Times New Roman" w:eastAsia="Times New Roman"/>
                <w:sz w:val="17"/>
              </w:rPr>
              <w:t>30. paragrafı bölüm planına taşı; yöntem ve kaynak kullanımını art arda getir; bölüm tanıtımlarını kısalt.</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1.1</w:t>
            </w:r>
          </w:p>
        </w:tc>
        <w:tc>
          <w:tcPr>
            <w:tcW w:type="dxa" w:w="2351"/>
            <w:tcMar>
              <w:top w:w="80" w:type="dxa"/>
              <w:start w:w="100" w:type="dxa"/>
              <w:bottom w:w="80" w:type="dxa"/>
              <w:end w:w="100" w:type="dxa"/>
            </w:tcMar>
            <w:vAlign w:val="top"/>
          </w:tcPr>
          <w:p>
            <w:r>
              <w:rPr>
                <w:rFonts w:ascii="Times New Roman" w:hAnsi="Times New Roman" w:eastAsia="Times New Roman"/>
                <w:sz w:val="17"/>
              </w:rPr>
              <w:t>İlk sentez ve İslâm’a geçişten sonra tekrar İslâm öncesi örneklere dönülüyor.</w:t>
            </w:r>
          </w:p>
        </w:tc>
        <w:tc>
          <w:tcPr>
            <w:tcW w:type="dxa" w:w="2351"/>
            <w:tcMar>
              <w:top w:w="80" w:type="dxa"/>
              <w:start w:w="100" w:type="dxa"/>
              <w:bottom w:w="80" w:type="dxa"/>
              <w:end w:w="100" w:type="dxa"/>
            </w:tcMar>
            <w:vAlign w:val="top"/>
          </w:tcPr>
          <w:p>
            <w:r>
              <w:rPr>
                <w:rFonts w:ascii="Times New Roman" w:hAnsi="Times New Roman" w:eastAsia="Times New Roman"/>
                <w:sz w:val="17"/>
              </w:rPr>
              <w:t>49–50. paragrafları sona taşı/erit; tek sentez 56’da kalsın.</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1.3 → 1.4</w:t>
            </w:r>
          </w:p>
        </w:tc>
        <w:tc>
          <w:tcPr>
            <w:tcW w:type="dxa" w:w="2351"/>
            <w:tcMar>
              <w:top w:w="80" w:type="dxa"/>
              <w:start w:w="100" w:type="dxa"/>
              <w:bottom w:w="80" w:type="dxa"/>
              <w:end w:w="100" w:type="dxa"/>
            </w:tcMar>
            <w:vAlign w:val="top"/>
          </w:tcPr>
          <w:p>
            <w:r>
              <w:rPr>
                <w:rFonts w:ascii="Times New Roman" w:hAnsi="Times New Roman" w:eastAsia="Times New Roman"/>
                <w:sz w:val="17"/>
              </w:rPr>
              <w:t>Yedi harf ve arza-i âhire tartışması 1.3’te ayrıntılandırılarak 1.4 ve 2.3’ün alanına giriyor.</w:t>
            </w:r>
          </w:p>
        </w:tc>
        <w:tc>
          <w:tcPr>
            <w:tcW w:type="dxa" w:w="2351"/>
            <w:tcMar>
              <w:top w:w="80" w:type="dxa"/>
              <w:start w:w="100" w:type="dxa"/>
              <w:bottom w:w="80" w:type="dxa"/>
              <w:end w:w="100" w:type="dxa"/>
            </w:tcMar>
            <w:vAlign w:val="top"/>
          </w:tcPr>
          <w:p>
            <w:r>
              <w:rPr>
                <w:rFonts w:ascii="Times New Roman" w:hAnsi="Times New Roman" w:eastAsia="Times New Roman"/>
                <w:sz w:val="17"/>
              </w:rPr>
              <w:t>1.3’ü suhufun akıbetiyle kapat; sonraki tartışmaya yalnız kısa köprü bırak.</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1.4</w:t>
            </w:r>
          </w:p>
        </w:tc>
        <w:tc>
          <w:tcPr>
            <w:tcW w:type="dxa" w:w="2351"/>
            <w:tcMar>
              <w:top w:w="80" w:type="dxa"/>
              <w:start w:w="100" w:type="dxa"/>
              <w:bottom w:w="80" w:type="dxa"/>
              <w:end w:w="100" w:type="dxa"/>
            </w:tcMar>
            <w:vAlign w:val="top"/>
          </w:tcPr>
          <w:p>
            <w:r>
              <w:rPr>
                <w:rFonts w:ascii="Times New Roman" w:hAnsi="Times New Roman" w:eastAsia="Times New Roman"/>
                <w:sz w:val="17"/>
              </w:rPr>
              <w:t>İstinsahın gerekçeleri anlatıldıktan sonra “asıl üzerinde durulması gereken” denilerek aynı gerekçeler yeniden başlatılıyor.</w:t>
            </w:r>
          </w:p>
        </w:tc>
        <w:tc>
          <w:tcPr>
            <w:tcW w:type="dxa" w:w="2351"/>
            <w:tcMar>
              <w:top w:w="80" w:type="dxa"/>
              <w:start w:w="100" w:type="dxa"/>
              <w:bottom w:w="80" w:type="dxa"/>
              <w:end w:w="100" w:type="dxa"/>
            </w:tcMar>
            <w:vAlign w:val="top"/>
          </w:tcPr>
          <w:p>
            <w:r>
              <w:rPr>
                <w:rFonts w:ascii="Times New Roman" w:hAnsi="Times New Roman" w:eastAsia="Times New Roman"/>
                <w:sz w:val="17"/>
              </w:rPr>
              <w:t>96–98’i önceki açıklamalara yedir; tek kapanış bırak.</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1.5</w:t>
            </w:r>
          </w:p>
        </w:tc>
        <w:tc>
          <w:tcPr>
            <w:tcW w:type="dxa" w:w="2351"/>
            <w:tcMar>
              <w:top w:w="80" w:type="dxa"/>
              <w:start w:w="100" w:type="dxa"/>
              <w:bottom w:w="80" w:type="dxa"/>
              <w:end w:w="100" w:type="dxa"/>
            </w:tcMar>
            <w:vAlign w:val="top"/>
          </w:tcPr>
          <w:p>
            <w:r>
              <w:rPr>
                <w:rFonts w:ascii="Times New Roman" w:hAnsi="Times New Roman" w:eastAsia="Times New Roman"/>
                <w:sz w:val="17"/>
              </w:rPr>
              <w:t>Klasik görüşler, çağdaş araştırmacılar ve ardından iki ayrı sentez üçlü kapanış oluşturuyor.</w:t>
            </w:r>
          </w:p>
        </w:tc>
        <w:tc>
          <w:tcPr>
            <w:tcW w:type="dxa" w:w="2351"/>
            <w:tcMar>
              <w:top w:w="80" w:type="dxa"/>
              <w:start w:w="100" w:type="dxa"/>
              <w:bottom w:w="80" w:type="dxa"/>
              <w:end w:w="100" w:type="dxa"/>
            </w:tcMar>
            <w:vAlign w:val="top"/>
          </w:tcPr>
          <w:p>
            <w:r>
              <w:rPr>
                <w:rFonts w:ascii="Times New Roman" w:hAnsi="Times New Roman" w:eastAsia="Times New Roman"/>
                <w:sz w:val="17"/>
              </w:rPr>
              <w:t>108’i ara sonuç olmaktan çıkar; 115–116 ile tek ihtiyatlı sentez oluştur.</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1.8</w:t>
            </w:r>
          </w:p>
        </w:tc>
        <w:tc>
          <w:tcPr>
            <w:tcW w:type="dxa" w:w="2351"/>
            <w:tcMar>
              <w:top w:w="80" w:type="dxa"/>
              <w:start w:w="100" w:type="dxa"/>
              <w:bottom w:w="80" w:type="dxa"/>
              <w:end w:w="100" w:type="dxa"/>
            </w:tcMar>
            <w:vAlign w:val="top"/>
          </w:tcPr>
          <w:p>
            <w:r>
              <w:rPr>
                <w:rFonts w:ascii="Times New Roman" w:hAnsi="Times New Roman" w:eastAsia="Times New Roman"/>
                <w:sz w:val="17"/>
              </w:rPr>
              <w:t>İki görüş sunulduktan sonra soru yeniden kuruluyor ve ilk görüş tekrar anlatılıyor.</w:t>
            </w:r>
          </w:p>
        </w:tc>
        <w:tc>
          <w:tcPr>
            <w:tcW w:type="dxa" w:w="2351"/>
            <w:tcMar>
              <w:top w:w="80" w:type="dxa"/>
              <w:start w:w="100" w:type="dxa"/>
              <w:bottom w:w="80" w:type="dxa"/>
              <w:end w:w="100" w:type="dxa"/>
            </w:tcMar>
            <w:vAlign w:val="top"/>
          </w:tcPr>
          <w:p>
            <w:r>
              <w:rPr>
                <w:rFonts w:ascii="Times New Roman" w:hAnsi="Times New Roman" w:eastAsia="Times New Roman"/>
                <w:sz w:val="17"/>
              </w:rPr>
              <w:t>153–157’den sonra doğrudan karşı delil ve kaynak eleştirisine geç; 158–163’ü yeniden yerleştir.</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1.10</w:t>
            </w:r>
          </w:p>
        </w:tc>
        <w:tc>
          <w:tcPr>
            <w:tcW w:type="dxa" w:w="2351"/>
            <w:tcMar>
              <w:top w:w="80" w:type="dxa"/>
              <w:start w:w="100" w:type="dxa"/>
              <w:bottom w:w="80" w:type="dxa"/>
              <w:end w:w="100" w:type="dxa"/>
            </w:tcMar>
            <w:vAlign w:val="top"/>
          </w:tcPr>
          <w:p>
            <w:r>
              <w:rPr>
                <w:rFonts w:ascii="Times New Roman" w:hAnsi="Times New Roman" w:eastAsia="Times New Roman"/>
                <w:sz w:val="17"/>
              </w:rPr>
              <w:t>Üç kabul ölçüsü 205–217 arasında farklı biçimlerde tekrar tekrar anlatılıyor.</w:t>
            </w:r>
          </w:p>
        </w:tc>
        <w:tc>
          <w:tcPr>
            <w:tcW w:type="dxa" w:w="2351"/>
            <w:tcMar>
              <w:top w:w="80" w:type="dxa"/>
              <w:start w:w="100" w:type="dxa"/>
              <w:bottom w:w="80" w:type="dxa"/>
              <w:end w:w="100" w:type="dxa"/>
            </w:tcMar>
            <w:vAlign w:val="top"/>
          </w:tcPr>
          <w:p>
            <w:r>
              <w:rPr>
                <w:rFonts w:ascii="Times New Roman" w:hAnsi="Times New Roman" w:eastAsia="Times New Roman"/>
                <w:sz w:val="17"/>
              </w:rPr>
              <w:t>Kronoloji: erken pratik → İbn Mücâhid → İbnü’l-Cezerî → sonraki kabul şeklinde tek hat kur.</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2.1 → 2.2</w:t>
            </w:r>
          </w:p>
        </w:tc>
        <w:tc>
          <w:tcPr>
            <w:tcW w:type="dxa" w:w="2351"/>
            <w:tcMar>
              <w:top w:w="80" w:type="dxa"/>
              <w:start w:w="100" w:type="dxa"/>
              <w:bottom w:w="80" w:type="dxa"/>
              <w:end w:w="100" w:type="dxa"/>
            </w:tcMar>
            <w:vAlign w:val="top"/>
          </w:tcPr>
          <w:p>
            <w:r>
              <w:rPr>
                <w:rFonts w:ascii="Times New Roman" w:hAnsi="Times New Roman" w:eastAsia="Times New Roman"/>
                <w:sz w:val="17"/>
              </w:rPr>
              <w:t>2.1’in son iki paragrafı rivâyet/sened ayrıntılarını 2.2’den önce tüketiyor.</w:t>
            </w:r>
          </w:p>
        </w:tc>
        <w:tc>
          <w:tcPr>
            <w:tcW w:type="dxa" w:w="2351"/>
            <w:tcMar>
              <w:top w:w="80" w:type="dxa"/>
              <w:start w:w="100" w:type="dxa"/>
              <w:bottom w:w="80" w:type="dxa"/>
              <w:end w:w="100" w:type="dxa"/>
            </w:tcMar>
            <w:vAlign w:val="top"/>
          </w:tcPr>
          <w:p>
            <w:r>
              <w:rPr>
                <w:rFonts w:ascii="Times New Roman" w:hAnsi="Times New Roman" w:eastAsia="Times New Roman"/>
                <w:sz w:val="17"/>
              </w:rPr>
              <w:t>2.1’i tanım ve tarihçe ile bitir; rivâyet ve sened açıklamalarını 2.2’ye bırak.</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2.4 → 3. Bölüm</w:t>
            </w:r>
          </w:p>
        </w:tc>
        <w:tc>
          <w:tcPr>
            <w:tcW w:type="dxa" w:w="2351"/>
            <w:tcMar>
              <w:top w:w="80" w:type="dxa"/>
              <w:start w:w="100" w:type="dxa"/>
              <w:bottom w:w="80" w:type="dxa"/>
              <w:end w:w="100" w:type="dxa"/>
            </w:tcMar>
            <w:vAlign w:val="top"/>
          </w:tcPr>
          <w:p>
            <w:r>
              <w:rPr>
                <w:rFonts w:ascii="Times New Roman" w:hAnsi="Times New Roman" w:eastAsia="Times New Roman"/>
                <w:sz w:val="17"/>
              </w:rPr>
              <w:t>İkinci bölüm “tefsirde etki”yle kapanıyor, üçüncü bölüm somut resm–lafız–mana ilişkisine hazırlıksız geçiyor.</w:t>
            </w:r>
          </w:p>
        </w:tc>
        <w:tc>
          <w:tcPr>
            <w:tcW w:type="dxa" w:w="2351"/>
            <w:tcMar>
              <w:top w:w="80" w:type="dxa"/>
              <w:start w:w="100" w:type="dxa"/>
              <w:bottom w:w="80" w:type="dxa"/>
              <w:end w:w="100" w:type="dxa"/>
            </w:tcMar>
            <w:vAlign w:val="top"/>
          </w:tcPr>
          <w:p>
            <w:r>
              <w:rPr>
                <w:rFonts w:ascii="Times New Roman" w:hAnsi="Times New Roman" w:eastAsia="Times New Roman"/>
                <w:sz w:val="17"/>
              </w:rPr>
              <w:t>2.4’ün son cümlesini üçüncü bölümün somut incelemesine köprü yap.</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3.6–3.12</w:t>
            </w:r>
          </w:p>
        </w:tc>
        <w:tc>
          <w:tcPr>
            <w:tcW w:type="dxa" w:w="2351"/>
            <w:tcMar>
              <w:top w:w="80" w:type="dxa"/>
              <w:start w:w="100" w:type="dxa"/>
              <w:bottom w:w="80" w:type="dxa"/>
              <w:end w:w="100" w:type="dxa"/>
            </w:tcMar>
            <w:vAlign w:val="top"/>
          </w:tcPr>
          <w:p>
            <w:r>
              <w:rPr>
                <w:rFonts w:ascii="Times New Roman" w:hAnsi="Times New Roman" w:eastAsia="Times New Roman"/>
                <w:sz w:val="17"/>
              </w:rPr>
              <w:t>Bağlayıcılık, ittiba, sünnet, selef, müşâfehe, muhafaza ve birlik gerekçeleri birbirine giriyor.</w:t>
            </w:r>
          </w:p>
        </w:tc>
        <w:tc>
          <w:tcPr>
            <w:tcW w:type="dxa" w:w="2351"/>
            <w:tcMar>
              <w:top w:w="80" w:type="dxa"/>
              <w:start w:w="100" w:type="dxa"/>
              <w:bottom w:w="80" w:type="dxa"/>
              <w:end w:w="100" w:type="dxa"/>
            </w:tcMar>
            <w:vAlign w:val="top"/>
          </w:tcPr>
          <w:p>
            <w:r>
              <w:rPr>
                <w:rFonts w:ascii="Times New Roman" w:hAnsi="Times New Roman" w:eastAsia="Times New Roman"/>
                <w:sz w:val="17"/>
              </w:rPr>
              <w:t>Bağlayıcılık tartışmasını 3.6’da topla; 327–330’u 3.6’ya taşı; 3.7–3.12’de işlevleri birbirinden ayır ve tekrarları azalt.</w:t>
            </w:r>
          </w:p>
        </w:tc>
        <w:tc>
          <w:tcPr>
            <w:tcW w:type="dxa" w:w="2351"/>
            <w:tcMar>
              <w:top w:w="80" w:type="dxa"/>
              <w:start w:w="100" w:type="dxa"/>
              <w:bottom w:w="80" w:type="dxa"/>
              <w:end w:w="100" w:type="dxa"/>
            </w:tcMar>
            <w:vAlign w:val="top"/>
          </w:tcPr>
          <w:p>
            <w:r>
              <w:rPr>
                <w:rFonts w:ascii="Times New Roman" w:hAnsi="Times New Roman" w:eastAsia="Times New Roman"/>
                <w:sz w:val="17"/>
              </w:rPr>
              <w:t>Kısmen vardı</w:t>
            </w:r>
          </w:p>
        </w:tc>
      </w:tr>
      <w:tr>
        <w:tc>
          <w:tcPr>
            <w:tcW w:type="dxa" w:w="2351"/>
            <w:tcMar>
              <w:top w:w="80" w:type="dxa"/>
              <w:start w:w="100" w:type="dxa"/>
              <w:bottom w:w="80" w:type="dxa"/>
              <w:end w:w="100" w:type="dxa"/>
            </w:tcMar>
            <w:vAlign w:val="top"/>
          </w:tcPr>
          <w:p>
            <w:r>
              <w:rPr>
                <w:rFonts w:ascii="Times New Roman" w:hAnsi="Times New Roman" w:eastAsia="Times New Roman"/>
                <w:sz w:val="17"/>
              </w:rPr>
              <w:t>3.3 → 3.4</w:t>
            </w:r>
          </w:p>
        </w:tc>
        <w:tc>
          <w:tcPr>
            <w:tcW w:type="dxa" w:w="2351"/>
            <w:tcMar>
              <w:top w:w="80" w:type="dxa"/>
              <w:start w:w="100" w:type="dxa"/>
              <w:bottom w:w="80" w:type="dxa"/>
              <w:end w:w="100" w:type="dxa"/>
            </w:tcMar>
            <w:vAlign w:val="top"/>
          </w:tcPr>
          <w:p>
            <w:r>
              <w:rPr>
                <w:rFonts w:ascii="Times New Roman" w:hAnsi="Times New Roman" w:eastAsia="Times New Roman"/>
                <w:sz w:val="17"/>
              </w:rPr>
              <w:t>3.3’ün sonunda ses/hareke tartışması mana-hikmet alanına kayıyor; 3.4 aynı konuyu yeniden açıyor.</w:t>
            </w:r>
          </w:p>
        </w:tc>
        <w:tc>
          <w:tcPr>
            <w:tcW w:type="dxa" w:w="2351"/>
            <w:tcMar>
              <w:top w:w="80" w:type="dxa"/>
              <w:start w:w="100" w:type="dxa"/>
              <w:bottom w:w="80" w:type="dxa"/>
              <w:end w:w="100" w:type="dxa"/>
            </w:tcMar>
            <w:vAlign w:val="top"/>
          </w:tcPr>
          <w:p>
            <w:r>
              <w:rPr>
                <w:rFonts w:ascii="Times New Roman" w:hAnsi="Times New Roman" w:eastAsia="Times New Roman"/>
                <w:sz w:val="17"/>
              </w:rPr>
              <w:t>Mana merkezli kısmı 3.4’e taşı; 3.3’ü fonetik/yazısal düzeyde kapat.</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3. Bölüm → 4. Bölüm</w:t>
            </w:r>
          </w:p>
        </w:tc>
        <w:tc>
          <w:tcPr>
            <w:tcW w:type="dxa" w:w="2351"/>
            <w:tcMar>
              <w:top w:w="80" w:type="dxa"/>
              <w:start w:w="100" w:type="dxa"/>
              <w:bottom w:w="80" w:type="dxa"/>
              <w:end w:w="100" w:type="dxa"/>
            </w:tcMar>
            <w:vAlign w:val="top"/>
          </w:tcPr>
          <w:p>
            <w:r>
              <w:rPr>
                <w:rFonts w:ascii="Times New Roman" w:hAnsi="Times New Roman" w:eastAsia="Times New Roman"/>
                <w:sz w:val="17"/>
              </w:rPr>
              <w:t>Üçüncü bölüm ümmet birliğiyle biterken dördüncü bölüm teknik rivâyet ölçüsüne birden dönüyor.</w:t>
            </w:r>
          </w:p>
        </w:tc>
        <w:tc>
          <w:tcPr>
            <w:tcW w:type="dxa" w:w="2351"/>
            <w:tcMar>
              <w:top w:w="80" w:type="dxa"/>
              <w:start w:w="100" w:type="dxa"/>
              <w:bottom w:w="80" w:type="dxa"/>
              <w:end w:w="100" w:type="dxa"/>
            </w:tcMar>
            <w:vAlign w:val="top"/>
          </w:tcPr>
          <w:p>
            <w:r>
              <w:rPr>
                <w:rFonts w:ascii="Times New Roman" w:hAnsi="Times New Roman" w:eastAsia="Times New Roman"/>
                <w:sz w:val="17"/>
              </w:rPr>
              <w:t>3.12’nin sonuna kitabın ana sorusuna dönüş sağlayan tek cümle ekle.</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4.5 → 4.6</w:t>
            </w:r>
          </w:p>
        </w:tc>
        <w:tc>
          <w:tcPr>
            <w:tcW w:type="dxa" w:w="2351"/>
            <w:tcMar>
              <w:top w:w="80" w:type="dxa"/>
              <w:start w:w="100" w:type="dxa"/>
              <w:bottom w:w="80" w:type="dxa"/>
              <w:end w:w="100" w:type="dxa"/>
            </w:tcMar>
            <w:vAlign w:val="top"/>
          </w:tcPr>
          <w:p>
            <w:r>
              <w:rPr>
                <w:rFonts w:ascii="Times New Roman" w:hAnsi="Times New Roman" w:eastAsia="Times New Roman"/>
                <w:sz w:val="17"/>
              </w:rPr>
              <w:t>Erken dönem resm rivâyetlerinden modern basılı mushafa zaman atlaması hazırlıksız.</w:t>
            </w:r>
          </w:p>
        </w:tc>
        <w:tc>
          <w:tcPr>
            <w:tcW w:type="dxa" w:w="2351"/>
            <w:tcMar>
              <w:top w:w="80" w:type="dxa"/>
              <w:start w:w="100" w:type="dxa"/>
              <w:bottom w:w="80" w:type="dxa"/>
              <w:end w:w="100" w:type="dxa"/>
            </w:tcMar>
            <w:vAlign w:val="top"/>
          </w:tcPr>
          <w:p>
            <w:r>
              <w:rPr>
                <w:rFonts w:ascii="Times New Roman" w:hAnsi="Times New Roman" w:eastAsia="Times New Roman"/>
                <w:sz w:val="17"/>
              </w:rPr>
              <w:t>4.6’nın ilk cümlesini klasik resm birikiminin neşir geleneğine aktarılması üzerinden kur.</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4.6 → 4.7</w:t>
            </w:r>
          </w:p>
        </w:tc>
        <w:tc>
          <w:tcPr>
            <w:tcW w:type="dxa" w:w="2351"/>
            <w:tcMar>
              <w:top w:w="80" w:type="dxa"/>
              <w:start w:w="100" w:type="dxa"/>
              <w:bottom w:w="80" w:type="dxa"/>
              <w:end w:w="100" w:type="dxa"/>
            </w:tcMar>
            <w:vAlign w:val="top"/>
          </w:tcPr>
          <w:p>
            <w:r>
              <w:rPr>
                <w:rFonts w:ascii="Times New Roman" w:hAnsi="Times New Roman" w:eastAsia="Times New Roman"/>
                <w:sz w:val="17"/>
              </w:rPr>
              <w:t>4.7 başlığından sonra iki paragraf hat/kaligrafi tarihine geri dönüyor; asıl konu ancak sonraki paragrafta başlıyor.</w:t>
            </w:r>
          </w:p>
        </w:tc>
        <w:tc>
          <w:tcPr>
            <w:tcW w:type="dxa" w:w="2351"/>
            <w:tcMar>
              <w:top w:w="80" w:type="dxa"/>
              <w:start w:w="100" w:type="dxa"/>
              <w:bottom w:w="80" w:type="dxa"/>
              <w:end w:w="100" w:type="dxa"/>
            </w:tcMar>
            <w:vAlign w:val="top"/>
          </w:tcPr>
          <w:p>
            <w:r>
              <w:rPr>
                <w:rFonts w:ascii="Times New Roman" w:hAnsi="Times New Roman" w:eastAsia="Times New Roman"/>
                <w:sz w:val="17"/>
              </w:rPr>
              <w:t>4.7’yi mevcut 459. paragrafla başlat; 457–458’i kısalt, taşı veya çıkar.</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4.7</w:t>
            </w:r>
          </w:p>
        </w:tc>
        <w:tc>
          <w:tcPr>
            <w:tcW w:type="dxa" w:w="2351"/>
            <w:tcMar>
              <w:top w:w="80" w:type="dxa"/>
              <w:start w:w="100" w:type="dxa"/>
              <w:bottom w:w="80" w:type="dxa"/>
              <w:end w:w="100" w:type="dxa"/>
            </w:tcMar>
            <w:vAlign w:val="top"/>
          </w:tcPr>
          <w:p>
            <w:r>
              <w:rPr>
                <w:rFonts w:ascii="Times New Roman" w:hAnsi="Times New Roman" w:eastAsia="Times New Roman"/>
                <w:sz w:val="17"/>
              </w:rPr>
              <w:t>471. paragraf genel sonuç veriyor, ardından Türkiye örneği geliyor ve 475’te ikinci sonuç kuruluyor.</w:t>
            </w:r>
          </w:p>
        </w:tc>
        <w:tc>
          <w:tcPr>
            <w:tcW w:type="dxa" w:w="2351"/>
            <w:tcMar>
              <w:top w:w="80" w:type="dxa"/>
              <w:start w:w="100" w:type="dxa"/>
              <w:bottom w:w="80" w:type="dxa"/>
              <w:end w:w="100" w:type="dxa"/>
            </w:tcMar>
            <w:vAlign w:val="top"/>
          </w:tcPr>
          <w:p>
            <w:r>
              <w:rPr>
                <w:rFonts w:ascii="Times New Roman" w:hAnsi="Times New Roman" w:eastAsia="Times New Roman"/>
                <w:sz w:val="17"/>
              </w:rPr>
              <w:t>471’i Türkiye örneğine geçişe dönüştür; genel sentezi bölümün gerçek sonuna bırak.</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bl>
    <w:p>
      <w:pPr>
        <w:pStyle w:val="Heading1"/>
        <w:keepNext/>
      </w:pPr>
      <w:r>
        <w:t>3. Önsöz</w:t>
      </w:r>
    </w:p>
    <w:p>
      <w:pPr>
        <w:pStyle w:val="Heading3"/>
        <w:keepNext/>
      </w:pPr>
      <w:r>
        <w:t>ÖN-01. Önsöz ile Giriş aynı ana tezi gereğinden fazla yeniden kuruyor</w:t>
      </w:r>
    </w:p>
    <w:p>
      <w:r>
        <w:rPr>
          <w:b/>
        </w:rPr>
        <w:t xml:space="preserve">Kategori: </w:t>
      </w:r>
      <w:r>
        <w:t>Tekrar / Yapısal</w:t>
      </w:r>
    </w:p>
    <w:p>
      <w:r>
        <w:rPr>
          <w:b/>
        </w:rPr>
        <w:t xml:space="preserve">Önem: </w:t>
      </w:r>
      <w:r>
        <w:t>Orta</w:t>
      </w:r>
    </w:p>
    <w:p>
      <w:r>
        <w:rPr>
          <w:b/>
        </w:rPr>
        <w:t xml:space="preserve">Yer: </w:t>
      </w:r>
      <w:r>
        <w:t>Önsöz, s.1; özellikle 2–5. paragraflar</w:t>
      </w:r>
    </w:p>
    <w:p>
      <w:r>
        <w:rPr>
          <w:b/>
        </w:rPr>
        <w:t>Kitaptaki ifade</w:t>
      </w:r>
    </w:p>
    <w:p>
      <w:pPr>
        <w:pStyle w:val="QuoteBlock"/>
      </w:pPr>
      <w:r>
        <w:t>Kur’an’ın korunması ve sonraki nesillere aktarılması, İslâm ilimleri geleneğinin merkezî meselelerinden biridir. Bu aktarım yalnız yazılı metnin muhafazasıyla veya yalnız hafıza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r>
        <w:rPr>
          <w:b/>
        </w:rPr>
        <w:t xml:space="preserve">Sorun: </w:t>
      </w:r>
      <w:r>
        <w:t>Önsözün görevi kitabın çıkış noktasını ve yönünü açıklamaktır. Burada yazı–söz tamamlayıcılığı, resmin teknik alanla sınırlı olmadığı, resmin bağımsız kırâat kaynağı olmadığı ve yöntemsel ihtiyat ilkeleri ayrıntılı biçimde anlatılıyor; Giriş aynı dört işlevi yeniden üstleniyor.</w:t>
      </w:r>
    </w:p>
    <w:p>
      <w:r>
        <w:rPr>
          <w:b/>
        </w:rPr>
        <w:t xml:space="preserve">En uygun editoryal işlem: </w:t>
      </w:r>
      <w:r>
        <w:t>Önsözde ana tez ve amaç korunmalı; yöntemsel ayrıntılar Girişe bırakılmalı.</w:t>
      </w:r>
    </w:p>
    <w:p>
      <w:r>
        <w:rPr>
          <w:b/>
        </w:rPr>
        <w:t>Doğrudan kullanılabilecek biçim</w:t>
      </w:r>
    </w:p>
    <w:p>
      <w:pPr>
        <w:pStyle w:val="QuoteBlock"/>
      </w:pPr>
      <w:r>
        <w:t>Bu kitabın çıkış noktası, resm-i mushafın teknik yazım özellikleri ile kırâat rivâyetlerinin aktarım ve değerlendirilme biçimleri arasındaki ilişkiyi birlikte incelemektir. Çalışmada resm-i Osmânî, kırâatleri meydana getiren bağımsız bir kaynak olarak değil, rivâyetle sabit okuyuşların ortak mushaf yazısıyla ilişkisini belirleyen tamamlayıcı bir ölçü olarak ele alınmıştır.</w:t>
      </w:r>
    </w:p>
    <w:p>
      <w:r>
        <w:rPr>
          <w:b/>
        </w:rPr>
        <w:t xml:space="preserve">Önceki kapsamlı raporla karşılaştırma: </w:t>
      </w:r>
      <w:r>
        <w:t>Yeni: önceki rapor Önsözde kavramsal kaymayı incelemiş, Önsöz–Giriş işlev tekrarını sistematik olarak raporlamamıştı.</w:t>
      </w:r>
    </w:p>
    <w:p>
      <w:pPr>
        <w:pStyle w:val="Heading3"/>
        <w:keepNext/>
      </w:pPr>
      <w:r>
        <w:t>ÖN-02. Üçüncü paragraf tek başına fazla sayıda işlev yükleniyor</w:t>
      </w:r>
    </w:p>
    <w:p>
      <w:r>
        <w:rPr>
          <w:b/>
        </w:rPr>
        <w:t xml:space="preserve">Kategori: </w:t>
      </w:r>
      <w:r>
        <w:t>Paragraf içi akış</w:t>
      </w:r>
    </w:p>
    <w:p>
      <w:r>
        <w:rPr>
          <w:b/>
        </w:rPr>
        <w:t xml:space="preserve">Önem: </w:t>
      </w:r>
      <w:r>
        <w:t>Düşük</w:t>
      </w:r>
    </w:p>
    <w:p>
      <w:r>
        <w:rPr>
          <w:b/>
        </w:rPr>
        <w:t xml:space="preserve">Yer: </w:t>
      </w:r>
      <w:r>
        <w:t>Önsöz, s.1, “Resm-i Osmânî’ye uygunluk...” paragrafı</w:t>
      </w:r>
    </w:p>
    <w:p>
      <w:r>
        <w:rPr>
          <w:b/>
        </w:rPr>
        <w:t>Kitaptaki ifade</w:t>
      </w:r>
    </w:p>
    <w:p>
      <w:pPr>
        <w:pStyle w:val="QuoteBlock"/>
      </w:pPr>
      <w:r>
        <w:t>Resm-i Osmânî’ye uygunluk, klasik kırâat usûlünde temel ölçüler arasında anılmakla birlikte bu ölçünün tarihsel zemini ve uygulamadaki kapsamı çoğu zaman farklı bahisler içinde ele alınmaktadır. Mushafların çoğaltılması, şehir mushaflarına nispet edilen yazım farklılıkları, kırâatlerin kabulü ve basılı mushafların belirli rivâyetlere göre hazırlanması, aynı ilişkinin farklı safhalarıdır. Bu konuları tek bir inceleme çizgisi içinde buluşturmak, resm-i mushaf’ın yalnız imlâ kaidelerine veya yalnız sahihlik şartlarına indirgenemeyeceğini göstermektedir. Bu…</w:t>
      </w:r>
    </w:p>
    <w:p>
      <w:r>
        <w:rPr>
          <w:b/>
        </w:rPr>
        <w:t xml:space="preserve">Sorun: </w:t>
      </w:r>
      <w:r>
        <w:t>Paragraf aynı anda kabul ölçüsü, mushafların çoğaltılması, şehir mushafları, basılı mushaflar, tarihsel süreklilik ve bölüm mimarisini açıklıyor. Ana düşünce dağılıyor.</w:t>
      </w:r>
    </w:p>
    <w:p>
      <w:r>
        <w:rPr>
          <w:b/>
        </w:rPr>
        <w:t xml:space="preserve">En uygun editoryal işlem: </w:t>
      </w:r>
      <w:r>
        <w:t>Paragrafı iki işlevle sınırlandır: ilişki alanlarını say ve kitabın bunları ortak bir çizgide ele aldığını söyle.</w:t>
      </w:r>
    </w:p>
    <w:p>
      <w:r>
        <w:rPr>
          <w:b/>
        </w:rPr>
        <w:t>Doğrudan kullanılabilecek biçim</w:t>
      </w:r>
    </w:p>
    <w:p>
      <w:pPr>
        <w:pStyle w:val="QuoteBlock"/>
      </w:pPr>
      <w:r>
        <w:t>Resm-i Osmânî’ye uygunluk, kırâat usulünde temel ölçüler arasında anılmakla birlikte bu ölçünün tarihsel zemini ve uygulamadaki kapsamı farklı bahislerde ele alınmıştır. Kitap, mushafların çoğaltılmasından şehir mushaflarına ve çağdaş neşirlere uzanan bu malzemeyi, resm-i mushaf ile kırâat rivâyeti arasındaki ilişki etrafında birlikte değerlendirmektedir.</w:t>
      </w:r>
    </w:p>
    <w:p>
      <w:r>
        <w:rPr>
          <w:b/>
        </w:rPr>
        <w:t xml:space="preserve">Önceki kapsamlı raporla karşılaştırma: </w:t>
      </w:r>
      <w:r>
        <w:t>Yeni.</w:t>
      </w:r>
    </w:p>
    <w:p>
      <w:pPr>
        <w:pStyle w:val="Heading3"/>
        <w:keepNext/>
      </w:pPr>
      <w:r>
        <w:t>ÖN-03. Son paragraf yöntem ilkelerini Girişten önce ayrıntılı biçimde tüketiyor</w:t>
      </w:r>
    </w:p>
    <w:p>
      <w:r>
        <w:rPr>
          <w:b/>
        </w:rPr>
        <w:t xml:space="preserve">Kategori: </w:t>
      </w:r>
      <w:r>
        <w:t>Tekrar / Meta-anlatım</w:t>
      </w:r>
    </w:p>
    <w:p>
      <w:r>
        <w:rPr>
          <w:b/>
        </w:rPr>
        <w:t xml:space="preserve">Önem: </w:t>
      </w:r>
      <w:r>
        <w:t>Düşük</w:t>
      </w:r>
    </w:p>
    <w:p>
      <w:r>
        <w:rPr>
          <w:b/>
        </w:rPr>
        <w:t xml:space="preserve">Yer: </w:t>
      </w:r>
      <w:r>
        <w:t>Önsöz, son paragraf</w:t>
      </w:r>
    </w:p>
    <w:p>
      <w:r>
        <w:rPr>
          <w:b/>
        </w:rPr>
        <w:t>Kitaptaki ifade</w:t>
      </w:r>
    </w:p>
    <w:p>
      <w:pPr>
        <w:pStyle w:val="QuoteBlock"/>
      </w:pPr>
      <w:r>
        <w:t>Eserin, resm-i mushaf’ı yalnız geçmişte teşekkül etmiş bir imlâ biçimi olarak indirgemeyip, kırâatlerin rivâyeti, mushaf yazımı ve çağdaş neşir geleneğiyle ilişkili bir ilim alanı olarak değerlendirmeye katkı sağlaması hedeflenmektedir. Kaynaklarda farklı aktarımların bulunduğu meselelerde ihtiyatlı davranmak, tarihsel veriyi sonraki yorumlardan ayırmak ve yazım özelliklerine delillerin taşıyabileceğinden fazla anlam yüklememek çalışmada gözetilen başlıca ilkelerdendir. Kitap, resm-i mushaf ile kırâat rivâyeti arasındaki ilişkiyi bu ilmî sınırlar içinde…</w:t>
      </w:r>
    </w:p>
    <w:p>
      <w:r>
        <w:rPr>
          <w:b/>
        </w:rPr>
        <w:t xml:space="preserve">Sorun: </w:t>
      </w:r>
      <w:r>
        <w:t>“İhtiyatlı davranmak, tarihsel veriyi yorumdan ayırmak, yazıma fazla anlam yüklememek” ilkeleri Girişte yöntem ve kapsam altında daha ayrıntılı biçimde tekrar edilmektedir. Önsözde tek cümlelik ilke yeterlidir.</w:t>
      </w:r>
    </w:p>
    <w:p>
      <w:r>
        <w:rPr>
          <w:b/>
        </w:rPr>
        <w:t xml:space="preserve">En uygun editoryal işlem: </w:t>
      </w:r>
      <w:r>
        <w:t>Kısalt ve ayrıntılı yöntem beyanını Girişte bırak.</w:t>
      </w:r>
    </w:p>
    <w:p>
      <w:r>
        <w:rPr>
          <w:b/>
        </w:rPr>
        <w:t>Doğrudan kullanılabilecek biçim</w:t>
      </w:r>
    </w:p>
    <w:p>
      <w:pPr>
        <w:pStyle w:val="QuoteBlock"/>
      </w:pPr>
      <w:r>
        <w:t>Eser, resm-i mushaf ile kırâat rivâyeti arasındaki ilişkiyi tarihsel verinin sınırlarını ve farklı yorum düzeylerini gözeterek incelemektedir.</w:t>
      </w:r>
    </w:p>
    <w:p>
      <w:r>
        <w:rPr>
          <w:b/>
        </w:rPr>
        <w:t xml:space="preserve">Önceki kapsamlı raporla karşılaştırma: </w:t>
      </w:r>
      <w:r>
        <w:t>Yeni.</w:t>
      </w:r>
    </w:p>
    <w:p>
      <w:pPr>
        <w:pStyle w:val="Heading1"/>
        <w:keepNext/>
      </w:pPr>
      <w:r>
        <w:t>4. Giriş</w:t>
      </w:r>
    </w:p>
    <w:p>
      <w:pPr>
        <w:pStyle w:val="Heading3"/>
        <w:keepNext/>
      </w:pPr>
      <w:r>
        <w:t>GİR-AK-01. Girişin ikinci yarısında işlev sırası bozuluyor</w:t>
      </w:r>
    </w:p>
    <w:p>
      <w:r>
        <w:rPr>
          <w:b/>
        </w:rPr>
        <w:t xml:space="preserve">Kategori: </w:t>
      </w:r>
      <w:r>
        <w:t>Yapısal / Geçiş</w:t>
      </w:r>
    </w:p>
    <w:p>
      <w:r>
        <w:rPr>
          <w:b/>
        </w:rPr>
        <w:t xml:space="preserve">Önem: </w:t>
      </w:r>
      <w:r>
        <w:t>Yüksek</w:t>
      </w:r>
    </w:p>
    <w:p>
      <w:r>
        <w:rPr>
          <w:b/>
        </w:rPr>
        <w:t xml:space="preserve">Yer: </w:t>
      </w:r>
      <w:r>
        <w:t>Giriş, s.5–7; kapsam–4. bölüm ön izlemesi–yöntem–kaynaklar–katkı–bölüm planı</w:t>
      </w:r>
    </w:p>
    <w:p>
      <w:r>
        <w:rPr>
          <w:b/>
        </w:rPr>
        <w:t>Kitaptaki ifade</w:t>
      </w:r>
    </w:p>
    <w:p>
      <w:pPr>
        <w:pStyle w:val="QuoteBlock"/>
      </w:pPr>
      <w:r>
        <w:t>Önceki paragraf: “Bu sınırlandırma, çalışmanın Kur’an tarihinin bütün meselelerini veya yedi harf hakkındaki bütün görüşleri çözme iddiası taşımadığı anlamına gelmektedir. Sahâbe mushafları, erken yazı tarihi, kırâat tasnifleri ve matbu mushaflar yalnız resm-i mushaf ile kırâat rivâyeti arasındaki ilişkiye temas ettikleri ölçüde ele alınmıştır.…”</w:t>
        <w:br/>
        <w:t>Sonraki paragraf: “Çalışmanın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w:t>
      </w:r>
    </w:p>
    <w:p>
      <w:r>
        <w:rPr>
          <w:b/>
        </w:rPr>
        <w:t xml:space="preserve">Sorun: </w:t>
      </w:r>
      <w:r>
        <w:t>Kapsam sınırlandırmasının hemen ardından yalnız Dördüncü Bölümü ayrıntılandıran bir paragraf geliyor; ardından yöntem ve kaynaklar açıklanıyor, daha sonra dört bölüm yeniden tanıtılıyor. Böylece bölüm planı iki kez kurulmuş oluyor.</w:t>
      </w:r>
    </w:p>
    <w:p>
      <w:r>
        <w:rPr>
          <w:b/>
        </w:rPr>
        <w:t xml:space="preserve">En uygun editoryal işlem: </w:t>
      </w:r>
      <w:r>
        <w:t>30. paragrafı 35–39’daki bölüm planına yedir; 29’dan sonra doğrudan yöntem ve kaynak kullanımına geç.</w:t>
      </w:r>
    </w:p>
    <w:p>
      <w:r>
        <w:rPr>
          <w:b/>
        </w:rPr>
        <w:t>Doğrudan kullanılabilecek biçim</w:t>
      </w:r>
    </w:p>
    <w:p>
      <w:pPr>
        <w:pStyle w:val="QuoteBlock"/>
      </w:pPr>
      <w:r>
        <w:t>Bu sınırlandırmanın ardından araştırmada tarihsel rivâyetlerin karşılaştırılması, klasik kaynakların içerik analizi, kavramsal ve filolojik çözümleme ile resm ve kırâat verilerinin mukayesesi birlikte kullanılmaktadır.</w:t>
      </w:r>
    </w:p>
    <w:p>
      <w:r>
        <w:rPr>
          <w:b/>
        </w:rPr>
        <w:t xml:space="preserve">Önceki kapsamlı raporla karşılaştırma: </w:t>
      </w:r>
      <w:r>
        <w:t>Yeni.</w:t>
      </w:r>
    </w:p>
    <w:p>
      <w:pPr>
        <w:pStyle w:val="Heading3"/>
        <w:keepNext/>
      </w:pPr>
      <w:r>
        <w:t>GİR-AK-02. Amaç, kapsam ve katkı aynı düşünceyi farklı soyut ifadelerle yineliyor</w:t>
      </w:r>
    </w:p>
    <w:p>
      <w:r>
        <w:rPr>
          <w:b/>
        </w:rPr>
        <w:t xml:space="preserve">Kategori: </w:t>
      </w:r>
      <w:r>
        <w:t>Tekrar / Formülaik anlatım</w:t>
      </w:r>
    </w:p>
    <w:p>
      <w:r>
        <w:rPr>
          <w:b/>
        </w:rPr>
        <w:t xml:space="preserve">Önem: </w:t>
      </w:r>
      <w:r>
        <w:t>Orta</w:t>
      </w:r>
    </w:p>
    <w:p>
      <w:r>
        <w:rPr>
          <w:b/>
        </w:rPr>
        <w:t xml:space="preserve">Yer: </w:t>
      </w:r>
      <w:r>
        <w:t>Giriş, s.3–7; özellikle 20, 28–29, 34 ve 40. paragraflar</w:t>
      </w:r>
    </w:p>
    <w:p>
      <w:r>
        <w:rPr>
          <w:b/>
        </w:rPr>
        <w:t>Kitaptaki ifade</w:t>
      </w:r>
    </w:p>
    <w:p>
      <w:pPr>
        <w:pStyle w:val="QuoteBlock"/>
      </w:pPr>
      <w:r>
        <w:t>Kitabın literatüre sağlamayı hedeflediği katkı, resm ilmi ile kırâat ilmini bütünüyle yeni kavramlarla açıklamak değil, çoğu zaman ayrı başlıklar altında incelenen meseleleri ortak bir problem etrafında buluşturmaktır. Resm-i Osmânî yalnız eski bir imlâ sistemi olarak değil, rivâyetle nakledilen okuyuşların ortak yazılı sınırlarını belirleyen bir ölçü olarak incelenmektedir. Bu ölçünün tarihsel oluşumu, bağlayıcılığı, kırâatlerin kabul ve uygulamasındaki işlevi ile çağdaş mushaf neşrindeki devamı arasında ilişki kurulmaktadır. Böylece yazılı birlik,…</w:t>
      </w:r>
    </w:p>
    <w:p>
      <w:r>
        <w:rPr>
          <w:b/>
        </w:rPr>
        <w:t xml:space="preserve">Sorun: </w:t>
      </w:r>
      <w:r>
        <w:t>“Resm ile kırâati ortak problem etrafında buluşturma” düşüncesi amaç, kapsam, literatüre katkı ve son temel soru paragraflarında yeniden kuruluyor. İşlevler ayrışmadığı için Giriş olduğundan daha uzun ve şematik görünüyor.</w:t>
      </w:r>
    </w:p>
    <w:p>
      <w:r>
        <w:rPr>
          <w:b/>
        </w:rPr>
        <w:t xml:space="preserve">En uygun editoryal işlem: </w:t>
      </w:r>
      <w:r>
        <w:t>Her işlevi bir kez kur: problem → temel tez → kavramlar → kapsam → yöntem/kaynak → katkı → kısa bölüm planı.</w:t>
      </w:r>
    </w:p>
    <w:p>
      <w:r>
        <w:rPr>
          <w:b/>
        </w:rPr>
        <w:t>Doğrudan kullanılabilecek biçim</w:t>
      </w:r>
    </w:p>
    <w:p>
      <w:pPr>
        <w:pStyle w:val="QuoteBlock"/>
      </w:pPr>
      <w:r>
        <w:t>Kitabın katkısı, resm ilmi ile kırâat ilmini yeni kavramlarla yeniden tanımlamak değil, çoğu zaman ayrı başlıklarda ele alınan meseleleri resm-i mushaf ile kırâat rivâyeti arasındaki ilişki etrafında birlikte değerlendirmektir.</w:t>
      </w:r>
    </w:p>
    <w:p>
      <w:r>
        <w:rPr>
          <w:b/>
        </w:rPr>
        <w:t xml:space="preserve">Önceki kapsamlı raporla karşılaştırma: </w:t>
      </w:r>
      <w:r>
        <w:t>Yeni.</w:t>
      </w:r>
    </w:p>
    <w:p>
      <w:pPr>
        <w:pStyle w:val="Heading3"/>
        <w:keepNext/>
      </w:pPr>
      <w:r>
        <w:t>GİR-AK-03. Bölüm planı gereğinden ayrıntılı ve gövdenin içeriğini önceden tekrar ediyor</w:t>
      </w:r>
    </w:p>
    <w:p>
      <w:r>
        <w:rPr>
          <w:b/>
        </w:rPr>
        <w:t xml:space="preserve">Kategori: </w:t>
      </w:r>
      <w:r>
        <w:t>Meta-anlatım / Tekrar</w:t>
      </w:r>
    </w:p>
    <w:p>
      <w:r>
        <w:rPr>
          <w:b/>
        </w:rPr>
        <w:t xml:space="preserve">Önem: </w:t>
      </w:r>
      <w:r>
        <w:t>Orta</w:t>
      </w:r>
    </w:p>
    <w:p>
      <w:r>
        <w:rPr>
          <w:b/>
        </w:rPr>
        <w:t xml:space="preserve">Yer: </w:t>
      </w:r>
      <w:r>
        <w:t>Giriş, s.6–7; dört bölümün tanıtıldığı paragraflar</w:t>
      </w:r>
    </w:p>
    <w:p>
      <w:r>
        <w:rPr>
          <w:b/>
        </w:rPr>
        <w:t>Kitaptaki ifade</w:t>
      </w:r>
    </w:p>
    <w:p>
      <w:pPr>
        <w:pStyle w:val="QuoteBlock"/>
      </w:pPr>
      <w:r>
        <w:t>Kitabın dört ana bölümü bu düşünsel ilerleyişe göre düzenlenmiştir.</w:t>
      </w:r>
    </w:p>
    <w:p>
      <w:r>
        <w:rPr>
          <w:b/>
        </w:rPr>
        <w:t xml:space="preserve">Sorun: </w:t>
      </w:r>
      <w:r>
        <w:t>Dört bölümün her biri uzun paragraflarla özetleniyor. Daha önce kapsam ve “son halka” paragraflarında aynı içerik verildiğinden bu plan, okura yön göstermekten çok gövdeyi önceden yeniden anlatıyor.</w:t>
      </w:r>
    </w:p>
    <w:p>
      <w:r>
        <w:rPr>
          <w:b/>
        </w:rPr>
        <w:t xml:space="preserve">En uygun editoryal işlem: </w:t>
      </w:r>
      <w:r>
        <w:t>Bölüm planını bölüm başına bir cümleye indir.</w:t>
      </w:r>
    </w:p>
    <w:p>
      <w:r>
        <w:rPr>
          <w:b/>
        </w:rPr>
        <w:t>Doğrudan kullanılabilecek biçim</w:t>
      </w:r>
    </w:p>
    <w:p>
      <w:pPr>
        <w:pStyle w:val="QuoteBlock"/>
      </w:pPr>
      <w:r>
        <w:t>Birinci bölüm tarihsel ve kavramsal zemini, ikinci bölüm kırâatlerin rivâyet mantığını, üçüncü bölüm resm–kırâat–lafız–mana ilişkisini, dördüncü bölüm ise resm verilerinin kırâat vecihlerinin rivâyet ve değerlendirilmesindeki somut kullanım alanlarını ele almaktadır.</w:t>
      </w:r>
    </w:p>
    <w:p>
      <w:r>
        <w:rPr>
          <w:b/>
        </w:rPr>
        <w:t xml:space="preserve">Önceki kapsamlı raporla karşılaştırma: </w:t>
      </w:r>
      <w:r>
        <w:t>Yeni.</w:t>
      </w:r>
    </w:p>
    <w:p>
      <w:pPr>
        <w:pStyle w:val="Heading3"/>
        <w:keepNext/>
      </w:pPr>
      <w:r>
        <w:t>GİR-AK-04. Ana tez aynı olumsuz tanım kalıbıyla tekrar ediliyor</w:t>
      </w:r>
    </w:p>
    <w:p>
      <w:r>
        <w:rPr>
          <w:b/>
        </w:rPr>
        <w:t xml:space="preserve">Kategori: </w:t>
      </w:r>
      <w:r>
        <w:t>Formülaik anlatım / Tekrar</w:t>
      </w:r>
    </w:p>
    <w:p>
      <w:r>
        <w:rPr>
          <w:b/>
        </w:rPr>
        <w:t xml:space="preserve">Önem: </w:t>
      </w:r>
      <w:r>
        <w:t>Düşük</w:t>
      </w:r>
    </w:p>
    <w:p>
      <w:r>
        <w:rPr>
          <w:b/>
        </w:rPr>
        <w:t xml:space="preserve">Yer: </w:t>
      </w:r>
      <w:r>
        <w:t>Giriş, çeşitli paragraflar; özellikle “kaynak değildir / yerine geçmez / tek başına...” dizileri</w:t>
      </w:r>
    </w:p>
    <w:p>
      <w:r>
        <w:rPr>
          <w:b/>
        </w:rPr>
        <w:t>Kitaptaki ifade</w:t>
      </w:r>
    </w:p>
    <w:p>
      <w:pPr>
        <w:pStyle w:val="QuoteBlock"/>
      </w:pPr>
      <w:r>
        <w:t>Kitabın hareket noktası, resm-i Osmânî’nin kırâatleri meydana getiren bağımsız bir kaynak olmadığıdır. Çalışmada kırâatin aslî dayanağı, telakki ve müşâfehe yoluyla sürdürülen, okuyuş ve isnadla denetlenen rivâyet geleneği olarak kabul edilmektedir.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usûlünde…</w:t>
      </w:r>
    </w:p>
    <w:p>
      <w:r>
        <w:rPr>
          <w:b/>
        </w:rPr>
        <w:t xml:space="preserve">Sorun: </w:t>
      </w:r>
      <w:r>
        <w:t>Ana tez kitabın güvenliği için gerekli olmakla birlikte Girişte birkaç kez negatif tanım dizileriyle yeniden kuruluyor. Bu, “X değildir; Y’dir” şablonunu mekanikleştiriyor.</w:t>
      </w:r>
    </w:p>
    <w:p>
      <w:r>
        <w:rPr>
          <w:b/>
        </w:rPr>
        <w:t xml:space="preserve">En uygun editoryal işlem: </w:t>
      </w:r>
      <w:r>
        <w:t>Bir güçlü ana tez paragrafını koru; sonraki yerlerde kısa gönderme yap.</w:t>
      </w:r>
    </w:p>
    <w:p>
      <w:r>
        <w:rPr>
          <w:b/>
        </w:rPr>
        <w:t>Doğrudan kullanılabilecek biçim</w:t>
      </w:r>
    </w:p>
    <w:p>
      <w:pPr>
        <w:pStyle w:val="QuoteBlock"/>
      </w:pPr>
      <w:r>
        <w:t>Çalışmada kırâatin aslî aktarım zemini telakki, müşâfehe, edâ ve isnadla sürdürülen rivâyet geleneğidir. Resm-i Osmânî ise bu aktarımın ortak mushaf yazısıyla ilişkisini belirleyen tamamlayıcı ölçülerden biridir.</w:t>
      </w:r>
    </w:p>
    <w:p>
      <w:r>
        <w:rPr>
          <w:b/>
        </w:rPr>
        <w:t xml:space="preserve">Önceki kapsamlı raporla karşılaştırma: </w:t>
      </w:r>
      <w:r>
        <w:t>Kısmen yeni: önceki rapor terminoloji ve ana tez uyumunu ele aldı; bu tekrar örüntüsünü ayrı bir akış sorunu olarak sınıflandırmadı.</w:t>
      </w:r>
    </w:p>
    <w:p>
      <w:pPr>
        <w:pStyle w:val="Heading3"/>
        <w:keepNext/>
      </w:pPr>
      <w:r>
        <w:t>GİR-AK-05. Girişten Birinci Bölüme geçiş doğru fakat gereksiz bir ikinci kapanış hissi veriyor</w:t>
      </w:r>
    </w:p>
    <w:p>
      <w:r>
        <w:rPr>
          <w:b/>
        </w:rPr>
        <w:t xml:space="preserve">Kategori: </w:t>
      </w:r>
      <w:r>
        <w:t>Bölüm geçişi</w:t>
      </w:r>
    </w:p>
    <w:p>
      <w:r>
        <w:rPr>
          <w:b/>
        </w:rPr>
        <w:t xml:space="preserve">Önem: </w:t>
      </w:r>
      <w:r>
        <w:t>Düşük</w:t>
      </w:r>
    </w:p>
    <w:p>
      <w:r>
        <w:rPr>
          <w:b/>
        </w:rPr>
        <w:t xml:space="preserve">Yer: </w:t>
      </w:r>
      <w:r>
        <w:t>Giriş son paragrafı → Birinci Bölüm</w:t>
      </w:r>
    </w:p>
    <w:p>
      <w:r>
        <w:rPr>
          <w:b/>
        </w:rPr>
        <w:t>Kitaptaki ifade</w:t>
      </w:r>
    </w:p>
    <w:p>
      <w:pPr>
        <w:pStyle w:val="QuoteBlock"/>
      </w:pPr>
      <w:r>
        <w:t>Bu yapı içinde araştırmanın temel sorusu, yazı ile sözlü rivâyetten hangisinin üstün olduğu değildir. Asıl mesele, rivâyet yoluyla sabit olan okuyuşlarla bu okuyuşların ortak mushaf yazımı içinde kabul edilip aktarılması arasındaki ilişkinin nasıl kurulduğudur. Kitabın bölümleri, resm-i Osmânî’nin bu ilişkideki yerini, tarihsel teşekkülü, normatif sınırı ve uygulamadaki etkileri birbirine karıştırmadan açıklamaya yönelmektedir.</w:t>
      </w:r>
    </w:p>
    <w:p>
      <w:r>
        <w:rPr>
          <w:b/>
        </w:rPr>
        <w:t xml:space="preserve">Sorun: </w:t>
      </w:r>
      <w:r>
        <w:t>Son paragraf temel soruyu yeniden formüle ediyor. Bu işlev Girişin başında zaten kurulmuştur. Geçiş için ana soruyu tekrar etmek yerine tarihsel zemine bağlanmak daha ekonomiktir.</w:t>
      </w:r>
    </w:p>
    <w:p>
      <w:r>
        <w:rPr>
          <w:b/>
        </w:rPr>
        <w:t xml:space="preserve">En uygun editoryal işlem: </w:t>
      </w:r>
      <w:r>
        <w:t>Son paragrafı bir cümle kısalt ve Birinci Bölümün gerekçesine bağla.</w:t>
      </w:r>
    </w:p>
    <w:p>
      <w:r>
        <w:rPr>
          <w:b/>
        </w:rPr>
        <w:t>Doğrudan kullanılabilecek biçim</w:t>
      </w:r>
    </w:p>
    <w:p>
      <w:pPr>
        <w:pStyle w:val="QuoteBlock"/>
      </w:pPr>
      <w:r>
        <w:t>Bu ilişkinin nasıl kurulduğunu açıklayabilmek için önce resm-i Osmânî’nin ortaya çıktığı tarihsel ve kavramsal zemini belirlemek gerekir. Birinci bölüm bu zemini incelemektedir.</w:t>
      </w:r>
    </w:p>
    <w:p>
      <w:r>
        <w:rPr>
          <w:b/>
        </w:rPr>
        <w:t xml:space="preserve">Önceki kapsamlı raporla karşılaştırma: </w:t>
      </w:r>
      <w:r>
        <w:t>Yeni.</w:t>
      </w:r>
    </w:p>
    <w:p>
      <w:pPr>
        <w:pStyle w:val="Heading1"/>
        <w:keepNext/>
      </w:pPr>
      <w:r>
        <w:t>5. Birinci Bölüm</w:t>
      </w:r>
    </w:p>
    <w:p>
      <w:pPr>
        <w:pStyle w:val="Heading3"/>
        <w:keepNext/>
      </w:pPr>
      <w:r>
        <w:t>B1-AK-01. 1.1’de sentez, delil dizisi tamamlanmadan geliyor ve ardından geriye dönüş yaşanıyor</w:t>
      </w:r>
    </w:p>
    <w:p>
      <w:r>
        <w:rPr>
          <w:b/>
        </w:rPr>
        <w:t xml:space="preserve">Kategori: </w:t>
      </w:r>
      <w:r>
        <w:t>Yapısal / Kronolojik akış</w:t>
      </w:r>
    </w:p>
    <w:p>
      <w:r>
        <w:rPr>
          <w:b/>
        </w:rPr>
        <w:t xml:space="preserve">Önem: </w:t>
      </w:r>
      <w:r>
        <w:t>Yüksek</w:t>
      </w:r>
    </w:p>
    <w:p>
      <w:r>
        <w:rPr>
          <w:b/>
        </w:rPr>
        <w:t xml:space="preserve">Yer: </w:t>
      </w:r>
      <w:r>
        <w:t>1.1, s.8–10; 49–56. paragraflar</w:t>
      </w:r>
    </w:p>
    <w:p>
      <w:r>
        <w:rPr>
          <w:b/>
        </w:rPr>
        <w:t>Kitaptaki ifade</w:t>
      </w:r>
    </w:p>
    <w:p>
      <w:pPr>
        <w:pStyle w:val="QuoteBlock"/>
      </w:pPr>
      <w:r>
        <w:t>Önceki paragraf: “Bu farklı görüşler birlikte değerlendirildiğinde ortaya daha şu mutedil tablo çıkmaktadır: İslâm öncesi Arap toplumunda yazı, yaygın ve sistemli bir uygulama değildi; ancak tamamen yabancı olunan bir kabiliyet de değildi. Yazı daha çok belirli çevrelerde pratik ihtiyaçlara bağlı olarak kullanılan bir araç konumundaydı. Çünkü o…”</w:t>
        <w:br/>
        <w:t>Sonraki paragraf: “İslâm’ın gelişiyle hafıza ve sözlü aktarım geleneği değişmeye başlamıştır. Kur’an vahyi sözlü aktarımı merkeze almaya devam etmiş; ancak vahyin korunması, öğretilmesi ve aktarılması sürecinde yazının önemi her geçen gün artmıştır. Bu süreç Arap yazısının sadece teknik yönden değil, aynı zamanda toplumsal ve kültürel dönüşümünü…”</w:t>
      </w:r>
    </w:p>
    <w:p>
      <w:r>
        <w:rPr>
          <w:b/>
        </w:rPr>
        <w:t xml:space="preserve">Sorun: </w:t>
      </w:r>
      <w:r>
        <w:t>49. paragraf iki görüşü sentezleyip “mutedil tablo”yu veriyor; 50. paragraf İslâm dönemine geçiyor. Ancak 51–55 tekrar İslâm öncesi Varaka, Kusay, şiir, Ubey ve Goldziher örneklerine dönüyor. Okur tarihsel olarak ileri gidip yeniden geri dönüyor.</w:t>
      </w:r>
    </w:p>
    <w:p>
      <w:r>
        <w:rPr>
          <w:b/>
        </w:rPr>
        <w:t xml:space="preserve">En uygun editoryal işlem: </w:t>
      </w:r>
      <w:r>
        <w:t>49–50’yi sona taşı/erit. Önce bütün İslâm öncesi kanıtları ver; 56’da tek sentez ve 1.2’ye geçiş bırak.</w:t>
      </w:r>
    </w:p>
    <w:p>
      <w:r>
        <w:rPr>
          <w:b/>
        </w:rPr>
        <w:t>Doğrudan kullanılabilecek biçim</w:t>
      </w:r>
    </w:p>
    <w:p>
      <w:pPr>
        <w:pStyle w:val="QuoteBlock"/>
      </w:pPr>
      <w:r>
        <w:t>Bu veriler birlikte ele alındığında, İslâm öncesi Arap toplumunda yazının bilindiği, ancak kullanımının belirli çevre ve ihtiyaçlarla sınırlı kaldığı anlaşılmaktadır. Vahyin nüzûlüyle birlikte yazının kullanım alanı ve işlevi yeni bir boyut kazanmıştır.</w:t>
      </w:r>
    </w:p>
    <w:p>
      <w:r>
        <w:rPr>
          <w:b/>
        </w:rPr>
        <w:t xml:space="preserve">Önceki kapsamlı raporla karşılaştırma: </w:t>
      </w:r>
      <w:r>
        <w:t>Yeni.</w:t>
      </w:r>
    </w:p>
    <w:p>
      <w:pPr>
        <w:pStyle w:val="Heading3"/>
        <w:keepNext/>
      </w:pPr>
      <w:r>
        <w:t>B1-AK-02. 1.1’de iki ayrı sonuç paragrafı aynı hükmü kuruyor</w:t>
      </w:r>
    </w:p>
    <w:p>
      <w:r>
        <w:rPr>
          <w:b/>
        </w:rPr>
        <w:t xml:space="preserve">Kategori: </w:t>
      </w:r>
      <w:r>
        <w:t>Gereksiz ara sonuç</w:t>
      </w:r>
    </w:p>
    <w:p>
      <w:r>
        <w:rPr>
          <w:b/>
        </w:rPr>
        <w:t xml:space="preserve">Önem: </w:t>
      </w:r>
      <w:r>
        <w:t>Orta</w:t>
      </w:r>
    </w:p>
    <w:p>
      <w:r>
        <w:rPr>
          <w:b/>
        </w:rPr>
        <w:t xml:space="preserve">Yer: </w:t>
      </w:r>
      <w:r>
        <w:t>1.1, 49 ve 56. paragraflar</w:t>
      </w:r>
    </w:p>
    <w:p>
      <w:r>
        <w:rPr>
          <w:b/>
        </w:rPr>
        <w:t>Kitaptaki ifade</w:t>
      </w:r>
    </w:p>
    <w:p>
      <w:pPr>
        <w:pStyle w:val="QuoteBlock"/>
      </w:pPr>
      <w:r>
        <w:t>Bütün bu veriler bir arada değerlendirildiğinde İslâm öncesi Arap toplumunda yazının hiç bilinmediğini söylemek mümkün değildir. Ancak toplumun geneline yayılmış bir konumda da olmadığı anlaşılmaktadır. Yazı daha çok belirli kişiler tarafından belirli ihtiyaçlar için kullanılan sınırlı bir araç olmuştur. Ancak İslâm’ın gelişiyle birlikte özellikle Kur’an vahyi etrafında şekillenen yeni dinî toplumsal yapı bu sınırlı yazı becerisini giderek merkezî bir konuma taşımış, böylece Arap yazısı tarihsel bir kırılma geçirerek Kur’an’ın metinleşme sürecinin temel…</w:t>
      </w:r>
    </w:p>
    <w:p>
      <w:r>
        <w:rPr>
          <w:b/>
        </w:rPr>
        <w:t xml:space="preserve">Sorun: </w:t>
      </w:r>
      <w:r>
        <w:t>49 ile 56 aynı “ne tamamen bilinmiyor ne toplumun geneline yayılmış” sonucunu iki kez veriyor. İkinci sonuç “Bütün bu veriler...” formülüyle AI-benzeri kapanış etkisi oluşturuyor.</w:t>
      </w:r>
    </w:p>
    <w:p>
      <w:r>
        <w:rPr>
          <w:b/>
        </w:rPr>
        <w:t xml:space="preserve">En uygun editoryal işlem: </w:t>
      </w:r>
      <w:r>
        <w:t>49’u kaldır veya delil dizisine girişe dönüştür; 56’yı tek kısa sentez olarak bırak.</w:t>
      </w:r>
    </w:p>
    <w:p>
      <w:r>
        <w:rPr>
          <w:b/>
        </w:rPr>
        <w:t>Doğrudan kullanılabilecek biçim</w:t>
      </w:r>
    </w:p>
    <w:p>
      <w:pPr>
        <w:pStyle w:val="QuoteBlock"/>
      </w:pPr>
      <w:r>
        <w:t>İslâm öncesi Arap toplumunda yazı bütünüyle bilinmeyen bir beceri değildi; ancak toplumun geneline yayılmış sistemli bir uygulama hâline de gelmemişti.</w:t>
      </w:r>
    </w:p>
    <w:p>
      <w:r>
        <w:rPr>
          <w:b/>
        </w:rPr>
        <w:t xml:space="preserve">Önceki kapsamlı raporla karşılaştırma: </w:t>
      </w:r>
      <w:r>
        <w:t>Yeni.</w:t>
      </w:r>
    </w:p>
    <w:p>
      <w:pPr>
        <w:pStyle w:val="Heading3"/>
        <w:keepNext/>
      </w:pPr>
      <w:r>
        <w:t>B1-AK-03. 1.2 somut rivâyetlere geçmeden üç kez genel çerçeve kuruyor</w:t>
      </w:r>
    </w:p>
    <w:p>
      <w:r>
        <w:rPr>
          <w:b/>
        </w:rPr>
        <w:t xml:space="preserve">Kategori: </w:t>
      </w:r>
      <w:r>
        <w:t>Paragraf içi akış / Tekrar</w:t>
      </w:r>
    </w:p>
    <w:p>
      <w:r>
        <w:rPr>
          <w:b/>
        </w:rPr>
        <w:t xml:space="preserve">Önem: </w:t>
      </w:r>
      <w:r>
        <w:t>Orta</w:t>
      </w:r>
    </w:p>
    <w:p>
      <w:r>
        <w:rPr>
          <w:b/>
        </w:rPr>
        <w:t xml:space="preserve">Yer: </w:t>
      </w:r>
      <w:r>
        <w:t>1.2, s.10–11; 58–61. paragraflar</w:t>
      </w:r>
    </w:p>
    <w:p>
      <w:r>
        <w:rPr>
          <w:b/>
        </w:rPr>
        <w:t>Kitaptaki ifade</w:t>
      </w:r>
    </w:p>
    <w:p>
      <w:pPr>
        <w:pStyle w:val="QuoteBlock"/>
      </w:pPr>
      <w:r>
        <w:t>Önceki paragraf: “Vahyin inişiyle birlikte yazının pozisyonu belirgin bir şekilde değişmeye başlamıştır. Vahyin korunması ve tebliği sürecinde sözlü aktarım merkezî önemini korumakla birlikte yazı giderek daha fazla başvurulan bir vasıta hâline gelmiştir. Hz. Peygamber’in vahiy kâtiplerini görevlendirmesi, inen âyetleri kayıt altına almak…”</w:t>
        <w:br/>
        <w:t>Sonraki paragraf: “Kur’an vahyinin kitaplaşma serüveni, işte bu tarihsel ve kültürel dönüşüm içinde şekillenmiştir. Vahyin inzal sürecinde sözlü aktarım esas olmakla birlikte, yazı bu sürecin her aşamasında giderek daha belirgin hâle gelmiştir. Hz. Peygamber’in vefatından sonra Kur’an’ın yazılı bir metin hâlinde bir araya getirilmesi bu sürecin…”</w:t>
      </w:r>
    </w:p>
    <w:p>
      <w:r>
        <w:rPr>
          <w:b/>
        </w:rPr>
        <w:t xml:space="preserve">Sorun: </w:t>
      </w:r>
      <w:r>
        <w:t>58 yazının artan rolünü, 59 “kitaplaşma serüveni”ni, 60 söz–yazı dengesini sonuçlandırıyor; tarihsel kanıtlar ancak 61’de başlıyor. Alt başlık daha başlamadan üç kez genel değerlendirme yapmış oluyor.</w:t>
      </w:r>
    </w:p>
    <w:p>
      <w:r>
        <w:rPr>
          <w:b/>
        </w:rPr>
        <w:t xml:space="preserve">En uygun editoryal işlem: </w:t>
      </w:r>
      <w:r>
        <w:t>58’i giriş olarak tut; 59–60’ı kısalt veya 1.2’nin son sentezine taşı; 61’e daha erken geç.</w:t>
      </w:r>
    </w:p>
    <w:p>
      <w:r>
        <w:rPr>
          <w:b/>
        </w:rPr>
        <w:t>Doğrudan kullanılabilecek biçim</w:t>
      </w:r>
    </w:p>
    <w:p>
      <w:pPr>
        <w:pStyle w:val="QuoteBlock"/>
      </w:pPr>
      <w:r>
        <w:t>Vahyin inişiyle yazı, sözlü aktarımın yanında giderek daha belirgin bir kayıt vasıtası hâline gelmiştir. Bu gelişmenin kapsamı ve düzeni, vahyin ne zaman ve nasıl yazıya geçirildiğine ilişkin rivâyetler üzerinden izlenebilir.</w:t>
      </w:r>
    </w:p>
    <w:p>
      <w:r>
        <w:rPr>
          <w:b/>
        </w:rPr>
        <w:t xml:space="preserve">Önceki kapsamlı raporla karşılaştırma: </w:t>
      </w:r>
      <w:r>
        <w:t>Yeni.</w:t>
      </w:r>
    </w:p>
    <w:p>
      <w:pPr>
        <w:pStyle w:val="Heading3"/>
        <w:keepNext/>
      </w:pPr>
      <w:r>
        <w:t>B1-AK-04. 1.2’nin kapanışı ile 1.3’ün açılışı aynı bilgiyi yeniden söylüyor</w:t>
      </w:r>
    </w:p>
    <w:p>
      <w:r>
        <w:rPr>
          <w:b/>
        </w:rPr>
        <w:t xml:space="preserve">Kategori: </w:t>
      </w:r>
      <w:r>
        <w:t>Alt başlık geçişi / Tekrar</w:t>
      </w:r>
    </w:p>
    <w:p>
      <w:r>
        <w:rPr>
          <w:b/>
        </w:rPr>
        <w:t xml:space="preserve">Önem: </w:t>
      </w:r>
      <w:r>
        <w:t>Orta</w:t>
      </w:r>
    </w:p>
    <w:p>
      <w:r>
        <w:rPr>
          <w:b/>
        </w:rPr>
        <w:t xml:space="preserve">Yer: </w:t>
      </w:r>
      <w:r>
        <w:t>1.2 son paragrafı → 1.3 ilk paragrafı</w:t>
      </w:r>
    </w:p>
    <w:p>
      <w:r>
        <w:rPr>
          <w:b/>
        </w:rPr>
        <w:t>Kitaptaki ifade</w:t>
      </w:r>
    </w:p>
    <w:p>
      <w:pPr>
        <w:pStyle w:val="QuoteBlock"/>
      </w:pPr>
      <w:r>
        <w:t>Önceki paragraf: “Her iki yaklaşım birlikte değerlendirildiğinde, nüzûl döneminde vahyin yazıyla kayıt altına alındığı, ancak bu kayıtların tek merkezde toplanıp düzenlenerek kitap hâline getirilmiş bir yapıya sahip olmadığı anlaşılmaktadır. Bu durum, Kur’an’ın erken dönemde hem sözlü hem de yazılı yollarla muhafaza altına alındığını, fakat…”</w:t>
        <w:br/>
        <w:t>Sonraki paragraf: “Nüzûl döneminde vahyin kayıt altına alındığı açık olmakla birlikte bu kayıtların kitap şeklinde bir araya getirilmediği görülmektedir. Hz. Peygamber hayattayken vahiy hem ezber yoluyla hem de çeşitli yazı malzemeleri üzerine kaydedilerek korunmuş, ancak bu malzemeler dağınık hâlde kalmıştır. İşte Kur’an’ın ilk defa bütüncül bir…”</w:t>
      </w:r>
    </w:p>
    <w:p>
      <w:r>
        <w:rPr>
          <w:b/>
        </w:rPr>
        <w:t xml:space="preserve">Sorun: </w:t>
      </w:r>
      <w:r>
        <w:t>1.2 “kayıtlar tek merkezde toplanıp kitap hâline getirilmemiştir” diyerek biter; 1.3 aynı cümleyi “kayıtların kitap şeklinde bir araya getirilmediği” şeklinde yeniden açar.</w:t>
      </w:r>
    </w:p>
    <w:p>
      <w:r>
        <w:rPr>
          <w:b/>
        </w:rPr>
        <w:t xml:space="preserve">En uygun editoryal işlem: </w:t>
      </w:r>
      <w:r>
        <w:t>1.2’yi doğrudan derleme ihtiyacına bağla; 1.3 ilk cümlesini kısalt.</w:t>
      </w:r>
    </w:p>
    <w:p>
      <w:r>
        <w:rPr>
          <w:b/>
        </w:rPr>
        <w:t>Doğrudan kullanılabilecek biçim</w:t>
      </w:r>
    </w:p>
    <w:p>
      <w:pPr>
        <w:pStyle w:val="QuoteBlock"/>
      </w:pPr>
      <w:r>
        <w:t>Nüzûl döneminde vahyin yazıyla kaydedildiği, fakat bu kayıtların tek bir derleme hâlinde toplanmadığı anlaşılmaktadır. Hz. Peygamber’in vefatından sonra gündeme gelen mesele, mevcut yazılı ve sözlü malzemenin sistemli biçimde bir araya getirilmesidir.</w:t>
      </w:r>
    </w:p>
    <w:p>
      <w:r>
        <w:rPr>
          <w:b/>
        </w:rPr>
        <w:t xml:space="preserve">Önceki kapsamlı raporla karşılaştırma: </w:t>
      </w:r>
      <w:r>
        <w:t>Yeni.</w:t>
      </w:r>
    </w:p>
    <w:p>
      <w:pPr>
        <w:pStyle w:val="Heading3"/>
        <w:keepNext/>
      </w:pPr>
      <w:r>
        <w:t>B1-AK-05. 1.3 yedi harf ve arza-i âhire tartışmasına fazla erken giriyor</w:t>
      </w:r>
    </w:p>
    <w:p>
      <w:r>
        <w:rPr>
          <w:b/>
        </w:rPr>
        <w:t xml:space="preserve">Kategori: </w:t>
      </w:r>
      <w:r>
        <w:t>Başlık kapsamı / Bölümler arası tekrar</w:t>
      </w:r>
    </w:p>
    <w:p>
      <w:r>
        <w:rPr>
          <w:b/>
        </w:rPr>
        <w:t xml:space="preserve">Önem: </w:t>
      </w:r>
      <w:r>
        <w:t>Yüksek</w:t>
      </w:r>
    </w:p>
    <w:p>
      <w:r>
        <w:rPr>
          <w:b/>
        </w:rPr>
        <w:t xml:space="preserve">Yer: </w:t>
      </w:r>
      <w:r>
        <w:t>1.3, s.15–16; Mervan anlatısından sonraki 77–79. paragraflar</w:t>
      </w:r>
    </w:p>
    <w:p>
      <w:r>
        <w:rPr>
          <w:b/>
        </w:rPr>
        <w:t>Kitaptaki ifade</w:t>
      </w:r>
    </w:p>
    <w:p>
      <w:pPr>
        <w:pStyle w:val="QuoteBlock"/>
      </w:pPr>
      <w:r>
        <w:t>Nitekim kaynaklarda Hz. Ebû Bekir’in emriyle derlenen Kur’an nüshasının “yedi harf”i ihtiva ettiği, yani Kur’an’ın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 Ancak Kur’an’ın “yedi harf” üzere indirilmiş olmasının, bütün bu vecihlerin muhafazasının farz veya…</w:t>
      </w:r>
    </w:p>
    <w:p>
      <w:r>
        <w:rPr>
          <w:b/>
        </w:rPr>
        <w:t xml:space="preserve">Sorun: </w:t>
      </w:r>
      <w:r>
        <w:t>Alt başlığın işlevi Ebû Bekir dönemi cem ve tarihsel arka plandır. Son bölümde yedi harf, Osmanî istinsah, tek harf ve arza-i âhire ayrıntılandırılarak 1.4 ve özellikle 2.3’ün tartışma alanı önceden tüketiliyor.</w:t>
      </w:r>
    </w:p>
    <w:p>
      <w:r>
        <w:rPr>
          <w:b/>
        </w:rPr>
        <w:t xml:space="preserve">En uygun editoryal işlem: </w:t>
      </w:r>
      <w:r>
        <w:t>1.3’ü suhufun akıbetiyle kapat; yedi harf/arza değerlendirmesini 2.3’e taşı veya burada tek geçiş cümlesine indir.</w:t>
      </w:r>
    </w:p>
    <w:p>
      <w:r>
        <w:rPr>
          <w:b/>
        </w:rPr>
        <w:t>Doğrudan kullanılabilecek biçim</w:t>
      </w:r>
    </w:p>
    <w:p>
      <w:pPr>
        <w:pStyle w:val="QuoteBlock"/>
      </w:pPr>
      <w:r>
        <w:t>Hz. Ebû Bekir döneminde derlenen sahifelerin sonraki istinsah faaliyetiyle ilişkisi, Osmânî mushafların çoğaltılmasını gerektiren şartlar ve yedi harf tartışmasıyla birlikte sonraki başlıklarda ele alınacaktır.</w:t>
      </w:r>
    </w:p>
    <w:p>
      <w:r>
        <w:rPr>
          <w:b/>
        </w:rPr>
        <w:t xml:space="preserve">Önceki kapsamlı raporla karşılaştırma: </w:t>
      </w:r>
      <w:r>
        <w:t>Yeni; önceki rapor bu pasajın bilimsel kesinliğini ele aldı, fakat başlık taşması ve tekrar mimarisini ayrıca göstermedi.</w:t>
      </w:r>
    </w:p>
    <w:p>
      <w:pPr>
        <w:pStyle w:val="Heading3"/>
        <w:keepNext/>
      </w:pPr>
      <w:r>
        <w:t>B1-AK-06. 1.4 gerekçeleri anlattıktan sonra gerekçeleri yeniden başlatıyor</w:t>
      </w:r>
    </w:p>
    <w:p>
      <w:r>
        <w:rPr>
          <w:b/>
        </w:rPr>
        <w:t xml:space="preserve">Kategori: </w:t>
      </w:r>
      <w:r>
        <w:t>Yapısal / Tekrar</w:t>
      </w:r>
    </w:p>
    <w:p>
      <w:r>
        <w:rPr>
          <w:b/>
        </w:rPr>
        <w:t xml:space="preserve">Önem: </w:t>
      </w:r>
      <w:r>
        <w:t>Yüksek</w:t>
      </w:r>
    </w:p>
    <w:p>
      <w:r>
        <w:rPr>
          <w:b/>
        </w:rPr>
        <w:t xml:space="preserve">Yer: </w:t>
      </w:r>
      <w:r>
        <w:t>1.4, s.16–20; özellikle 96–98</w:t>
      </w:r>
    </w:p>
    <w:p>
      <w:r>
        <w:rPr>
          <w:b/>
        </w:rPr>
        <w:t>Kitaptaki ifade</w:t>
      </w:r>
    </w:p>
    <w:p>
      <w:pPr>
        <w:pStyle w:val="QuoteBlock"/>
      </w:pPr>
      <w:r>
        <w:t>Bu noktada asıl üzerinde durulması gereken mesele, Müslümanları söz konusu rivâyetlerdeki ihtilafa sürükleyen sebeplerin gerisinde yatan ana nedenlerin neler olduğu hususudur. Bu ihtilafların gerisinde iki sebep bulunmaktadır. Birincisi, Kur’an’ın “yedi harf” üzere okunmasına verilen ruhsattır. Sahih hadislerle sabit olan bu ruhsat, nüzûl döneminde farklı kabileler için kolaylaştırıcı bir işlev görmüştür. Hz. Ebû Bekir zamanında derlenen Kur’an da aynı şekilde “yedi harf”i içermektedir. Özellikle Hz. Ömer devrinde İslâm devletinin sınırlarının…</w:t>
      </w:r>
    </w:p>
    <w:p>
      <w:r>
        <w:rPr>
          <w:b/>
        </w:rPr>
        <w:t xml:space="preserve">Sorun: </w:t>
      </w:r>
      <w:r>
        <w:t>Bölümde Huzeyfe rivâyeti, bölgesel farklılaşma ve şahsî mushaflar zaten anlatılmışken “asıl üzerinde durulması gereken... iki sebep” denilerek aynı nedenler ikinci kez kuruluyor. Bu, okurda önceki açıklamaların hazırlık, 96’dan sonrasının asıl metin olduğu izlenimini yaratıyor.</w:t>
      </w:r>
    </w:p>
    <w:p>
      <w:r>
        <w:rPr>
          <w:b/>
        </w:rPr>
        <w:t xml:space="preserve">En uygun editoryal işlem: </w:t>
      </w:r>
      <w:r>
        <w:t>96’daki iki sebebi önceki ilgili paragraflara dağıt; 98’deki “Hülasa” paragrafını tek kısa kapanışa indir.</w:t>
      </w:r>
    </w:p>
    <w:p>
      <w:r>
        <w:rPr>
          <w:b/>
        </w:rPr>
        <w:t>Doğrudan kullanılabilecek biçim</w:t>
      </w:r>
    </w:p>
    <w:p>
      <w:pPr>
        <w:pStyle w:val="QuoteBlock"/>
      </w:pPr>
      <w:r>
        <w:t>Bu rivâyetlerde öne çıkan iki unsur, farklı okuyuşların yeni Müslüman çevrelerde ihtilafa dönüşmesi ve şahsî mushafların ortak bir başvuru metni bulunmadığında bu ihtilafı artırabilmesidir. Bu unsurlar, Osmânî istinsah kararının tarihsel bağlamını açıklamaktadır.</w:t>
      </w:r>
    </w:p>
    <w:p>
      <w:r>
        <w:rPr>
          <w:b/>
        </w:rPr>
        <w:t xml:space="preserve">Önceki kapsamlı raporla karşılaştırma: </w:t>
      </w:r>
      <w:r>
        <w:t>Yeni.</w:t>
      </w:r>
    </w:p>
    <w:p>
      <w:pPr>
        <w:pStyle w:val="Heading3"/>
        <w:keepNext/>
      </w:pPr>
      <w:r>
        <w:t>B1-AK-07. 1.4 “Hülasa” ile aynı bölümü ikinci kez kapatıyor</w:t>
      </w:r>
    </w:p>
    <w:p>
      <w:r>
        <w:rPr>
          <w:b/>
        </w:rPr>
        <w:t xml:space="preserve">Kategori: </w:t>
      </w:r>
      <w:r>
        <w:t>Gereksiz ara sonuç</w:t>
      </w:r>
    </w:p>
    <w:p>
      <w:r>
        <w:rPr>
          <w:b/>
        </w:rPr>
        <w:t xml:space="preserve">Önem: </w:t>
      </w:r>
      <w:r>
        <w:t>Orta</w:t>
      </w:r>
    </w:p>
    <w:p>
      <w:r>
        <w:rPr>
          <w:b/>
        </w:rPr>
        <w:t xml:space="preserve">Yer: </w:t>
      </w:r>
      <w:r>
        <w:t>1.4 son paragraf</w:t>
      </w:r>
    </w:p>
    <w:p>
      <w:r>
        <w:rPr>
          <w:b/>
        </w:rPr>
        <w:t>Kitaptaki ifade</w:t>
      </w:r>
    </w:p>
    <w:p>
      <w:pPr>
        <w:pStyle w:val="QuoteBlock"/>
      </w:pPr>
      <w:r>
        <w:t>Hülasa, istinsah kararı, vahyin aslını değiştirme veya yeni bir metin oluşturma girişimi değildir. Aksine bu karar, sözlü kırâat çeşitliliğinin ve bölgesel mushaf farklılıklarının doğurduğu metinsel belirsizlikleri ortadan kaldırarak ümmetin birliğini korumaya yönelik tarihsel bir hamledir. Bu süreçle birlikte resm-i Osmânî yazı normu, merkezî ve bağlayıcı bir otorite hâline gelmiş, Kur’an metni yazı düzeyinde sabitlenmiş, kırâat farklılıkları ise bu yazı çerçevesinde anlam kazanmıştır</w:t>
      </w:r>
    </w:p>
    <w:p>
      <w:r>
        <w:rPr>
          <w:b/>
        </w:rPr>
        <w:t xml:space="preserve">Sorun: </w:t>
      </w:r>
      <w:r>
        <w:t>Önceki birkaç paragraf zaten istinsahın yeni metin üretmek değil ortaklık sağlamak olduğunu tekrar ediyor. “Hülasa” paragrafı yeni analitik katkı getirmeden aynı hükmü yeniden kuruyor.</w:t>
      </w:r>
    </w:p>
    <w:p>
      <w:r>
        <w:rPr>
          <w:b/>
        </w:rPr>
        <w:t xml:space="preserve">En uygun editoryal işlem: </w:t>
      </w:r>
      <w:r>
        <w:t>Paragrafı çıkar veya bir sonraki başlığa köprü olacak tek cümleye indir.</w:t>
      </w:r>
    </w:p>
    <w:p>
      <w:r>
        <w:rPr>
          <w:b/>
        </w:rPr>
        <w:t>Doğrudan kullanılabilecek biçim</w:t>
      </w:r>
    </w:p>
    <w:p>
      <w:pPr>
        <w:pStyle w:val="QuoteBlock"/>
      </w:pPr>
      <w:r>
        <w:t>İstinsah kararının nasıl uygulandığını değerlendirebilmek için çoğaltılan nüshaların sayısı ve gönderildikleri merkezlere dair rivâyetlere bakmak gerekir.</w:t>
      </w:r>
    </w:p>
    <w:p>
      <w:r>
        <w:rPr>
          <w:b/>
        </w:rPr>
        <w:t xml:space="preserve">Önceki kapsamlı raporla karşılaştırma: </w:t>
      </w:r>
      <w:r>
        <w:t>Yeni.</w:t>
      </w:r>
    </w:p>
    <w:p>
      <w:pPr>
        <w:pStyle w:val="Heading3"/>
        <w:keepNext/>
      </w:pPr>
      <w:r>
        <w:t>B1-AK-08. 1.5’te ara sonuç, çağdaş görüşler ve iki son sentez art arda geliyor</w:t>
      </w:r>
    </w:p>
    <w:p>
      <w:r>
        <w:rPr>
          <w:b/>
        </w:rPr>
        <w:t xml:space="preserve">Kategori: </w:t>
      </w:r>
      <w:r>
        <w:t>Yapısal / Gereksiz özet</w:t>
      </w:r>
    </w:p>
    <w:p>
      <w:r>
        <w:rPr>
          <w:b/>
        </w:rPr>
        <w:t xml:space="preserve">Önem: </w:t>
      </w:r>
      <w:r>
        <w:t>Yüksek</w:t>
      </w:r>
    </w:p>
    <w:p>
      <w:r>
        <w:rPr>
          <w:b/>
        </w:rPr>
        <w:t xml:space="preserve">Yer: </w:t>
      </w:r>
      <w:r>
        <w:t>1.5, s.20–24; 108–116</w:t>
      </w:r>
    </w:p>
    <w:p>
      <w:r>
        <w:rPr>
          <w:b/>
        </w:rPr>
        <w:t>Kitaptaki ifade</w:t>
      </w:r>
    </w:p>
    <w:p>
      <w:pPr>
        <w:pStyle w:val="QuoteBlock"/>
      </w:pPr>
      <w:r>
        <w:t>Mevcut rivâyetler ışığında, Osmânî mushafları en kuvvetli ihtimalle şu şekilde tasnif etmek mümkündür: Halifenin yanında kalan “İmam Mushaf” ile birlikte Medine, Mekke, Şam, Kûfe ve Basra’ya gönderilen beş nüsha bulunmaktadır. Böylece toplam altı nüshanın varlığı ihtimalî kuvvet kazanmaktadır. Kevserî’nin (ö. 1371/1951) ifadesiyle Hz. Osman bir mushafı kendisi için ayırmış, kalan beş mushafı da emsâr bölgelerine göndermiştir. Bu çerçevede istinsah sürecinde yazılan mushafların sayısı konusunda kesin bir rakam vermek güç olmakla birlikte, tarihsel ve…</w:t>
      </w:r>
    </w:p>
    <w:p>
      <w:r>
        <w:rPr>
          <w:b/>
        </w:rPr>
        <w:t xml:space="preserve">Sorun: </w:t>
      </w:r>
      <w:r>
        <w:t>Klasik/erken kaynaklar 100–107’de taranıyor; 108 hemen genel hüküm veriyor. Ardından çağdaş araştırmacılar 109–114’te aynı mesele için yeniden sıralanıyor; 115 ve 116 tekrar genel sonuç veriyor. Alt başlığın son üçte biri “sonuç üretme” döngüsüne dönüşüyor.</w:t>
      </w:r>
    </w:p>
    <w:p>
      <w:r>
        <w:rPr>
          <w:b/>
        </w:rPr>
        <w:t xml:space="preserve">En uygun editoryal işlem: </w:t>
      </w:r>
      <w:r>
        <w:t>108’i kaldır veya çağdaş literatüre geçiş cümlesine dönüştür; 115–116’yı tek ihtiyatlı sonuçta birleştir.</w:t>
      </w:r>
    </w:p>
    <w:p>
      <w:r>
        <w:rPr>
          <w:b/>
        </w:rPr>
        <w:t>Doğrudan kullanılabilecek biçim</w:t>
      </w:r>
    </w:p>
    <w:p>
      <w:pPr>
        <w:pStyle w:val="QuoteBlock"/>
      </w:pPr>
      <w:r>
        <w:t>Erken kaynaklardaki farklı sayılar, çağdaş araştırmalarda da farklı biçimlerde değerlendirilmiştir. Bu nedenle nüsha sayısı ve dağıtım merkezleri konusunda tek bir rakamı tartışmasız sonuç olarak vermek yerine, rivâyetlerin dayanaklarını ve ortaklaştıkları merkezleri birlikte değerlendirmek daha ihtiyatlıdır.</w:t>
      </w:r>
    </w:p>
    <w:p>
      <w:r>
        <w:rPr>
          <w:b/>
        </w:rPr>
        <w:t xml:space="preserve">Önceki kapsamlı raporla karşılaştırma: </w:t>
      </w:r>
      <w:r>
        <w:t>Yeni.</w:t>
      </w:r>
    </w:p>
    <w:p>
      <w:pPr>
        <w:pStyle w:val="Heading3"/>
        <w:keepNext/>
      </w:pPr>
      <w:r>
        <w:t>B1-AK-09. 1.5’te çağdaş araştırmacılar “X de... Y de...” ritmiyle mekanik biçimde sıralanıyor</w:t>
      </w:r>
    </w:p>
    <w:p>
      <w:r>
        <w:rPr>
          <w:b/>
        </w:rPr>
        <w:t xml:space="preserve">Kategori: </w:t>
      </w:r>
      <w:r>
        <w:t>Formülaik anlatım</w:t>
      </w:r>
    </w:p>
    <w:p>
      <w:r>
        <w:rPr>
          <w:b/>
        </w:rPr>
        <w:t xml:space="preserve">Önem: </w:t>
      </w:r>
      <w:r>
        <w:t>Düşük</w:t>
      </w:r>
    </w:p>
    <w:p>
      <w:r>
        <w:rPr>
          <w:b/>
        </w:rPr>
        <w:t xml:space="preserve">Yer: </w:t>
      </w:r>
      <w:r>
        <w:t>1.5, çağdaş araştırmacıların sıralandığı 109–114. paragraflar</w:t>
      </w:r>
    </w:p>
    <w:p>
      <w:r>
        <w:rPr>
          <w:b/>
        </w:rPr>
        <w:t>Kitaptaki ifade</w:t>
      </w:r>
    </w:p>
    <w:p>
      <w:pPr>
        <w:pStyle w:val="QuoteBlock"/>
      </w:pPr>
      <w:r>
        <w:t>Zürkânî, klasik literatürü sistematik biçimde inceleyerek Dânî, ez-Zerkeşî, İbn Hacer ve Süyûtî'nin değerlendirmelerini karşılaştırmış; "beş şehir" mushafı görüşünün hem rivayet sıhhati hem de tarihî bağlam bakımından daha kuvvetli olduğunu ileri sürmüştür. Zürkânî'nin en önemli katkısı, gelenek içindeki bu mukayeseyi sistematik bir yöntemle ortaya koymasıdır. Subhî es-Sâlih, benzer biçimde klasik rivâyetleri tasnif ederek en kuvvetli görüşün beş ana merkeze gönderilen mushaflar olduğunu belirtir. O, özellikle erken dönem kaynaklarında şehir isimlerinin…</w:t>
      </w:r>
    </w:p>
    <w:p>
      <w:r>
        <w:rPr>
          <w:b/>
        </w:rPr>
        <w:t xml:space="preserve">Sorun: </w:t>
      </w:r>
      <w:r>
        <w:t>Her paragraf yeni bir isim getirip benzer sonuca ulaşıyor. Bu yöntem literatür dökümü hissi veriyor ve karşılaştırmanın hangi ölçüte göre yapıldığını gizliyor.</w:t>
      </w:r>
    </w:p>
    <w:p>
      <w:r>
        <w:rPr>
          <w:b/>
        </w:rPr>
        <w:t xml:space="preserve">En uygun editoryal işlem: </w:t>
      </w:r>
      <w:r>
        <w:t>İsimleri “savunulan sayı / dayanak / ihtiyat düzeyi” ölçütüne göre birleştir; her araştırmacıya ayrı sonuç cümlesi verme.</w:t>
      </w:r>
    </w:p>
    <w:p>
      <w:r>
        <w:rPr>
          <w:b/>
        </w:rPr>
        <w:t>Doğrudan kullanılabilecek biçim</w:t>
      </w:r>
    </w:p>
    <w:p>
      <w:pPr>
        <w:pStyle w:val="QuoteBlock"/>
      </w:pPr>
      <w:r>
        <w:t>Çağdaş değerlendirmeler, çoğaltılan nüshaların sayısı konusunda tek bir görüşte birleşmemektedir. Görüşler, rivâyetlerin hangi merkezleri birlikte saydığı ve halifenin yanında kalan nüshanın nasıl adlandırıldığına göre farklılaşmaktadır.</w:t>
      </w:r>
    </w:p>
    <w:p>
      <w:r>
        <w:rPr>
          <w:b/>
        </w:rPr>
        <w:t xml:space="preserve">Önceki kapsamlı raporla karşılaştırma: </w:t>
      </w:r>
      <w:r>
        <w:t>Yeni.</w:t>
      </w:r>
    </w:p>
    <w:p>
      <w:pPr>
        <w:pStyle w:val="Heading3"/>
        <w:keepNext/>
      </w:pPr>
      <w:r>
        <w:t>B1-AK-10. 1.5’ten 1.6’ya tarihsel sayı tartışmasından kavramsal tanıma hazırlıksız geçiliyor</w:t>
      </w:r>
    </w:p>
    <w:p>
      <w:r>
        <w:rPr>
          <w:b/>
        </w:rPr>
        <w:t xml:space="preserve">Kategori: </w:t>
      </w:r>
      <w:r>
        <w:t>Alt başlık geçişi</w:t>
      </w:r>
    </w:p>
    <w:p>
      <w:r>
        <w:rPr>
          <w:b/>
        </w:rPr>
        <w:t xml:space="preserve">Önem: </w:t>
      </w:r>
      <w:r>
        <w:t>Orta</w:t>
      </w:r>
    </w:p>
    <w:p>
      <w:r>
        <w:rPr>
          <w:b/>
        </w:rPr>
        <w:t xml:space="preserve">Yer: </w:t>
      </w:r>
      <w:r>
        <w:t>1.5 sonu → 1.6 başlangıcı</w:t>
      </w:r>
    </w:p>
    <w:p>
      <w:r>
        <w:rPr>
          <w:b/>
        </w:rPr>
        <w:t>Kitaptaki ifade</w:t>
      </w:r>
    </w:p>
    <w:p>
      <w:pPr>
        <w:pStyle w:val="QuoteBlock"/>
      </w:pPr>
      <w:r>
        <w:t>Resm-i Osmânî, Kur’an ilimleri içerisinde hem yazı tarihi hem de metnin korunması açısından merkezî bir kavramdır. Bu kavramın doğru anlaşılabilmesi için gerek “resm” kelimesinin dilsel temeli, gerekse Hz. Osman döneminde gerçekleştirilen istinsah sürecinin tarihî bağlamı ile birlikte değerlendirilmesi gerekmektedir. Zira resm-i Osmânî yalnızca teknik bir yazım tercihini aşan ve Kur’an metninin yazı düzeyinde sabitlenmesini temsil eden tarihsel bir dönüm noktasıdır.</w:t>
      </w:r>
    </w:p>
    <w:p>
      <w:r>
        <w:rPr>
          <w:b/>
        </w:rPr>
        <w:t xml:space="preserve">Sorun: </w:t>
      </w:r>
      <w:r>
        <w:t>Nüsha sayısı ve merkezler tartışması bittikten sonra “Resm-i Osmânî, Kur’an ilimleri içerisinde...” şeklinde yeni bir kavramsal başlangıç yapılıyor; iki bahis arasındaki neden-sonuç ilişkisi görünmüyor.</w:t>
      </w:r>
    </w:p>
    <w:p>
      <w:r>
        <w:rPr>
          <w:b/>
        </w:rPr>
        <w:t xml:space="preserve">En uygun editoryal işlem: </w:t>
      </w:r>
      <w:r>
        <w:t>1.6’nın ilk cümlesini dağıtım meselesinden kavramsal tanıma bağla.</w:t>
      </w:r>
    </w:p>
    <w:p>
      <w:r>
        <w:rPr>
          <w:b/>
        </w:rPr>
        <w:t>Doğrudan kullanılabilecek biçim</w:t>
      </w:r>
    </w:p>
    <w:p>
      <w:pPr>
        <w:pStyle w:val="QuoteBlock"/>
      </w:pPr>
      <w:r>
        <w:t>Osmânî mushafların farklı merkezlerde ortak başvuru nüshaları hâline gelmesi, bu nüshalara nispet edilen yazım geleneğinin neyi ifade ettiğini açıklamayı gerekli kılmaktadır. Bu nedenle önce “resm” ve “resm-i Osmânî” kavramlarının dilsel ve ıstılâhî çerçevesi belirlenmelidir.</w:t>
      </w:r>
    </w:p>
    <w:p>
      <w:r>
        <w:rPr>
          <w:b/>
        </w:rPr>
        <w:t xml:space="preserve">Önceki kapsamlı raporla karşılaştırma: </w:t>
      </w:r>
      <w:r>
        <w:t>Yeni.</w:t>
      </w:r>
    </w:p>
    <w:p>
      <w:pPr>
        <w:pStyle w:val="Heading3"/>
        <w:keepNext/>
      </w:pPr>
      <w:r>
        <w:t>B1-AK-11. 1.6 üç ardışık meta-giriş paragrafıyla başlıyor</w:t>
      </w:r>
    </w:p>
    <w:p>
      <w:r>
        <w:rPr>
          <w:b/>
        </w:rPr>
        <w:t xml:space="preserve">Kategori: </w:t>
      </w:r>
      <w:r>
        <w:t>Meta-anlatım / Tekrar</w:t>
      </w:r>
    </w:p>
    <w:p>
      <w:r>
        <w:rPr>
          <w:b/>
        </w:rPr>
        <w:t xml:space="preserve">Önem: </w:t>
      </w:r>
      <w:r>
        <w:t>Orta</w:t>
      </w:r>
    </w:p>
    <w:p>
      <w:r>
        <w:rPr>
          <w:b/>
        </w:rPr>
        <w:t xml:space="preserve">Yer: </w:t>
      </w:r>
      <w:r>
        <w:t>1.6, s.24–25; 119–121</w:t>
      </w:r>
    </w:p>
    <w:p>
      <w:r>
        <w:rPr>
          <w:b/>
        </w:rPr>
        <w:t>Kitaptaki ifade</w:t>
      </w:r>
    </w:p>
    <w:p>
      <w:pPr>
        <w:pStyle w:val="QuoteBlock"/>
      </w:pPr>
      <w:r>
        <w:t>Bu çerçevede konuyu iki ana eksen üzerinde ele almak gerekmektedir. İlk olarak kavramın dilsel ve terimsel zemini ortaya konulmalı; ardından bu kavramın tarihsel süreç içerisinde nasıl normatif bir yazı biçimine dönüştüğü açıklanmalıdır.</w:t>
      </w:r>
    </w:p>
    <w:p>
      <w:r>
        <w:rPr>
          <w:b/>
        </w:rPr>
        <w:t xml:space="preserve">Sorun: </w:t>
      </w:r>
      <w:r>
        <w:t>119 kavramın önemini, 120 iki eksende nasıl ele alınacağını, 121 ise aynı iki eksenin neden gerektiğini anlatıyor. Asıl kavram çözümlemesi 122’de başlıyor.</w:t>
      </w:r>
    </w:p>
    <w:p>
      <w:r>
        <w:rPr>
          <w:b/>
        </w:rPr>
        <w:t xml:space="preserve">En uygun editoryal işlem: </w:t>
      </w:r>
      <w:r>
        <w:t>119–121’i tek kısa girişte birleştir.</w:t>
      </w:r>
    </w:p>
    <w:p>
      <w:r>
        <w:rPr>
          <w:b/>
        </w:rPr>
        <w:t>Doğrudan kullanılabilecek biçim</w:t>
      </w:r>
    </w:p>
    <w:p>
      <w:pPr>
        <w:pStyle w:val="QuoteBlock"/>
      </w:pPr>
      <w:r>
        <w:t>Resm-i Osmânî’nin kavramsal çerçevesi, kelimenin dilsel anlamı ile mushaf yazı geleneğinde kazandığı teknik anlam birlikte ele alınarak belirlenebilir. Bu ayrım, tarihsel oluşum ile sonraki normatif kullanımın birbirine karıştırılmaması bakımından önemlidir.</w:t>
      </w:r>
    </w:p>
    <w:p>
      <w:r>
        <w:rPr>
          <w:b/>
        </w:rPr>
        <w:t xml:space="preserve">Önceki kapsamlı raporla karşılaştırma: </w:t>
      </w:r>
      <w:r>
        <w:t>Yeni.</w:t>
      </w:r>
    </w:p>
    <w:p>
      <w:pPr>
        <w:pStyle w:val="Heading3"/>
        <w:keepNext/>
      </w:pPr>
      <w:r>
        <w:t>B1-AK-12. 1.6.2 lügat açıklamasını yeniden başlatarak 1.6.1’i tekrar ediyor</w:t>
      </w:r>
    </w:p>
    <w:p>
      <w:r>
        <w:rPr>
          <w:b/>
        </w:rPr>
        <w:t xml:space="preserve">Kategori: </w:t>
      </w:r>
      <w:r>
        <w:t>Alt başlık geçişi / Tekrar</w:t>
      </w:r>
    </w:p>
    <w:p>
      <w:r>
        <w:rPr>
          <w:b/>
        </w:rPr>
        <w:t xml:space="preserve">Önem: </w:t>
      </w:r>
      <w:r>
        <w:t>Orta</w:t>
      </w:r>
    </w:p>
    <w:p>
      <w:r>
        <w:rPr>
          <w:b/>
        </w:rPr>
        <w:t xml:space="preserve">Yer: </w:t>
      </w:r>
      <w:r>
        <w:t>1.6.1 → 1.6.2</w:t>
      </w:r>
    </w:p>
    <w:p>
      <w:r>
        <w:rPr>
          <w:b/>
        </w:rPr>
        <w:t>Kitaptaki ifade</w:t>
      </w:r>
    </w:p>
    <w:p>
      <w:pPr>
        <w:pStyle w:val="QuoteBlock"/>
      </w:pPr>
      <w:r>
        <w:t>Daha önce de ifade edildiği üzere “resm” kelimesi lügavî olarak “iz” “kalıntı” ve “belirginleşmiş” işaret kavramları etrafında şekillenmiştir. Bu anlam alanı, yazının mahiyetine dair güçlü bir anlatım sunar. Yazı, sözün geride bıraktığı kalıcı izdir. Ancak dilsel bir kökenden teknik bir terime geçiş, mecazi bir genişlemeden ziyade belirli bir ilmin ihtiyacının sonucudur. Nitekim Kur’an ilimlerinin teşekkülü sürecinde “resm” kavramı genel anlam alanından sıyrılarak özel bir yazım disiplinini ifade eden teknik bir terime dönüşmüştür.</w:t>
      </w:r>
    </w:p>
    <w:p>
      <w:r>
        <w:rPr>
          <w:b/>
        </w:rPr>
        <w:t xml:space="preserve">Sorun: </w:t>
      </w:r>
      <w:r>
        <w:t>Istılâhî çerçeveye geçilmesi gerekirken ilk paragraf yeniden “resm = iz/işaret/yazı” lügat çerçevesini anlatıyor. Alt başlıklar arasındaki işlev ayrımı zayıflıyor.</w:t>
      </w:r>
    </w:p>
    <w:p>
      <w:r>
        <w:rPr>
          <w:b/>
        </w:rPr>
        <w:t xml:space="preserve">En uygun editoryal işlem: </w:t>
      </w:r>
      <w:r>
        <w:t>1.6.2’yi doğrudan teknik kullanımdan başlat.</w:t>
      </w:r>
    </w:p>
    <w:p>
      <w:r>
        <w:rPr>
          <w:b/>
        </w:rPr>
        <w:t>Doğrudan kullanılabilecek biçim</w:t>
      </w:r>
    </w:p>
    <w:p>
      <w:pPr>
        <w:pStyle w:val="QuoteBlock"/>
      </w:pPr>
      <w:r>
        <w:t>Lügavî anlamın yazı ve temsil ekseninde belirginleşmesinden sonra, resm kavramı mushaf literatüründe Kur’an kelimelerinin yazılış özelliklerini ifade eden teknik bir kullanıma kavuşmuştur.</w:t>
      </w:r>
    </w:p>
    <w:p>
      <w:r>
        <w:rPr>
          <w:b/>
        </w:rPr>
        <w:t xml:space="preserve">Önceki kapsamlı raporla karşılaştırma: </w:t>
      </w:r>
      <w:r>
        <w:t>Yeni.</w:t>
      </w:r>
    </w:p>
    <w:p>
      <w:pPr>
        <w:pStyle w:val="Heading3"/>
        <w:keepNext/>
      </w:pPr>
      <w:r>
        <w:t>B1-AK-13. 1.6.2 “Sonuç olarak” paragrafıyla tanımı yeniden özetliyor</w:t>
      </w:r>
    </w:p>
    <w:p>
      <w:r>
        <w:rPr>
          <w:b/>
        </w:rPr>
        <w:t xml:space="preserve">Kategori: </w:t>
      </w:r>
      <w:r>
        <w:t>Gereksiz ara sonuç</w:t>
      </w:r>
    </w:p>
    <w:p>
      <w:r>
        <w:rPr>
          <w:b/>
        </w:rPr>
        <w:t xml:space="preserve">Önem: </w:t>
      </w:r>
      <w:r>
        <w:t>Düşük</w:t>
      </w:r>
    </w:p>
    <w:p>
      <w:r>
        <w:rPr>
          <w:b/>
        </w:rPr>
        <w:t xml:space="preserve">Yer: </w:t>
      </w:r>
      <w:r>
        <w:t>1.6.2 sonu, 133. paragraf</w:t>
      </w:r>
    </w:p>
    <w:p>
      <w:r>
        <w:rPr>
          <w:b/>
        </w:rPr>
        <w:t>Kitaptaki ifade</w:t>
      </w:r>
    </w:p>
    <w:p>
      <w:pPr>
        <w:pStyle w:val="QuoteBlock"/>
      </w:pPr>
      <w:r>
        <w:t>Sonuç olarak Cürcânî ve Kastallânî’nin tanımları, resmin ıstılâhî çerçevesini iki temel prensip üzerine oturtur ve bunları, temsil ve uygunluk olarak belirler. Bu iki prensip resm-i Osmânî’nin anlaşılmasında daha belirleyici olacaktır. Çünkü resm-i Osmânî de lafzın harf düzeniyle sabitlenmesini ve yazının lafzı koruyacak biçimde şekillenmesini ifade eder. Böylece yazı, sadece sözün kaydı değil, onun korunmuş ve düzenlenmiş hâli olarak ortaya çıkar.</w:t>
      </w:r>
    </w:p>
    <w:p>
      <w:r>
        <w:rPr>
          <w:b/>
        </w:rPr>
        <w:t xml:space="preserve">Sorun: </w:t>
      </w:r>
      <w:r>
        <w:t>Cürcânî ve Kastallânî’nin tanımları önceki paragraflarda zaten açıklanmıştır. 133 aynı iki ilkeyi yeniden söyleyip 1.7’ye geçmeden bir mini-sonuç oluşturuyor.</w:t>
      </w:r>
    </w:p>
    <w:p>
      <w:r>
        <w:rPr>
          <w:b/>
        </w:rPr>
        <w:t xml:space="preserve">En uygun editoryal işlem: </w:t>
      </w:r>
      <w:r>
        <w:t>Tek cümlelik kavramsal köprüye dönüştür.</w:t>
      </w:r>
    </w:p>
    <w:p>
      <w:r>
        <w:rPr>
          <w:b/>
        </w:rPr>
        <w:t>Doğrudan kullanılabilecek biçim</w:t>
      </w:r>
    </w:p>
    <w:p>
      <w:pPr>
        <w:pStyle w:val="QuoteBlock"/>
      </w:pPr>
      <w:r>
        <w:t>Cürcânî ve Kastallânî’nin tanımları, resmin ıstılâhî çerçevesinde temsil ve uygunluk ilkelerini öne çıkarmaktadır. Bu iki ilke, resm-i Osmânî’nin tanımı ve mahiyetini ele alan sonraki tartışma için kavramsal zemin sağlar.</w:t>
      </w:r>
    </w:p>
    <w:p>
      <w:r>
        <w:rPr>
          <w:b/>
        </w:rPr>
        <w:t xml:space="preserve">Önceki kapsamlı raporla karşılaştırma: </w:t>
      </w:r>
      <w:r>
        <w:t>Yeni.</w:t>
      </w:r>
    </w:p>
    <w:p>
      <w:pPr>
        <w:pStyle w:val="Heading3"/>
        <w:keepNext/>
      </w:pPr>
      <w:r>
        <w:t>B1-AK-14. 1.7’de üç ayrı ara sonuç aynı alt başlığı tekrar tekrar kapatıyor</w:t>
      </w:r>
    </w:p>
    <w:p>
      <w:r>
        <w:rPr>
          <w:b/>
        </w:rPr>
        <w:t xml:space="preserve">Kategori: </w:t>
      </w:r>
      <w:r>
        <w:t>Gereksiz ara sonuç / Formülaik anlatım</w:t>
      </w:r>
    </w:p>
    <w:p>
      <w:r>
        <w:rPr>
          <w:b/>
        </w:rPr>
        <w:t xml:space="preserve">Önem: </w:t>
      </w:r>
      <w:r>
        <w:t>Orta</w:t>
      </w:r>
    </w:p>
    <w:p>
      <w:r>
        <w:rPr>
          <w:b/>
        </w:rPr>
        <w:t xml:space="preserve">Yer: </w:t>
      </w:r>
      <w:r>
        <w:t>1.7; 140, 145 ve 151. paragraflar</w:t>
      </w:r>
    </w:p>
    <w:p>
      <w:r>
        <w:rPr>
          <w:b/>
        </w:rPr>
        <w:t>Kitaptaki ifade</w:t>
      </w:r>
    </w:p>
    <w:p>
      <w:pPr>
        <w:pStyle w:val="QuoteBlock"/>
      </w:pPr>
      <w:r>
        <w:t>Sonuç olarak es-Sicistânî, resm-i Osmânî’yi açık bir terim tanımıyla net bir biçimde ifade etmese de, Osman mushaflarının yazımını sahâbe nakline dayanan bağlayıcı bir metin geleneği olarak sunmuştur.</w:t>
      </w:r>
    </w:p>
    <w:p>
      <w:r>
        <w:rPr>
          <w:b/>
        </w:rPr>
        <w:t xml:space="preserve">Sorun: </w:t>
      </w:r>
      <w:r>
        <w:t>140 es-Sicistânî’yi, 145 erken/klasik yaklaşımı, 151 çağdaş araştırmacıları “Sonuç olarak” diye kapatıyor. Alt başlık üç küçük sonuç blokuna bölünüyor.</w:t>
      </w:r>
    </w:p>
    <w:p>
      <w:r>
        <w:rPr>
          <w:b/>
        </w:rPr>
        <w:t xml:space="preserve">En uygun editoryal işlem: </w:t>
      </w:r>
      <w:r>
        <w:t>140 ve 145’i geçiş cümlesine çevir; yalnız 151’de kısa bir genel sentez bırak.</w:t>
      </w:r>
    </w:p>
    <w:p>
      <w:r>
        <w:rPr>
          <w:b/>
        </w:rPr>
        <w:t>Doğrudan kullanılabilecek biçim</w:t>
      </w:r>
    </w:p>
    <w:p>
      <w:pPr>
        <w:pStyle w:val="QuoteBlock"/>
      </w:pPr>
      <w:r>
        <w:t>Es-Sicistânî’nin aktardığı mushaf rivâyetleri, açık bir terim tanımı vermese de Osman mushaflarının yazımını nakledilen bir metin geleneği içinde ele alır. Bu çizginin sonraki resm literatüründe nasıl kavramsallaştırıldığı aşağıdaki değerlendirmelerde daha belirgin hâle gelmektedir.</w:t>
      </w:r>
    </w:p>
    <w:p>
      <w:r>
        <w:rPr>
          <w:b/>
        </w:rPr>
        <w:t xml:space="preserve">Önceki kapsamlı raporla karşılaştırma: </w:t>
      </w:r>
      <w:r>
        <w:t>Yeni.</w:t>
      </w:r>
    </w:p>
    <w:p>
      <w:pPr>
        <w:pStyle w:val="Heading3"/>
        <w:keepNext/>
      </w:pPr>
      <w:r>
        <w:t>B1-AK-15. 1.8’de tartışma ilerledikten sonra temel soru yeniden kuruluyor</w:t>
      </w:r>
    </w:p>
    <w:p>
      <w:r>
        <w:rPr>
          <w:b/>
        </w:rPr>
        <w:t xml:space="preserve">Kategori: </w:t>
      </w:r>
      <w:r>
        <w:t>Yapısal / Geri dönüş</w:t>
      </w:r>
    </w:p>
    <w:p>
      <w:r>
        <w:rPr>
          <w:b/>
        </w:rPr>
        <w:t xml:space="preserve">Önem: </w:t>
      </w:r>
      <w:r>
        <w:t>Yüksek</w:t>
      </w:r>
    </w:p>
    <w:p>
      <w:r>
        <w:rPr>
          <w:b/>
        </w:rPr>
        <w:t xml:space="preserve">Yer: </w:t>
      </w:r>
      <w:r>
        <w:t>1.8, s.31–34; 153–171</w:t>
      </w:r>
    </w:p>
    <w:p>
      <w:r>
        <w:rPr>
          <w:b/>
        </w:rPr>
        <w:t>Kitaptaki ifade</w:t>
      </w:r>
    </w:p>
    <w:p>
      <w:pPr>
        <w:pStyle w:val="QuoteBlock"/>
      </w:pPr>
      <w:r>
        <w:t>Öte yandan bu, resm-i Osmânî tartışmasının klasik literatürdeki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w:t>
      </w:r>
    </w:p>
    <w:p>
      <w:r>
        <w:rPr>
          <w:b/>
        </w:rPr>
        <w:t xml:space="preserve">Sorun: </w:t>
      </w:r>
      <w:r>
        <w:t>153–157 iki yaklaşımı açıp Bâkıllânî’ye kadar ilerledikten sonra 158 yeniden “mesele iki soruda düğümlenir” diyerek tartışmayı başa sarıyor; 159–163 tevkîfî görüşün delillerini ikinci kez kuruyor.</w:t>
      </w:r>
    </w:p>
    <w:p>
      <w:r>
        <w:rPr>
          <w:b/>
        </w:rPr>
        <w:t xml:space="preserve">En uygun editoryal işlem: </w:t>
      </w:r>
      <w:r>
        <w:t>Soruları 153’e taşı; 154–156 tevkîfî deliller, 157 ve devamı karşı görüş/eleştiri, 171 tek sentez sırasını koru.</w:t>
      </w:r>
    </w:p>
    <w:p>
      <w:r>
        <w:rPr>
          <w:b/>
        </w:rPr>
        <w:t>Doğrudan kullanılabilecek biçim</w:t>
      </w:r>
    </w:p>
    <w:p>
      <w:pPr>
        <w:pStyle w:val="QuoteBlock"/>
      </w:pPr>
      <w:r>
        <w:t>Resm-i Osmânî’nin tevkîfîliği tartışması iki soruda yoğunlaşmaktadır: belirli yazım biçiminin Hz. Peygamber’den bağlayıcı bir talimatla sabit olup olmadığı ve sonraki mushaf yazımında bu biçime bağlılığın hangi gerekçelerle savunulduğu. Bu iki soru çerçevesinde önce tevkîfîlik lehindeki rivâyetler, ardından bunlara yöneltilen itirazlar ele alınabilir.</w:t>
      </w:r>
    </w:p>
    <w:p>
      <w:r>
        <w:rPr>
          <w:b/>
        </w:rPr>
        <w:t xml:space="preserve">Önceki kapsamlı raporla karşılaştırma: </w:t>
      </w:r>
      <w:r>
        <w:t>Kısmen yeni: önceki rapor bu bölümün bilimsel/kaynak sorunlarını ayrıntılı ele aldı; iç sıralamadaki geri dönüş ayrıca raporlanmamıştı.</w:t>
      </w:r>
    </w:p>
    <w:p>
      <w:pPr>
        <w:pStyle w:val="Heading3"/>
        <w:keepNext/>
      </w:pPr>
      <w:r>
        <w:t>B1-AK-16. 1.9 genel giriş bölümü ayrıntılar başlamadan kesin sonuç üretiyor</w:t>
      </w:r>
    </w:p>
    <w:p>
      <w:r>
        <w:rPr>
          <w:b/>
        </w:rPr>
        <w:t xml:space="preserve">Kategori: </w:t>
      </w:r>
      <w:r>
        <w:t>Gereksiz ara sonuç / Geçiş</w:t>
      </w:r>
    </w:p>
    <w:p>
      <w:r>
        <w:rPr>
          <w:b/>
        </w:rPr>
        <w:t xml:space="preserve">Önem: </w:t>
      </w:r>
      <w:r>
        <w:t>Orta</w:t>
      </w:r>
    </w:p>
    <w:p>
      <w:r>
        <w:rPr>
          <w:b/>
        </w:rPr>
        <w:t xml:space="preserve">Yer: </w:t>
      </w:r>
      <w:r>
        <w:t>1.9, 173–176</w:t>
      </w:r>
    </w:p>
    <w:p>
      <w:r>
        <w:rPr>
          <w:b/>
        </w:rPr>
        <w:t>Kitaptaki ifade</w:t>
      </w:r>
    </w:p>
    <w:p>
      <w:pPr>
        <w:pStyle w:val="QuoteBlock"/>
      </w:pPr>
      <w:r>
        <w:t>Sonuç olarak resm-i Osmânî’nin kıyasî yazımdan ayrılışı, düzensiz bir imlâ sapması değil, erken dönem İslâm toplumunun Kur’an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Kur’an metin tarihini sağlıklı yorumlayabilmenin temel şartlarından biri olarak görülmüştür.</w:t>
      </w:r>
    </w:p>
    <w:p>
      <w:r>
        <w:rPr>
          <w:b/>
        </w:rPr>
        <w:t xml:space="preserve">Sorun: </w:t>
      </w:r>
      <w:r>
        <w:t>1.9 henüz resm kurallarını tanıtmadan “erken İslâm toplumunun Kur’an metnini hem yazı hem kırâat düzeyinde koruma çabasının ürünüdür” şeklinde kapsamlı sonuç veriyor; 1.9.1’de ayrıntılar daha sonra geliyor.</w:t>
      </w:r>
    </w:p>
    <w:p>
      <w:r>
        <w:rPr>
          <w:b/>
        </w:rPr>
        <w:t xml:space="preserve">En uygun editoryal işlem: </w:t>
      </w:r>
      <w:r>
        <w:t>176’yı sonuç olmaktan çıkarıp kuralların incelemesine geçiş cümlesine dönüştür.</w:t>
      </w:r>
    </w:p>
    <w:p>
      <w:r>
        <w:rPr>
          <w:b/>
        </w:rPr>
        <w:t>Doğrudan kullanılabilecek biçim</w:t>
      </w:r>
    </w:p>
    <w:p>
      <w:pPr>
        <w:pStyle w:val="QuoteBlock"/>
      </w:pPr>
      <w:r>
        <w:t>Bu genel çerçevenin hangi yazım özellikleri üzerinden ortaya çıktığını görebilmek için resm kaynaklarında sıralanan imlâ kurallarını ayrı ayrı incelemek gerekir.</w:t>
      </w:r>
    </w:p>
    <w:p>
      <w:r>
        <w:rPr>
          <w:b/>
        </w:rPr>
        <w:t xml:space="preserve">Önceki kapsamlı raporla karşılaştırma: </w:t>
      </w:r>
      <w:r>
        <w:t>Yeni.</w:t>
      </w:r>
    </w:p>
    <w:p>
      <w:pPr>
        <w:pStyle w:val="Heading3"/>
        <w:keepNext/>
      </w:pPr>
      <w:r>
        <w:t>B1-AK-17. Hazf alt başlığında örnek dizisi “Sonuç olarak”la gereksiz ikinci kez özetleniyor</w:t>
      </w:r>
    </w:p>
    <w:p>
      <w:r>
        <w:rPr>
          <w:b/>
        </w:rPr>
        <w:t xml:space="preserve">Kategori: </w:t>
      </w:r>
      <w:r>
        <w:t>Gereksiz ara sonuç</w:t>
      </w:r>
    </w:p>
    <w:p>
      <w:r>
        <w:rPr>
          <w:b/>
        </w:rPr>
        <w:t xml:space="preserve">Önem: </w:t>
      </w:r>
      <w:r>
        <w:t>Düşük</w:t>
      </w:r>
    </w:p>
    <w:p>
      <w:r>
        <w:rPr>
          <w:b/>
        </w:rPr>
        <w:t xml:space="preserve">Yer: </w:t>
      </w:r>
      <w:r>
        <w:t>1.9.1, hazf, 185. paragraf</w:t>
      </w:r>
    </w:p>
    <w:p>
      <w:r>
        <w:rPr>
          <w:b/>
        </w:rPr>
        <w:t>Kitaptaki ifade</w:t>
      </w:r>
    </w:p>
    <w:p>
      <w:pPr>
        <w:pStyle w:val="QuoteBlock"/>
      </w:pPr>
      <w:r>
        <w:t>Med harflerinin hazfi: Özellikle “elif” olmak üzere med harflerinin yazılmaması çok yaygındır. Örnek olarak; mushaf yazımında السموت kelimesi elifsiz yazılırken normal okuyuşta السَّمَاوَات şeklinde okunmuştur. Zira bu tür örneklerin bütün resm kaynaklarında sıkça tekrar ettiği görülür. Sonuç olarak hazf, resm-i Osmânî’nin en yaygın, işlevsel ve kırâatlerle yakından ilişkili kuralıdır. Hazf, doğrudan kırâat amacı taşımasa da, özellikle bazı örneklerde Osmânî yazımın tek metinde çoklu okuyuşu koruma kabiliyeti açık biçimde görülür.</w:t>
      </w:r>
    </w:p>
    <w:p>
      <w:r>
        <w:rPr>
          <w:b/>
        </w:rPr>
        <w:t xml:space="preserve">Sorun: </w:t>
      </w:r>
      <w:r>
        <w:t>Hazfin türleri 182–185 arasında zaten sınıflandırılmıştır. Son iki cümle “en yaygın, işlevsel, kırâatlerle yakından ilişkili” diye yeniden genelleme yapıyor ve kanıt düzeyini de genişletiyor.</w:t>
      </w:r>
    </w:p>
    <w:p>
      <w:r>
        <w:rPr>
          <w:b/>
        </w:rPr>
        <w:t xml:space="preserve">En uygun editoryal işlem: </w:t>
      </w:r>
      <w:r>
        <w:t>Kısa, örnek-bağımlı bir kapanış bırak.</w:t>
      </w:r>
    </w:p>
    <w:p>
      <w:r>
        <w:rPr>
          <w:b/>
        </w:rPr>
        <w:t>Doğrudan kullanılabilecek biçim</w:t>
      </w:r>
    </w:p>
    <w:p>
      <w:pPr>
        <w:pStyle w:val="QuoteBlock"/>
      </w:pPr>
      <w:r>
        <w:t>Hazf, resm-i Osmânî’de yaygın görülen bir yazım özelliğidir; kırâatle ilişkisi ise örneğe göre değişmektedir. Bazı kullanımlar kırâat ihtimalleriyle ilişkilendirilebilirken bazıları erken yazım geleneği içinde açıklanmaktadır.</w:t>
      </w:r>
    </w:p>
    <w:p>
      <w:r>
        <w:rPr>
          <w:b/>
        </w:rPr>
        <w:t xml:space="preserve">Önceki kapsamlı raporla karşılaştırma: </w:t>
      </w:r>
      <w:r>
        <w:t>Yeni.</w:t>
      </w:r>
    </w:p>
    <w:p>
      <w:pPr>
        <w:pStyle w:val="Heading3"/>
        <w:keepNext/>
      </w:pPr>
      <w:r>
        <w:t>B1-AK-18. 1.9.2’nin sonundaki üç paragraf aynı sentezi farklı kelimelerle tekrarlıyor</w:t>
      </w:r>
    </w:p>
    <w:p>
      <w:r>
        <w:rPr>
          <w:b/>
        </w:rPr>
        <w:t xml:space="preserve">Kategori: </w:t>
      </w:r>
      <w:r>
        <w:t>Tekrar / Formülaik anlatım</w:t>
      </w:r>
    </w:p>
    <w:p>
      <w:r>
        <w:rPr>
          <w:b/>
        </w:rPr>
        <w:t xml:space="preserve">Önem: </w:t>
      </w:r>
      <w:r>
        <w:t>Yüksek</w:t>
      </w:r>
    </w:p>
    <w:p>
      <w:r>
        <w:rPr>
          <w:b/>
        </w:rPr>
        <w:t xml:space="preserve">Yer: </w:t>
      </w:r>
      <w:r>
        <w:t>1.9.2, 199–201</w:t>
      </w:r>
    </w:p>
    <w:p>
      <w:r>
        <w:rPr>
          <w:b/>
        </w:rPr>
        <w:t>Kitaptaki ifade</w:t>
      </w:r>
    </w:p>
    <w:p>
      <w:pPr>
        <w:pStyle w:val="QuoteBlock"/>
      </w:pPr>
      <w:r>
        <w:t>Resm-i Osmânî’nin yazım kuralları mushaf yazımının rastgele değil belirli bir gelenek çerçevesinde şekillendiğini göstermektedir. Genel olarak bir bütünlük içinde değerlendirildiğinde resm-i Osmânî yalnızca bir yazım biçimi değil, kırâat geleneği ile yazılı mushaf arasında denge kuran tarihî bir yazı sistemidir. Yukarıda zikredilen kuralların tamamı Kur’an metninin aktarım sıhhatini ve belli ölçüde okuyuş farklılıklarını muhafaza eden, birden fazla yönü olan bir yapı ortaya koymaktadır.</w:t>
      </w:r>
    </w:p>
    <w:p>
      <w:r>
        <w:rPr>
          <w:b/>
        </w:rPr>
        <w:t xml:space="preserve">Sorun: </w:t>
      </w:r>
      <w:r>
        <w:t>199 “denge kuran tarihî sistem”, 200 “önemli sonuçlar”, 201 “yalnız imlâ standardı değil kırâati muhafaza eden sistem” diyerek aynı hükmü üç kez kuruyor.</w:t>
      </w:r>
    </w:p>
    <w:p>
      <w:r>
        <w:rPr>
          <w:b/>
        </w:rPr>
        <w:t xml:space="preserve">En uygun editoryal işlem: </w:t>
      </w:r>
      <w:r>
        <w:t>199–201’i tek, ihtiyatlı sentez paragrafında birleştir.</w:t>
      </w:r>
    </w:p>
    <w:p>
      <w:r>
        <w:rPr>
          <w:b/>
        </w:rPr>
        <w:t>Doğrudan kullanılabilecek biçim</w:t>
      </w:r>
    </w:p>
    <w:p>
      <w:pPr>
        <w:pStyle w:val="QuoteBlock"/>
      </w:pPr>
      <w:r>
        <w:t>Bu örnekler, resm-i Osmânî’nin bazı yerlerde birden fazla sahih okuyuşla bağdaşabildiğini göstermektedir. Bununla birlikte bu imkânın bütün resm kurallarının aynı amaçla oluşturulduğu şeklinde genelleştirilmemesi; erken yazı özellikleri ile kırâat ihtimallerinin örnek bazında ayrılması gerekir.</w:t>
      </w:r>
    </w:p>
    <w:p>
      <w:r>
        <w:rPr>
          <w:b/>
        </w:rPr>
        <w:t xml:space="preserve">Önceki kapsamlı raporla karşılaştırma: </w:t>
      </w:r>
      <w:r>
        <w:t>Yeni; önceki rapor bu kısımda nedensellik sorunlarını ele aldı, üçlü kapanış örüntüsünü ayrıca göstermedi.</w:t>
      </w:r>
    </w:p>
    <w:p>
      <w:pPr>
        <w:pStyle w:val="Heading3"/>
        <w:keepNext/>
      </w:pPr>
      <w:r>
        <w:t>B1-AK-19. 1.10 kabul ölçülerini kronolojik ilerleme yerine döngüsel biçimde anlatıyor</w:t>
      </w:r>
    </w:p>
    <w:p>
      <w:r>
        <w:rPr>
          <w:b/>
        </w:rPr>
        <w:t xml:space="preserve">Kategori: </w:t>
      </w:r>
      <w:r>
        <w:t>Yapısal / Tekrar</w:t>
      </w:r>
    </w:p>
    <w:p>
      <w:r>
        <w:rPr>
          <w:b/>
        </w:rPr>
        <w:t xml:space="preserve">Önem: </w:t>
      </w:r>
      <w:r>
        <w:t>Yüksek</w:t>
      </w:r>
    </w:p>
    <w:p>
      <w:r>
        <w:rPr>
          <w:b/>
        </w:rPr>
        <w:t xml:space="preserve">Yer: </w:t>
      </w:r>
      <w:r>
        <w:t>1.10, s.40–44; 205–218</w:t>
      </w:r>
    </w:p>
    <w:p>
      <w:r>
        <w:rPr>
          <w:b/>
        </w:rPr>
        <w:t>Kitaptaki ifade</w:t>
      </w:r>
    </w:p>
    <w:p>
      <w:pPr>
        <w:pStyle w:val="QuoteBlock"/>
      </w:pPr>
      <w:r>
        <w:t>Âlimlerin eserlerinde erken dönem sahih kırâatleri belirleme unsuru, üç temel hassasiyetle öne çıkmıştır. Bunlar; (i) Rivâyetin güvenilir olması, (ii) Okuyuşun Arap diline uygun olması ve (iii) Resm-i Osmânî’ye açık aykırılık taşımamasıdır. Erken dönemde bu üç unsur henüz açık ve sistemli bir ölçü çerçevesi hâline getirilmemiştir, fakat pratikte bu şartlar kırâat değerlendirmesinin ana çerçevesini oluşturmuştur. Diğer bir ifadeyle erken dönem âlimleri kırâatleri değerlendirirken geniş yönlü bir denge gözetmişlerdir. Ebû Ubeyde Kâsım b. Sellâm (ö.…</w:t>
      </w:r>
    </w:p>
    <w:p>
      <w:r>
        <w:rPr>
          <w:b/>
        </w:rPr>
        <w:t xml:space="preserve">Sorun: </w:t>
      </w:r>
      <w:r>
        <w:t>205 üç ölçüyü tanıtır; 207 bunları ayrıntılandırır; 209–213 İbn Mücâhid’de aynı üçlü yapıyı yeniden kurar; 215 İbnü’l-Cezerî’yi tekrar üç ölçüyle anlatır; 216 bunu yeniden özetler; 217 sonraki kabulü bir kez daha aynı formülle açıklar; 218 sonuç paragrafıdır.</w:t>
      </w:r>
    </w:p>
    <w:p>
      <w:r>
        <w:rPr>
          <w:b/>
        </w:rPr>
        <w:t xml:space="preserve">En uygun editoryal işlem: </w:t>
      </w:r>
      <w:r>
        <w:t>Tek kronoloji kur: erken pratik → İbn Mücâhid → İbnü’l-Cezerî’nin sistemleştirmesi → sonraki kabul. 205/207, 215/216 ve 217/218 tekrarlarını birleştir.</w:t>
      </w:r>
    </w:p>
    <w:p>
      <w:r>
        <w:rPr>
          <w:b/>
        </w:rPr>
        <w:t>Doğrudan kullanılabilecek biçim</w:t>
      </w:r>
    </w:p>
    <w:p>
      <w:pPr>
        <w:pStyle w:val="QuoteBlock"/>
      </w:pPr>
      <w:r>
        <w:t>Erken dönemde rivâyetin güvenilirliği, Arap diline uygunluk ve mushaf hattına açık aykırılık taşımama ilkeleri uygulama içinde birlikte gözetilmiştir. İbn Mücâhid’in tasnifi bu sınırlandırma sürecinin önemli bir aşamasını oluşturmuş, İbnü’l-Cezerî ise daha önce farklı biçimlerde işletilen ölçüleri açık bir usul çerçevesinde sistemleştirmiştir. Sonraki kırâat literatürü de resm-i Osmânî’ye uygunluğu bu bütünün unsurlarından biri olarak sürdürmüştür.</w:t>
      </w:r>
    </w:p>
    <w:p>
      <w:r>
        <w:rPr>
          <w:b/>
        </w:rPr>
        <w:t xml:space="preserve">Önceki kapsamlı raporla karşılaştırma: </w:t>
      </w:r>
      <w:r>
        <w:t>Kısmen yeni: önceki rapor 1.10’daki kronoloji ve bilimsel sorunları ele aldı; tekrar döngüsü yeni olarak ayrıntılandırılmıştır.</w:t>
      </w:r>
    </w:p>
    <w:p>
      <w:pPr>
        <w:pStyle w:val="Heading1"/>
        <w:keepNext/>
      </w:pPr>
      <w:r>
        <w:t>6. İkinci Bölüm</w:t>
      </w:r>
    </w:p>
    <w:p>
      <w:pPr>
        <w:pStyle w:val="Heading3"/>
        <w:keepNext/>
      </w:pPr>
      <w:r>
        <w:t>B2-AK-01. 2.1’in sonu 2.2’nin konusunu önceden ayrıntılı biçimde tüketiyor</w:t>
      </w:r>
    </w:p>
    <w:p>
      <w:r>
        <w:rPr>
          <w:b/>
        </w:rPr>
        <w:t xml:space="preserve">Kategori: </w:t>
      </w:r>
      <w:r>
        <w:t>Alt başlık sınırı / Tekrar</w:t>
      </w:r>
    </w:p>
    <w:p>
      <w:r>
        <w:rPr>
          <w:b/>
        </w:rPr>
        <w:t xml:space="preserve">Önem: </w:t>
      </w:r>
      <w:r>
        <w:t>Yüksek</w:t>
      </w:r>
    </w:p>
    <w:p>
      <w:r>
        <w:rPr>
          <w:b/>
        </w:rPr>
        <w:t xml:space="preserve">Yer: </w:t>
      </w:r>
      <w:r>
        <w:t>2.1 → 2.2; 230–235</w:t>
      </w:r>
    </w:p>
    <w:p>
      <w:r>
        <w:rPr>
          <w:b/>
        </w:rPr>
        <w:t>Kitaptaki ifade</w:t>
      </w:r>
    </w:p>
    <w:p>
      <w:pPr>
        <w:pStyle w:val="QuoteBlock"/>
      </w:pPr>
      <w:r>
        <w:t>Önceki paragraf: “Kırâat ilminin en belirgin özelliği, onun rivâyet temelli olmasıdır. Yani kırâat, dilcilerin serbest yorum alanına girmez. Bir okuyuş Arap dili bakımından mümkün görünse bile, güvenilir bir rivâyete dayanmıyorsa kırâat sayılmaz. Bu yüzden klasik âlimler, kırâat ahzının kitaplardan çok ehil bir hocadan yüz yüze (telakki yoluyla)…”</w:t>
        <w:br/>
        <w:t>Sonraki paragraf: “Kırâat ilmini anlamanın en sağlam yollarından biri, onu sadece “farklı okuyuşlar” meselesi olarak değil, rivâyet, sened ve ilmî otorite üzerine kurulmuş bir aktarım düzeni olarak ele almaktır. Çünkü kırâatler, dilde mümkün olan bütün okuma şekillerinin toplamından ibaret değildir; güvenilir yollarla nakledilmiş, ilim…”</w:t>
      </w:r>
    </w:p>
    <w:p>
      <w:r>
        <w:rPr>
          <w:b/>
        </w:rPr>
        <w:t xml:space="preserve">Sorun: </w:t>
      </w:r>
      <w:r>
        <w:t>2.1’in 230. paragrafı rivâyet, telakki, sened ve kabul şartlarını ayrıntılı biçimde açıklıyor. 2.2 ve özellikle 2.2.1 aynı “dilde mümkün olmak yetmez, güvenilir nakil gerekir” fikriyle yeniden başlıyor.</w:t>
      </w:r>
    </w:p>
    <w:p>
      <w:r>
        <w:rPr>
          <w:b/>
        </w:rPr>
        <w:t xml:space="preserve">En uygun editoryal işlem: </w:t>
      </w:r>
      <w:r>
        <w:t>2.1’i tanım ve kısa tarihçeyle kapat; rivâyet/sened/kabul ölçülerini 2.2’ye bırak.</w:t>
      </w:r>
    </w:p>
    <w:p>
      <w:r>
        <w:rPr>
          <w:b/>
        </w:rPr>
        <w:t>Doğrudan kullanılabilecek biçim</w:t>
      </w:r>
    </w:p>
    <w:p>
      <w:pPr>
        <w:pStyle w:val="QuoteBlock"/>
      </w:pPr>
      <w:r>
        <w:t>Kırâatin ayırt edici yönü, okuyuş farklılıklarının nakledenlere nispet edilerek bilinmesidir. Bu rivâyet temelli yapının nasıl işlediği, sened ve ilmî otoriteyle ilişkisi sonraki başlıkta ele alınacaktır.</w:t>
      </w:r>
    </w:p>
    <w:p>
      <w:r>
        <w:rPr>
          <w:b/>
        </w:rPr>
        <w:t xml:space="preserve">Önceki kapsamlı raporla karşılaştırma: </w:t>
      </w:r>
      <w:r>
        <w:t>Yeni/kısmen yeni.</w:t>
      </w:r>
    </w:p>
    <w:p>
      <w:pPr>
        <w:pStyle w:val="Heading3"/>
        <w:keepNext/>
      </w:pPr>
      <w:r>
        <w:t>B2-AK-02. 2.1 “Netice itibarıyla” paragrafıyla başlığın tamamını yeniden özetliyor</w:t>
      </w:r>
    </w:p>
    <w:p>
      <w:r>
        <w:rPr>
          <w:b/>
        </w:rPr>
        <w:t xml:space="preserve">Kategori: </w:t>
      </w:r>
      <w:r>
        <w:t>Gereksiz ara sonuç</w:t>
      </w:r>
    </w:p>
    <w:p>
      <w:r>
        <w:rPr>
          <w:b/>
        </w:rPr>
        <w:t xml:space="preserve">Önem: </w:t>
      </w:r>
      <w:r>
        <w:t>Düşük</w:t>
      </w:r>
    </w:p>
    <w:p>
      <w:r>
        <w:rPr>
          <w:b/>
        </w:rPr>
        <w:t xml:space="preserve">Yer: </w:t>
      </w:r>
      <w:r>
        <w:t>2.1 son paragraf, 231</w:t>
      </w:r>
    </w:p>
    <w:p>
      <w:r>
        <w:rPr>
          <w:b/>
        </w:rPr>
        <w:t>Kitaptaki ifade</w:t>
      </w:r>
    </w:p>
    <w:p>
      <w:pPr>
        <w:pStyle w:val="QuoteBlock"/>
      </w:pPr>
      <w:r>
        <w:t>Netice itibarıyla kırâat kavramı Kur’an lafzının güvenilir yollarla nakledilmiş okuyuş biçimlerini ifade etmektedir. Bu kavramın tarihi, vahiy ve tebliğ sürecine, ortaya çıkışı ise, Kur’an’ın doğru okunmasını koruma, lehçe farklılıklarını dikkate alma ve İslâm coğrafyasında okuyuş birliğini güvence altına alma ihtiyacına dayanmaktadır. Zamanla bağımsız bir ilim hâline gelen kırâat, rivâyet temelli yapısı sayesinde Kur’an’ın sadece yazılı metnini değil, sözlü aktarım geleneğini de koruyan temel disiplinlerden biri olmuştur.</w:t>
      </w:r>
    </w:p>
    <w:p>
      <w:r>
        <w:rPr>
          <w:b/>
        </w:rPr>
        <w:t xml:space="preserve">Sorun: </w:t>
      </w:r>
      <w:r>
        <w:t>Paragraf tanım, tarih, ortaya çıkış nedenleri ve sözlü aktarımın korunması gibi önceki bütün unsurları yeniden sayıyor. Yeni bir analitik çıkarım eklemiyor.</w:t>
      </w:r>
    </w:p>
    <w:p>
      <w:r>
        <w:rPr>
          <w:b/>
        </w:rPr>
        <w:t xml:space="preserve">En uygun editoryal işlem: </w:t>
      </w:r>
      <w:r>
        <w:t>Paragrafı geçiş cümlesine indir.</w:t>
      </w:r>
    </w:p>
    <w:p>
      <w:r>
        <w:rPr>
          <w:b/>
        </w:rPr>
        <w:t>Doğrudan kullanılabilecek biçim</w:t>
      </w:r>
    </w:p>
    <w:p>
      <w:pPr>
        <w:pStyle w:val="QuoteBlock"/>
      </w:pPr>
      <w:r>
        <w:t>Bu tarihsel ve kavramsal çerçeve, kırâatin rivâyet, sened ve ilmî otorite üzerine kurulu aktarım düzenini ayrıca incelemeyi gerekli kılmaktadır.</w:t>
      </w:r>
    </w:p>
    <w:p>
      <w:r>
        <w:rPr>
          <w:b/>
        </w:rPr>
        <w:t xml:space="preserve">Önceki kapsamlı raporla karşılaştırma: </w:t>
      </w:r>
      <w:r>
        <w:t>Yeni.</w:t>
      </w:r>
    </w:p>
    <w:p>
      <w:pPr>
        <w:pStyle w:val="Heading3"/>
        <w:keepNext/>
      </w:pPr>
      <w:r>
        <w:t>B2-AK-03. Rivâyet, sened ve otorite alt başlıkları aynı negatif tanım kalıbıyla açılıyor</w:t>
      </w:r>
    </w:p>
    <w:p>
      <w:r>
        <w:rPr>
          <w:b/>
        </w:rPr>
        <w:t xml:space="preserve">Kategori: </w:t>
      </w:r>
      <w:r>
        <w:t>Formülaik anlatım / Alt başlık ayrımı</w:t>
      </w:r>
    </w:p>
    <w:p>
      <w:r>
        <w:rPr>
          <w:b/>
        </w:rPr>
        <w:t xml:space="preserve">Önem: </w:t>
      </w:r>
      <w:r>
        <w:t>Orta</w:t>
      </w:r>
    </w:p>
    <w:p>
      <w:r>
        <w:rPr>
          <w:b/>
        </w:rPr>
        <w:t xml:space="preserve">Yer: </w:t>
      </w:r>
      <w:r>
        <w:t>2.2.1, 2.2.2 ve 2.2.3 açılışları</w:t>
      </w:r>
    </w:p>
    <w:p>
      <w:r>
        <w:rPr>
          <w:b/>
        </w:rPr>
        <w:t>Kitaptaki ifade</w:t>
      </w:r>
    </w:p>
    <w:p>
      <w:pPr>
        <w:pStyle w:val="QuoteBlock"/>
      </w:pPr>
      <w:r>
        <w:t>Kırâat ilminde “rivâyet” meselesi işin bel kemiğini teşkil eder. Çünkü kırâat yalnızca Kur’an kelimelerinin farklı okunma biçimlerini sıralayan bir alan değildir; asıl olarak bu okuyuş biçimlerinin kimden alındığını, nasıl aktarıldığını ve hangi yollarla güven kazandığını konu edinir. Bu sebeple kırâat ilminde bir okuyuşun değeri, öncelikle onun dil bakımından mümkün görünmesine bağlı olmayıp sağlam bir nakil zinciriyle gelmesine bağlıdır. Başka bir deyişle kırâatlerde temel soru, “Bu kelime nasıl okunur?” değil, “Bu kelimenin okunuşu bize nasıl…</w:t>
      </w:r>
    </w:p>
    <w:p>
      <w:r>
        <w:rPr>
          <w:b/>
        </w:rPr>
        <w:t xml:space="preserve">Sorun: </w:t>
      </w:r>
      <w:r>
        <w:t>Üç başlık da “kırâat sadece farklı okuma değildir; asıl...” biçiminde başlayarak aynı savunmayı tekrar ediyor. Bu, kavramların işlevsel farklarını görünmez kılıyor.</w:t>
      </w:r>
    </w:p>
    <w:p>
      <w:r>
        <w:rPr>
          <w:b/>
        </w:rPr>
        <w:t xml:space="preserve">En uygun editoryal işlem: </w:t>
      </w:r>
      <w:r>
        <w:t>Her alt başlığı kendi işlevinden başlat: rivâyet = nakledilen okuyuş ve aktarım eylemi; sened = aktarım zinciri ve doğrulama; otorite = öğretim/kabul ağı.</w:t>
      </w:r>
    </w:p>
    <w:p>
      <w:r>
        <w:rPr>
          <w:b/>
        </w:rPr>
        <w:t>Doğrudan kullanılabilecek biçim</w:t>
      </w:r>
    </w:p>
    <w:p>
      <w:pPr>
        <w:pStyle w:val="QuoteBlock"/>
      </w:pPr>
      <w:r>
        <w:t>Kırâat ilminde rivâyet, belirli bir okuyuşun kimden alındığını ve hangi edâ biçimiyle aktarıldığını gösteren nakil düzeyidir. Sened ise bu naklin râviler arasındaki zincirini ve sürekliliğini görünür kılar. Otorite meselesi, bu zincirin ilim çevrelerinde nasıl kabul ve öğretim zemini kazandığıyla ilgilidir.</w:t>
      </w:r>
    </w:p>
    <w:p>
      <w:r>
        <w:rPr>
          <w:b/>
        </w:rPr>
        <w:t xml:space="preserve">Önceki kapsamlı raporla karşılaştırma: </w:t>
      </w:r>
      <w:r>
        <w:t>Yeni.</w:t>
      </w:r>
    </w:p>
    <w:p>
      <w:pPr>
        <w:pStyle w:val="Heading3"/>
        <w:keepNext/>
      </w:pPr>
      <w:r>
        <w:t>B2-AK-04. Rivâyet ve sened paragrafları işlev bakımından yer yer birbirinin kopyasına dönüşüyor</w:t>
      </w:r>
    </w:p>
    <w:p>
      <w:r>
        <w:rPr>
          <w:b/>
        </w:rPr>
        <w:t xml:space="preserve">Kategori: </w:t>
      </w:r>
      <w:r>
        <w:t>Kavramsal akış / Tekrar</w:t>
      </w:r>
    </w:p>
    <w:p>
      <w:r>
        <w:rPr>
          <w:b/>
        </w:rPr>
        <w:t xml:space="preserve">Önem: </w:t>
      </w:r>
      <w:r>
        <w:t>Orta</w:t>
      </w:r>
    </w:p>
    <w:p>
      <w:r>
        <w:rPr>
          <w:b/>
        </w:rPr>
        <w:t xml:space="preserve">Yer: </w:t>
      </w:r>
      <w:r>
        <w:t>2.2.1–2.2.2</w:t>
      </w:r>
    </w:p>
    <w:p>
      <w:r>
        <w:rPr>
          <w:b/>
        </w:rPr>
        <w:t>Kitaptaki ifade</w:t>
      </w:r>
    </w:p>
    <w:p>
      <w:pPr>
        <w:pStyle w:val="QuoteBlock"/>
      </w:pPr>
      <w:r>
        <w:t>Önceki paragraf: “Kırâat bağlamında rivâyet, bir okuyuş biçiminin hocadan talebeye, ondan başka bir talebeye geçerek süreklilik kazanması şeklinde de yorumlanmıştır. Burada nakledilen şey sadece kelimenin harfleri değil, aynı zamanda onun ses değeridir. Bu yüzden kırâat ilminde rivâyet, sadece metin aktarımı değil, aynı zamanda okuyuş biçimini…”</w:t>
        <w:br/>
        <w:t>Sonraki paragraf: “Kırâat ilmini ayakta tutan en temel unsurlardan biri seneddir. Çünkü kırâat sadece kelimelerin farklı okunma biçimlerini gösteren bir alan değildir, aynı zamanda bu okuyuşların kimden alındığını, hangi yolla aktarıldığını ve ne kadar güvenilir olduğunu araştıran bir ilimdir. Bu sebeple kırâatlerde sened meselesi, tali bir…”</w:t>
      </w:r>
    </w:p>
    <w:p>
      <w:r>
        <w:rPr>
          <w:b/>
        </w:rPr>
        <w:t xml:space="preserve">Sorun: </w:t>
      </w:r>
      <w:r>
        <w:t>Rivâyet başlığı aktarım zincirini, sened başlığı da okuyuşun hocadan talebeye geçmesini aynı ifadelerle açıklıyor. Kavram sınırı anlatım düzeyinde silikleşiyor.</w:t>
      </w:r>
    </w:p>
    <w:p>
      <w:r>
        <w:rPr>
          <w:b/>
        </w:rPr>
        <w:t xml:space="preserve">En uygun editoryal işlem: </w:t>
      </w:r>
      <w:r>
        <w:t>Rivâyette “neyin nasıl aktarıldığı”, senedde “bu aktarımın kimler üzerinden doğrulandığı” ayrımını koru.</w:t>
      </w:r>
    </w:p>
    <w:p>
      <w:r>
        <w:rPr>
          <w:b/>
        </w:rPr>
        <w:t>Doğrudan kullanılabilecek biçim</w:t>
      </w:r>
    </w:p>
    <w:p>
      <w:pPr>
        <w:pStyle w:val="QuoteBlock"/>
      </w:pPr>
      <w:r>
        <w:t>Rivâyet başlığında edâ özelliklerinin hocadan talebeye aktarılması üzerinde durulmalı; sened başlığında ise bu naklin kişi ve tabaka zinciri üzerinden takip edilmesi açıklanmalıdır. Böylece iki kavram aynı aktarım olgusunun farklı yönleri olarak birbirine karıştırılmadan gösterilebilir.</w:t>
      </w:r>
    </w:p>
    <w:p>
      <w:r>
        <w:rPr>
          <w:b/>
        </w:rPr>
        <w:t xml:space="preserve">Önceki kapsamlı raporla karşılaştırma: </w:t>
      </w:r>
      <w:r>
        <w:t>Yeni.</w:t>
      </w:r>
    </w:p>
    <w:p>
      <w:pPr>
        <w:pStyle w:val="Heading3"/>
        <w:keepNext/>
      </w:pPr>
      <w:r>
        <w:t>B2-AK-05. 2.3 yedi harf malzemesini Birinci Bölümden fazla ölçüde yeniden anlatıyor</w:t>
      </w:r>
    </w:p>
    <w:p>
      <w:r>
        <w:rPr>
          <w:b/>
        </w:rPr>
        <w:t xml:space="preserve">Kategori: </w:t>
      </w:r>
      <w:r>
        <w:t>Bölümler arası tekrar</w:t>
      </w:r>
    </w:p>
    <w:p>
      <w:r>
        <w:rPr>
          <w:b/>
        </w:rPr>
        <w:t xml:space="preserve">Önem: </w:t>
      </w:r>
      <w:r>
        <w:t>Orta</w:t>
      </w:r>
    </w:p>
    <w:p>
      <w:r>
        <w:rPr>
          <w:b/>
        </w:rPr>
        <w:t xml:space="preserve">Yer: </w:t>
      </w:r>
      <w:r>
        <w:t>2.3, özellikle ilk paragraflar</w:t>
      </w:r>
    </w:p>
    <w:p>
      <w:r>
        <w:rPr>
          <w:b/>
        </w:rPr>
        <w:t>Kitaptaki ifade</w:t>
      </w:r>
    </w:p>
    <w:p>
      <w:pPr>
        <w:pStyle w:val="QuoteBlock"/>
      </w:pPr>
      <w:r>
        <w:t>Önce “yedi harf” ifadesinin neyi anlattığını kısaca belirtmemiz gerekmektedir. Hadis kaynaklarında Kur’an’ın “yedi harf” üzere indirildiğini bildiren rivâyetler yer almaktadır. Bu rivâyetler, başta Buhârî ve Müslim olmak üzere temel hadis kitaplarında geçmektedir.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w:t>
      </w:r>
    </w:p>
    <w:p>
      <w:r>
        <w:rPr>
          <w:b/>
        </w:rPr>
        <w:t xml:space="preserve">Sorun: </w:t>
      </w:r>
      <w:r>
        <w:t>Yedi harfin tanımı ve Osmânî istinsahla ilişkisi 1.3–1.4 ve Girişte zaten uzun biçimde kurulmuştur. 2.3’te gerekli olan tarih anlatısını tekrarlamak değil, rivâyet mantığı açısından görüşlerin sonuçlarını ayırmaktır.</w:t>
      </w:r>
    </w:p>
    <w:p>
      <w:r>
        <w:rPr>
          <w:b/>
        </w:rPr>
        <w:t xml:space="preserve">En uygun editoryal işlem: </w:t>
      </w:r>
      <w:r>
        <w:t>Tarihsel arka planı iki-üç cümlelik hatırlatmaya indir; ağırlığı yedi harf–resm ilişkisi hakkındaki görüş ayrılıklarına ver.</w:t>
      </w:r>
    </w:p>
    <w:p>
      <w:r>
        <w:rPr>
          <w:b/>
        </w:rPr>
        <w:t>Doğrudan kullanılabilecek biçim</w:t>
      </w:r>
    </w:p>
    <w:p>
      <w:pPr>
        <w:pStyle w:val="QuoteBlock"/>
      </w:pPr>
      <w:r>
        <w:t>Birinci Bölümde tarihsel bağlamı verilen yedi harf meselesi, burada yalnız kırâatlerin rivâyet mantığı ile Osmânî mushafların ortak yazılı sınırı arasındaki ilişki bakımından ele alınacaktır. Kaynaklardaki farklı açıklamalar, bu ilişkinin tek bir formülle ifade edilmesini güçleştirmektedir.</w:t>
      </w:r>
    </w:p>
    <w:p>
      <w:r>
        <w:rPr>
          <w:b/>
        </w:rPr>
        <w:t xml:space="preserve">Önceki kapsamlı raporla karşılaştırma: </w:t>
      </w:r>
      <w:r>
        <w:t>Yeni.</w:t>
      </w:r>
    </w:p>
    <w:p>
      <w:pPr>
        <w:pStyle w:val="Heading3"/>
        <w:keepNext/>
      </w:pPr>
      <w:r>
        <w:t>B2-AK-06. 2.3’ün “Sonuç olarak” paragrafı uzun özet yerine 2.4’e köprü olmalı</w:t>
      </w:r>
    </w:p>
    <w:p>
      <w:r>
        <w:rPr>
          <w:b/>
        </w:rPr>
        <w:t xml:space="preserve">Kategori: </w:t>
      </w:r>
      <w:r>
        <w:t>Gereksiz özet / Geçiş</w:t>
      </w:r>
    </w:p>
    <w:p>
      <w:r>
        <w:rPr>
          <w:b/>
        </w:rPr>
        <w:t xml:space="preserve">Önem: </w:t>
      </w:r>
      <w:r>
        <w:t>Orta</w:t>
      </w:r>
    </w:p>
    <w:p>
      <w:r>
        <w:rPr>
          <w:b/>
        </w:rPr>
        <w:t xml:space="preserve">Yer: </w:t>
      </w:r>
      <w:r>
        <w:t>2.3 son paragraf, 260</w:t>
      </w:r>
    </w:p>
    <w:p>
      <w:r>
        <w:rPr>
          <w:b/>
        </w:rPr>
        <w:t>Kitaptaki ifade</w:t>
      </w:r>
    </w:p>
    <w:p>
      <w:pPr>
        <w:pStyle w:val="QuoteBlock"/>
      </w:pPr>
      <w:r>
        <w:t>Sonuç olarak Osmânî mushaf ile yedi harf meselesi, Kur’an tarihinin en hassas ve tartışmalı meselelerinden biri olarak değerlendirilmiştir. Kaynaklarda çıkan tabloya göre, Kur’an başlangıçta ümmete kolaylık sağlayan bir genişlik alanı içinde okunmuş, fakat Hz. Osman döneminde bu alan ihtilafa kapı açmayacak şekilde ortak mushaflar etrafında toplanmıştır. Osmânî Mushaf, yedi harfin bütün dağınık ihtimallerini değil, sahih rivâyetle gelen, mushaf yazısının kaldırabildiği ve ümmetin üzerinde birleşebileceği okuyuşları muhafaza etmiştir. Böylece hem metin…</w:t>
      </w:r>
    </w:p>
    <w:p>
      <w:r>
        <w:rPr>
          <w:b/>
        </w:rPr>
        <w:t xml:space="preserve">Sorun: </w:t>
      </w:r>
      <w:r>
        <w:t>Paragraf yedi harf tartışmasını bir kez daha özetliyor. Bir sonraki başlık ortak başvuru metni meselesine geçtiği için kapanışın asıl işlevi bu geçişi hazırlamak olmalıdır.</w:t>
      </w:r>
    </w:p>
    <w:p>
      <w:r>
        <w:rPr>
          <w:b/>
        </w:rPr>
        <w:t xml:space="preserve">En uygun editoryal işlem: </w:t>
      </w:r>
      <w:r>
        <w:t>Özeti kısalt ve 2.4’ün sorusuna bağla.</w:t>
      </w:r>
    </w:p>
    <w:p>
      <w:r>
        <w:rPr>
          <w:b/>
        </w:rPr>
        <w:t>Doğrudan kullanılabilecek biçim</w:t>
      </w:r>
    </w:p>
    <w:p>
      <w:pPr>
        <w:pStyle w:val="QuoteBlock"/>
      </w:pPr>
      <w:r>
        <w:t>Bu farklı görüşler, yedi harf ile Osmânî mushafların ilişkisini tek bir açıklamaya indirgememeyi gerektirir. İzleyen başlıkta, bu tarihsel tartışmadan hareketle Osmânî mushafların kırâat ve tefsirde ortak başvuru metni hâline gelmesinin sonuçları ele alınacaktır.</w:t>
      </w:r>
    </w:p>
    <w:p>
      <w:r>
        <w:rPr>
          <w:b/>
        </w:rPr>
        <w:t xml:space="preserve">Önceki kapsamlı raporla karşılaştırma: </w:t>
      </w:r>
      <w:r>
        <w:t>Yeni.</w:t>
      </w:r>
    </w:p>
    <w:p>
      <w:pPr>
        <w:pStyle w:val="Heading3"/>
        <w:keepNext/>
      </w:pPr>
      <w:r>
        <w:t>B2-AK-07. 2.4 art arda “etki/sonuç” cümleleriyle mekanikleşiyor</w:t>
      </w:r>
    </w:p>
    <w:p>
      <w:r>
        <w:rPr>
          <w:b/>
        </w:rPr>
        <w:t xml:space="preserve">Kategori: </w:t>
      </w:r>
      <w:r>
        <w:t>Formülaik anlatım / Nedensellik</w:t>
      </w:r>
    </w:p>
    <w:p>
      <w:r>
        <w:rPr>
          <w:b/>
        </w:rPr>
        <w:t xml:space="preserve">Önem: </w:t>
      </w:r>
      <w:r>
        <w:t>Orta</w:t>
      </w:r>
    </w:p>
    <w:p>
      <w:r>
        <w:rPr>
          <w:b/>
        </w:rPr>
        <w:t xml:space="preserve">Yer: </w:t>
      </w:r>
      <w:r>
        <w:t>2.4, 262–273</w:t>
      </w:r>
    </w:p>
    <w:p>
      <w:r>
        <w:rPr>
          <w:b/>
        </w:rPr>
        <w:t>Kitaptaki ifade</w:t>
      </w:r>
    </w:p>
    <w:p>
      <w:pPr>
        <w:pStyle w:val="QuoteBlock"/>
      </w:pPr>
      <w:r>
        <w:t>Sonuç olarak resmin standartlaşması tefsîr ilmini sadece teknik olarak etkilememiş, yorumun dayandığı zemini kökten etkilemiştir. Resm-i Osmânî yorumun önüne engel koymamış, yorumun hareket edeceği meşru alanı belirlemiştir. Sahih kırâatleri koruyarak anlam zenginliğine katkıda bulunmuş, mushafa aykırı okuyuşları metnin dışında bırakmıştır. Böylece tefsîr ilmi, hem ortak mushaf metnini esas alan hem de bu metnin taşıdığı sahih kırâat çeşitliliğinden yararlanan dengeli bir disiplin hâline gelmiştir.</w:t>
      </w:r>
    </w:p>
    <w:p>
      <w:r>
        <w:rPr>
          <w:b/>
        </w:rPr>
        <w:t xml:space="preserve">Sorun: </w:t>
      </w:r>
      <w:r>
        <w:t>Paragraflar sık sık “bu durum göstermektedir / böylece / dolayısıyla” ile resmin kırâat ve tefsiri şekillendirdiği sonucuna bağlanıyor. Bu tekrar, yazıya bağımsız fail rolü verme riskini de artırıyor.</w:t>
      </w:r>
    </w:p>
    <w:p>
      <w:r>
        <w:rPr>
          <w:b/>
        </w:rPr>
        <w:t xml:space="preserve">En uygun editoryal işlem: </w:t>
      </w:r>
      <w:r>
        <w:t>Her paragrafta bir sonuç cümlesi zorunluluğunu kaldır; olgu ve sonucu aynı cümlede ölçülü bağla. Son paragrafı 3. bölüme köprü yap.</w:t>
      </w:r>
    </w:p>
    <w:p>
      <w:r>
        <w:rPr>
          <w:b/>
        </w:rPr>
        <w:t>Doğrudan kullanılabilecek biçim</w:t>
      </w:r>
    </w:p>
    <w:p>
      <w:pPr>
        <w:pStyle w:val="QuoteBlock"/>
      </w:pPr>
      <w:r>
        <w:t>Osmânî mushafların ortak başvuru metni hâline gelmesi, kırâatlerin değerlendirilmesinde ve tefsirde kullanılan yazılı zemini belirginleştirmiştir. Üçüncü Bölümde bu ilişkinin resm, kırâat, lafız ve mana düzeyindeki somut görünümleri incelenecektir.</w:t>
      </w:r>
    </w:p>
    <w:p>
      <w:r>
        <w:rPr>
          <w:b/>
        </w:rPr>
        <w:t xml:space="preserve">Önceki kapsamlı raporla karşılaştırma: </w:t>
      </w:r>
      <w:r>
        <w:t>Kısmen vardı: önceki rapor 2.4’ün nedensellik dilini ele aldı; mekanik paragraf kapanışları ve bölüm köprüsü bu raporda ayrıntılandırıldı.</w:t>
      </w:r>
    </w:p>
    <w:p>
      <w:pPr>
        <w:pStyle w:val="Heading3"/>
        <w:keepNext/>
      </w:pPr>
      <w:r>
        <w:t>B2-AK-08. İkinci Bölümden Üçüncü Bölüme düşünsel köprü zayıf</w:t>
      </w:r>
    </w:p>
    <w:p>
      <w:r>
        <w:rPr>
          <w:b/>
        </w:rPr>
        <w:t xml:space="preserve">Kategori: </w:t>
      </w:r>
      <w:r>
        <w:t>Bölüm geçişi</w:t>
      </w:r>
    </w:p>
    <w:p>
      <w:r>
        <w:rPr>
          <w:b/>
        </w:rPr>
        <w:t xml:space="preserve">Önem: </w:t>
      </w:r>
      <w:r>
        <w:t>Yüksek</w:t>
      </w:r>
    </w:p>
    <w:p>
      <w:r>
        <w:rPr>
          <w:b/>
        </w:rPr>
        <w:t xml:space="preserve">Yer: </w:t>
      </w:r>
      <w:r>
        <w:t>2.4 sonu → 3.1 başlangıcı</w:t>
      </w:r>
    </w:p>
    <w:p>
      <w:r>
        <w:rPr>
          <w:b/>
        </w:rPr>
        <w:t>Kitaptaki ifade</w:t>
      </w:r>
    </w:p>
    <w:p>
      <w:pPr>
        <w:pStyle w:val="QuoteBlock"/>
      </w:pPr>
      <w:r>
        <w:t>Önceki paragraf: “Sonuç olarak resmin standartlaşması tefsîr ilmini sadece teknik olarak etkilememiş, yorumun dayandığı zemini kökten etkilemiştir. Resm-i Osmânî yorumun önüne engel koymamış, yorumun hareket edeceği meşru alanı belirlemiştir. Sahih kırâatleri koruyarak anlam zenginliğine katkıda bulunmuş, mushafa aykırı okuyuşları metnin dışında…”</w:t>
        <w:br/>
        <w:t>Sonraki paragraf: “Resm-i Osmânî’nin en dikkat çekici özelliklerinden biri, bazı kelimelerde birden fazla sahih kırâate yer verebilecek şekilde kurulmuş olmasıdır. Kırâat geleneğinde bu husus, resm-i Osmânî’nin sıradan bir yazım biçimi değil, kırâatlerin rivâyetini koruyan özel bir sistem olduğunu gösteren temel delillerden biri olduğunu daha…”</w:t>
      </w:r>
    </w:p>
    <w:p>
      <w:r>
        <w:rPr>
          <w:b/>
        </w:rPr>
        <w:t xml:space="preserve">Sorun: </w:t>
      </w:r>
      <w:r>
        <w:t>İkinci bölüm tefsir üzerindeki genel etkiyle kapanıyor; üçüncü bölüm doğrudan “çoklu kırâatleri yansıtma” özelliğine geçiyor. Okur neden teorik rivâyet tartışmasından resm–lafız–mana örneklerine geçtiğini kendisi kurmak zorunda kalıyor.</w:t>
      </w:r>
    </w:p>
    <w:p>
      <w:r>
        <w:rPr>
          <w:b/>
        </w:rPr>
        <w:t xml:space="preserve">En uygun editoryal işlem: </w:t>
      </w:r>
      <w:r>
        <w:t>273’ün sonunu 3. bölümün somut inceleme işlevine bağla.</w:t>
      </w:r>
    </w:p>
    <w:p>
      <w:r>
        <w:rPr>
          <w:b/>
        </w:rPr>
        <w:t>Doğrudan kullanılabilecek biçim</w:t>
      </w:r>
    </w:p>
    <w:p>
      <w:pPr>
        <w:pStyle w:val="QuoteBlock"/>
      </w:pPr>
      <w:r>
        <w:t>Bu genel çerçeve, resm-i Osmânî ile kırâatler arasındaki ilişkinin yalnız kabul ölçüleri düzeyinde kalmadığını göstermektedir. İlişkinin nasıl işlediğini görmek için resm, kırâat, lafız ve mana arasındaki somut örneklere geçmek gerekir.</w:t>
      </w:r>
    </w:p>
    <w:p>
      <w:r>
        <w:rPr>
          <w:b/>
        </w:rPr>
        <w:t xml:space="preserve">Önceki kapsamlı raporla karşılaştırma: </w:t>
      </w:r>
      <w:r>
        <w:t>Yeni.</w:t>
      </w:r>
    </w:p>
    <w:p>
      <w:pPr>
        <w:pStyle w:val="Heading1"/>
        <w:keepNext/>
      </w:pPr>
      <w:r>
        <w:t>7. Üçüncü Bölüm</w:t>
      </w:r>
    </w:p>
    <w:p>
      <w:pPr>
        <w:pStyle w:val="Heading3"/>
        <w:keepNext/>
      </w:pPr>
      <w:r>
        <w:t>B3-AK-01. 3.1 önceki bölümlere meta-gönderme yaparak başlıyor ve aynı giriş iki kez kuruluyor</w:t>
      </w:r>
    </w:p>
    <w:p>
      <w:r>
        <w:rPr>
          <w:b/>
        </w:rPr>
        <w:t xml:space="preserve">Kategori: </w:t>
      </w:r>
      <w:r>
        <w:t>Meta-anlatım / Tekrar</w:t>
      </w:r>
    </w:p>
    <w:p>
      <w:r>
        <w:rPr>
          <w:b/>
        </w:rPr>
        <w:t xml:space="preserve">Önem: </w:t>
      </w:r>
      <w:r>
        <w:t>Orta</w:t>
      </w:r>
    </w:p>
    <w:p>
      <w:r>
        <w:rPr>
          <w:b/>
        </w:rPr>
        <w:t xml:space="preserve">Yer: </w:t>
      </w:r>
      <w:r>
        <w:t>3.1, 281–282</w:t>
      </w:r>
    </w:p>
    <w:p>
      <w:r>
        <w:rPr>
          <w:b/>
        </w:rPr>
        <w:t>Kitaptaki ifade</w:t>
      </w:r>
    </w:p>
    <w:p>
      <w:pPr>
        <w:pStyle w:val="QuoteBlock"/>
      </w:pPr>
      <w:r>
        <w:t>Resm-i Osmânî’nin en dikkat çekici özelliklerinden biri, bazı kelimelerde birden fazla sahih kırâate yer verebilecek şekilde kurulmuş olmasıdır. Kırâat geleneğinde bu husus, resm-i Osmânî’nin sıradan bir yazım biçimi değil, kırâatlerin rivâyetini koruyan özel bir sistem olduğunu gösteren temel delillerden biri olduğunu daha önce de zikretmiştik. Nitekim İbnü’l-Cezerî’nin ifadelerinde sahih kırâatlerin ölçülerinden biri, okuyuşun Osmânî mushaflardan birinin resmine açık ya da ihtimalî olarak uymasıdır. Bu da yazının, okuyuşu bütünüyle belirlemese de onun…</w:t>
      </w:r>
    </w:p>
    <w:p>
      <w:r>
        <w:rPr>
          <w:b/>
        </w:rPr>
        <w:t xml:space="preserve">Sorun: </w:t>
      </w:r>
      <w:r>
        <w:t>“Daha önce de zikretmiştik” türü ifade yeni bölümün bağımsız girişini zayıflatıyor. 281 ve 282 aynı “en dikkat çekici özelliklerden biri” fikrini arka arkaya kuruyor.</w:t>
      </w:r>
    </w:p>
    <w:p>
      <w:r>
        <w:rPr>
          <w:b/>
        </w:rPr>
        <w:t xml:space="preserve">En uygun editoryal işlem: </w:t>
      </w:r>
      <w:r>
        <w:t>Meta-göndermeyi kaldır; iki paragrafı birleştir.</w:t>
      </w:r>
    </w:p>
    <w:p>
      <w:r>
        <w:rPr>
          <w:b/>
        </w:rPr>
        <w:t>Doğrudan kullanılabilecek biçim</w:t>
      </w:r>
    </w:p>
    <w:p>
      <w:pPr>
        <w:pStyle w:val="QuoteBlock"/>
      </w:pPr>
      <w:r>
        <w:t>Resm-i Osmânî’nin kırâatlerle ilişkisinin belirgin görünümlerinden biri, aynı yazı iskeletinin sahih rivâyetle sabit birden fazla okuyuşla bağdaşabilmesidir. Bu durum, yazının okuyuşu tek başına üretmesinden değil, rivâyetle bilinen okuyuşların ortak resm içinde karşılık bulabilmesinden kaynaklanır.</w:t>
      </w:r>
    </w:p>
    <w:p>
      <w:r>
        <w:rPr>
          <w:b/>
        </w:rPr>
        <w:t xml:space="preserve">Önceki kapsamlı raporla karşılaştırma: </w:t>
      </w:r>
      <w:r>
        <w:t>Yeni.</w:t>
      </w:r>
    </w:p>
    <w:p>
      <w:pPr>
        <w:pStyle w:val="Heading3"/>
        <w:keepNext/>
      </w:pPr>
      <w:r>
        <w:t>B3-AK-02. 3.2 üç paragrafta aynı “dil hafızası / yalnız yazı değil” sonucunu tekrar ediyor</w:t>
      </w:r>
    </w:p>
    <w:p>
      <w:r>
        <w:rPr>
          <w:b/>
        </w:rPr>
        <w:t xml:space="preserve">Kategori: </w:t>
      </w:r>
      <w:r>
        <w:t>Tekrar / Formülaik anlatım</w:t>
      </w:r>
    </w:p>
    <w:p>
      <w:r>
        <w:rPr>
          <w:b/>
        </w:rPr>
        <w:t xml:space="preserve">Önem: </w:t>
      </w:r>
      <w:r>
        <w:t>Orta</w:t>
      </w:r>
    </w:p>
    <w:p>
      <w:r>
        <w:rPr>
          <w:b/>
        </w:rPr>
        <w:t xml:space="preserve">Yer: </w:t>
      </w:r>
      <w:r>
        <w:t>3.2, 287–289</w:t>
      </w:r>
    </w:p>
    <w:p>
      <w:r>
        <w:rPr>
          <w:b/>
        </w:rPr>
        <w:t>Kitaptaki ifade</w:t>
      </w:r>
    </w:p>
    <w:p>
      <w:pPr>
        <w:pStyle w:val="QuoteBlock"/>
      </w:pPr>
      <w:r>
        <w:t>Resm-i kıyasî, dil âlimlerinin kurallı ve açıklayıcı yazım sistemidir. Resm-i Osmânî ise, rivâyet temelli kırâatlerle bağlantılı bir yazıdır. Bu yüzden onun amacı sadece kelimeyi en açık biçimde yazmak değil, aynı zamanda sahih kırâatler içindeki bazı lehçe işaretlerini koruyan bir mushaf yazımıdır. Klasik ve modern kaynaklarda da vurgulandığı gibi resm-i Osmânî’yi kıyasî imlâya dönüştürmek, yalnız yazıyı sadeleştirmekle kalmaz; aynı zamanda mushafın taşıdığı kırâat ve lehçe izlerini de zayıflatır. Vurgulanması gereken bir nokta var ki; resm-i…</w:t>
      </w:r>
    </w:p>
    <w:p>
      <w:r>
        <w:rPr>
          <w:b/>
        </w:rPr>
        <w:t xml:space="preserve">Sorun: </w:t>
      </w:r>
      <w:r>
        <w:t>Çerçeve, örnek ve sonuç ayrımı korunmakla birlikte her paragraf “resm yalnız yazı değildir, dil/lehçe hafızasını da taşır” sonucuna dönüyor.</w:t>
      </w:r>
    </w:p>
    <w:p>
      <w:r>
        <w:rPr>
          <w:b/>
        </w:rPr>
        <w:t xml:space="preserve">En uygun editoryal işlem: </w:t>
      </w:r>
      <w:r>
        <w:t>287 giriş, 288 örnek, 289 tek ihtiyatlı değerlendirme olacak şekilde kısalt.</w:t>
      </w:r>
    </w:p>
    <w:p>
      <w:r>
        <w:rPr>
          <w:b/>
        </w:rPr>
        <w:t>Doğrudan kullanılabilecek biçim</w:t>
      </w:r>
    </w:p>
    <w:p>
      <w:pPr>
        <w:pStyle w:val="QuoteBlock"/>
      </w:pPr>
      <w:r>
        <w:t>Bu örnekler, bazı resm özelliklerinin lehçe ve dil kullanımıyla birlikte yorumlandığını göstermektedir. Ancak yazım biçiminin hangi lehçe veya söyleyişe işaret ettiği, ilgili rivâyet ve dil verileriyle birlikte değerlendirilmelidir.</w:t>
      </w:r>
    </w:p>
    <w:p>
      <w:r>
        <w:rPr>
          <w:b/>
        </w:rPr>
        <w:t xml:space="preserve">Önceki kapsamlı raporla karşılaştırma: </w:t>
      </w:r>
      <w:r>
        <w:t>Yeni.</w:t>
      </w:r>
    </w:p>
    <w:p>
      <w:pPr>
        <w:pStyle w:val="Heading3"/>
        <w:keepNext/>
      </w:pPr>
      <w:r>
        <w:t>B3-AK-03. 3.3’ün son kısmı fonetik/hareke tartışmasından mana-hikmet alanına kayıyor</w:t>
      </w:r>
    </w:p>
    <w:p>
      <w:r>
        <w:rPr>
          <w:b/>
        </w:rPr>
        <w:t xml:space="preserve">Kategori: </w:t>
      </w:r>
      <w:r>
        <w:t>Alt başlık sınırı</w:t>
      </w:r>
    </w:p>
    <w:p>
      <w:r>
        <w:rPr>
          <w:b/>
        </w:rPr>
        <w:t xml:space="preserve">Önem: </w:t>
      </w:r>
      <w:r>
        <w:t>Yüksek</w:t>
      </w:r>
    </w:p>
    <w:p>
      <w:r>
        <w:rPr>
          <w:b/>
        </w:rPr>
        <w:t xml:space="preserve">Yer: </w:t>
      </w:r>
      <w:r>
        <w:t>3.3 sonu → 3.4</w:t>
      </w:r>
    </w:p>
    <w:p>
      <w:r>
        <w:rPr>
          <w:b/>
        </w:rPr>
        <w:t>Kitaptaki ifade</w:t>
      </w:r>
    </w:p>
    <w:p>
      <w:pPr>
        <w:pStyle w:val="QuoteBlock"/>
      </w:pPr>
      <w:r>
        <w:t>Resm-i Osmânî’ye yönelik yapılan açıklamalarda mushaf yazısındaki bazı ziyade harflerin basit bir imlâ farklılığı olarak görülmediği dikkat çekmektedir. Bilakis bu harfler, kelimenin ses yapısını, hareke değerini, kırâat yönünü ve bazı durumlarda mana vurgusunu koruyan işaretler olarak değerlendirilmiştir. Bu çerçevede özellikle “vav” ve “ya” ziyadeleri, kelimenin yalnızca yazı şekline değil, onun aslî ses yapısına ve anlam alanına da işaret eden unsurlar şeklinde yorumlanmıştır. Bu bağlamda Suyûtî, bazı kelimelerde “vav” bazı kelimelerde “ya”nın…</w:t>
      </w:r>
    </w:p>
    <w:p>
      <w:r>
        <w:rPr>
          <w:b/>
        </w:rPr>
        <w:t xml:space="preserve">Sorun: </w:t>
      </w:r>
      <w:r>
        <w:t>3.3 “harekenin aslına işaret” başlığı altında ilerlerken son paragrafta tefhîm/tehvîl ve anlam yönü öne çıkıyor. 3.4 zaten ziyâde/hazif ile ince mana ilişkisini açıyor.</w:t>
      </w:r>
    </w:p>
    <w:p>
      <w:r>
        <w:rPr>
          <w:b/>
        </w:rPr>
        <w:t xml:space="preserve">En uygun editoryal işlem: </w:t>
      </w:r>
      <w:r>
        <w:t>Mana ağırlıklı kısmı 3.4’e taşı; 3.3’ü yazı–ses/hareke ilişkisiyle kapat.</w:t>
      </w:r>
    </w:p>
    <w:p>
      <w:r>
        <w:rPr>
          <w:b/>
        </w:rPr>
        <w:t>Doğrudan kullanılabilecek biçim</w:t>
      </w:r>
    </w:p>
    <w:p>
      <w:pPr>
        <w:pStyle w:val="QuoteBlock"/>
      </w:pPr>
      <w:r>
        <w:t>Bu örneklerde resm ile hareke arasındaki ilişki, yazının seslendirmeyi bütünüyle göstermediği fakat bazı dilsel özelliklerle bağdaşabildiği ölçüde ele alınmalıdır. Mana ve hikmet yorumları ise sonraki başlığın ayrı değerlendirme alanıdır.</w:t>
      </w:r>
    </w:p>
    <w:p>
      <w:r>
        <w:rPr>
          <w:b/>
        </w:rPr>
        <w:t xml:space="preserve">Önceki kapsamlı raporla karşılaştırma: </w:t>
      </w:r>
      <w:r>
        <w:t>Yeni.</w:t>
      </w:r>
    </w:p>
    <w:p>
      <w:pPr>
        <w:pStyle w:val="Heading3"/>
        <w:keepNext/>
      </w:pPr>
      <w:r>
        <w:t>B3-AK-04. 3.4’te genel sonuç, örnek dizisi tamamlanmadan geliyor</w:t>
      </w:r>
    </w:p>
    <w:p>
      <w:r>
        <w:rPr>
          <w:b/>
        </w:rPr>
        <w:t xml:space="preserve">Kategori: </w:t>
      </w:r>
      <w:r>
        <w:t>Yapısal / Erken sentez</w:t>
      </w:r>
    </w:p>
    <w:p>
      <w:r>
        <w:rPr>
          <w:b/>
        </w:rPr>
        <w:t xml:space="preserve">Önem: </w:t>
      </w:r>
      <w:r>
        <w:t>Orta</w:t>
      </w:r>
    </w:p>
    <w:p>
      <w:r>
        <w:rPr>
          <w:b/>
        </w:rPr>
        <w:t xml:space="preserve">Yer: </w:t>
      </w:r>
      <w:r>
        <w:t>3.4, 299–305; özellikle 303</w:t>
      </w:r>
    </w:p>
    <w:p>
      <w:r>
        <w:rPr>
          <w:b/>
        </w:rPr>
        <w:t>Kitaptaki ifade</w:t>
      </w:r>
    </w:p>
    <w:p>
      <w:pPr>
        <w:pStyle w:val="QuoteBlock"/>
      </w:pPr>
      <w:r>
        <w:t>Resm-i Osmânî, sadece kelimelerin yazı biçimini sabitleyen bir sistemden müteşekkil değildir. Aksine âlimlerin önemli bir kısmına göre mushaf yazısı, bazı yerlerde lafzın olağan söyleyişini, bazı yerlerde harekenin aslını, bazı yerlerde fiilin gerçekleşme süratini, bazı yerlerde ise anlamın şiddet ve azamet derecesini hissettiren bir yazı düzenidir. Bu nedenle resm-i Osmânî’yi sadece tek imlâ farklılıkları üzerinden okumak yeterli değildir; onu aynı zamanda bir anlam işaretleme sistemi olarak değerlendirmek gerekmektedir.</w:t>
      </w:r>
    </w:p>
    <w:p>
      <w:r>
        <w:rPr>
          <w:b/>
        </w:rPr>
        <w:t xml:space="preserve">Sorun: </w:t>
      </w:r>
      <w:r>
        <w:t>303 genel bir “resm yalnız yazı değil anlam sistemi” sonucu verir; 304–305 yeni örnekler eklemeye devam eder. Böylece sonuç paragrafı delil dizisinin ortasında kalır.</w:t>
      </w:r>
    </w:p>
    <w:p>
      <w:r>
        <w:rPr>
          <w:b/>
        </w:rPr>
        <w:t xml:space="preserve">En uygun editoryal işlem: </w:t>
      </w:r>
      <w:r>
        <w:t>303’ü sona taşı veya kaldır; önce bütün örnekleri ver, sonra tek sınırlı sentez yap.</w:t>
      </w:r>
    </w:p>
    <w:p>
      <w:r>
        <w:rPr>
          <w:b/>
        </w:rPr>
        <w:t>Doğrudan kullanılabilecek biçim</w:t>
      </w:r>
    </w:p>
    <w:p>
      <w:pPr>
        <w:pStyle w:val="QuoteBlock"/>
      </w:pPr>
      <w:r>
        <w:t>Bu örnekler, bazı klasik müelliflerin hazif ve ziyâde biçimlerini mana ve hikmetle ilişkilendirdiğini göstermektedir. Bu yorumların yazımın tarihsel oluşumunu açıklayan zorunlu nedenler olarak değil, ilgili müelliflerin yorum düzeyi olarak sunulması gerekir.</w:t>
      </w:r>
    </w:p>
    <w:p>
      <w:r>
        <w:rPr>
          <w:b/>
        </w:rPr>
        <w:t xml:space="preserve">Önceki kapsamlı raporla karşılaştırma: </w:t>
      </w:r>
      <w:r>
        <w:t>Yeni; önceki rapor 3.4’ün kanıt düzeyi sorununu ele aldı, erken sentez konumunu ayrıca göstermedi.</w:t>
      </w:r>
    </w:p>
    <w:p>
      <w:pPr>
        <w:pStyle w:val="Heading3"/>
        <w:keepNext/>
      </w:pPr>
      <w:r>
        <w:t>B3-AK-05. 3.5 iki ardışık sonuç paragrafıyla kapanıyor</w:t>
      </w:r>
    </w:p>
    <w:p>
      <w:r>
        <w:rPr>
          <w:b/>
        </w:rPr>
        <w:t xml:space="preserve">Kategori: </w:t>
      </w:r>
      <w:r>
        <w:t>Gereksiz ara sonuç</w:t>
      </w:r>
    </w:p>
    <w:p>
      <w:r>
        <w:rPr>
          <w:b/>
        </w:rPr>
        <w:t xml:space="preserve">Önem: </w:t>
      </w:r>
      <w:r>
        <w:t>Orta</w:t>
      </w:r>
    </w:p>
    <w:p>
      <w:r>
        <w:rPr>
          <w:b/>
        </w:rPr>
        <w:t xml:space="preserve">Yer: </w:t>
      </w:r>
      <w:r>
        <w:t>3.5, 310–311</w:t>
      </w:r>
    </w:p>
    <w:p>
      <w:r>
        <w:rPr>
          <w:b/>
        </w:rPr>
        <w:t>Kitaptaki ifade</w:t>
      </w:r>
    </w:p>
    <w:p>
      <w:pPr>
        <w:pStyle w:val="QuoteBlock"/>
      </w:pPr>
      <w:r>
        <w:t>Sözü edilen örnekler resm-i mushaf’ın yalnızca imlâya ilişkin bir tercih olmadığını, aynı zamanda anlamı yönlendiren ve nahivsel ayrımları belirginleştiren bir işaretleme sistemi olduğunu göstermektedir. Kaynaklarda maktu ve mevsûl başlığı altında incelenen bu tür imlâ farklılıkları, bazı kelimelerin yazıda ayrı veya bitişik gösterilmesinin bir rastlantı olmadığını ortaya koymaktadır. Nitekim maktu, yazıda ayrılan fakat bağlam içinde özel bir anlam yönü taşıyan yapıları; mevsûl ise daha sıkı bir söz dizimsel ve anlamsal bağlılık içinde bulunan…</w:t>
      </w:r>
    </w:p>
    <w:p>
      <w:r>
        <w:rPr>
          <w:b/>
        </w:rPr>
        <w:t xml:space="preserve">Sorun: </w:t>
      </w:r>
      <w:r>
        <w:t>310 ve 311 yazım farkının nahiv/anlam farkıyla ilişkisini art arda sonuçlandırıyor. İkinci paragraf yeni bilgi yerine ilk sonucu daha soyut dille yeniden kuruyor.</w:t>
      </w:r>
    </w:p>
    <w:p>
      <w:r>
        <w:rPr>
          <w:b/>
        </w:rPr>
        <w:t xml:space="preserve">En uygun editoryal işlem: </w:t>
      </w:r>
      <w:r>
        <w:t>Tek sentez bırak; son cümleyi 3.6’ya geçişe dönüştür.</w:t>
      </w:r>
    </w:p>
    <w:p>
      <w:r>
        <w:rPr>
          <w:b/>
        </w:rPr>
        <w:t>Doğrudan kullanılabilecek biçim</w:t>
      </w:r>
    </w:p>
    <w:p>
      <w:pPr>
        <w:pStyle w:val="QuoteBlock"/>
      </w:pPr>
      <w:r>
        <w:t>Bu örneklerde yazım farklılığı, ilgili dilsel ve nahivsel yorumlarla birlikte anlam ayrımını açıklayan bir veri olarak kullanılmıştır. Resm-i mushafın bu tür yorumlarda ne ölçüde bağlayıcı kabul edildiği ise ayrı bir tartışmadır.</w:t>
      </w:r>
    </w:p>
    <w:p>
      <w:r>
        <w:rPr>
          <w:b/>
        </w:rPr>
        <w:t xml:space="preserve">Önceki kapsamlı raporla karşılaştırma: </w:t>
      </w:r>
      <w:r>
        <w:t>Yeni.</w:t>
      </w:r>
    </w:p>
    <w:p>
      <w:pPr>
        <w:pStyle w:val="Heading3"/>
        <w:keepNext/>
      </w:pPr>
      <w:r>
        <w:t>B3-AK-06. 3.6’nın açılış paragrafı üç ayrı tartışmayı tek paragrafta yığıyor</w:t>
      </w:r>
    </w:p>
    <w:p>
      <w:r>
        <w:rPr>
          <w:b/>
        </w:rPr>
        <w:t xml:space="preserve">Kategori: </w:t>
      </w:r>
      <w:r>
        <w:t>Paragraf içi akış</w:t>
      </w:r>
    </w:p>
    <w:p>
      <w:r>
        <w:rPr>
          <w:b/>
        </w:rPr>
        <w:t xml:space="preserve">Önem: </w:t>
      </w:r>
      <w:r>
        <w:t>Yüksek</w:t>
      </w:r>
    </w:p>
    <w:p>
      <w:r>
        <w:rPr>
          <w:b/>
        </w:rPr>
        <w:t xml:space="preserve">Yer: </w:t>
      </w:r>
      <w:r>
        <w:t>3.6, 313. paragraf</w:t>
      </w:r>
    </w:p>
    <w:p>
      <w:r>
        <w:rPr>
          <w:b/>
        </w:rPr>
        <w:t>Kitaptaki ifade</w:t>
      </w:r>
    </w:p>
    <w:p>
      <w:pPr>
        <w:pStyle w:val="QuoteBlock"/>
      </w:pPr>
      <w:r>
        <w:t>İslâm ilimleri içinde resm-i mushaf meselesi, sadece imlâ biçimine ilişkin teknik bir konudan ibaret olmayıp kırâatin sahihliği, metin otoritesi ve anlam yorumuyla doğrudan ilişkili bir alan olarak ele alınmıştır. Nitekim Ahmed b. Hanbel’in, “Osman mushaf hattına ister bir ‘vav’ ister bir ‘ya’ isterse başka bir unsur bakımından olsun aykırı davranmanın haram olduğunu” söylediği aktarılmıştır. Bu rivâyet mushaf resminin birçok âlim tarafından bağlayıcı kabul edildiğini ortaya koymaktadır. Bu sebeple bazı âlimler, resm-i mushaf’ı tevkîfî, yani beşerî…</w:t>
      </w:r>
    </w:p>
    <w:p>
      <w:r>
        <w:rPr>
          <w:b/>
        </w:rPr>
        <w:t xml:space="preserve">Sorun: </w:t>
      </w:r>
      <w:r>
        <w:t>Açılış aynı anda Ahmed b. Hanbel rivâyeti, tevkîfîlik, bağlayıcılık, hikmet, i‘câz ve yazım sırlarını ele alıyor. Başlığın “bağlayıcılık, hikmet, eleştirel yaklaşım” üçlüsü paragraf içinde ayrışmıyor.</w:t>
      </w:r>
    </w:p>
    <w:p>
      <w:r>
        <w:rPr>
          <w:b/>
        </w:rPr>
        <w:t xml:space="preserve">En uygun editoryal işlem: </w:t>
      </w:r>
      <w:r>
        <w:t>313’ü bağlayıcılık çerçevesiyle sınırlandır; hikmet yorumlarını sonraki paragrafa, eleştirel yaklaşımı ayrı bloğa bırak.</w:t>
      </w:r>
    </w:p>
    <w:p>
      <w:r>
        <w:rPr>
          <w:b/>
        </w:rPr>
        <w:t>Doğrudan kullanılabilecek biçim</w:t>
      </w:r>
    </w:p>
    <w:p>
      <w:pPr>
        <w:pStyle w:val="QuoteBlock"/>
      </w:pPr>
      <w:r>
        <w:t>Resm-i mushafın bağlayıcılığına ilişkin tartışma, mushaf yazımının ne ölçüde nakle dayalı bir norm olarak kabul edildiği sorusunda yoğunlaşmaktadır. Ahmed b. Hanbel ve benzeri isimlere nispet edilen rivâyetler, bazı âlimlerin Osmânî hatta bağlılığı güçlü biçimde savunduğunu göstermektedir. Bu normatif tutum, yazım farklılıklarına yüklenen hikmet yorumlarından ayrı değerlendirilmelidir.</w:t>
      </w:r>
    </w:p>
    <w:p>
      <w:r>
        <w:rPr>
          <w:b/>
        </w:rPr>
        <w:t xml:space="preserve">Önceki kapsamlı raporla karşılaştırma: </w:t>
      </w:r>
      <w:r>
        <w:t>Kısmen yeni.</w:t>
      </w:r>
    </w:p>
    <w:p>
      <w:pPr>
        <w:pStyle w:val="Heading3"/>
        <w:keepNext/>
      </w:pPr>
      <w:r>
        <w:t>B3-AK-07. 3.6 bağlayıcılık → hikmet → nahiv → İbn Haldûn → savunmacı cevap → i‘câz şeklinde zikzak çiziyor</w:t>
      </w:r>
    </w:p>
    <w:p>
      <w:r>
        <w:rPr>
          <w:b/>
        </w:rPr>
        <w:t xml:space="preserve">Kategori: </w:t>
      </w:r>
      <w:r>
        <w:t>Yapısal / İç sıralama</w:t>
      </w:r>
    </w:p>
    <w:p>
      <w:r>
        <w:rPr>
          <w:b/>
        </w:rPr>
        <w:t xml:space="preserve">Önem: </w:t>
      </w:r>
      <w:r>
        <w:t>Yüksek</w:t>
      </w:r>
    </w:p>
    <w:p>
      <w:r>
        <w:rPr>
          <w:b/>
        </w:rPr>
        <w:t xml:space="preserve">Yer: </w:t>
      </w:r>
      <w:r>
        <w:t>3.6, 313–321</w:t>
      </w:r>
    </w:p>
    <w:p>
      <w:r>
        <w:rPr>
          <w:b/>
        </w:rPr>
        <w:t>Kitaptaki ifade</w:t>
      </w:r>
    </w:p>
    <w:p>
      <w:pPr>
        <w:pStyle w:val="QuoteBlock"/>
      </w:pPr>
      <w:r>
        <w:t>Bu genel kabul karşısında mushaf yazımındaki kıyasa aykırı unsurları ilâhî sırlarla açıklama eğilimini reddeden ve resm-i mushaf’ı tarihsel yazım şartlarıyla açıklayan eleştirel yaklaşımın en meşhur temsilcilerinden biri İbn Haldûn’dur (ö. 808/1406). İbn Haldûn’a göre Arap yazısı İslâm’ın ilk dönemlerinde henüz tam sağlamlık, incelik ve ustalık derecesine ulaşmış değildir; hatta orta seviyeye bile gelmemiştir. Çünkü Araplar, bedevilik, çöl hayatı ve sanatlardan uzak oluş sebebiyle bu alanda gelişmemiştir. Bunun sonucu olarak mushaf yazımlarında da bu…</w:t>
      </w:r>
    </w:p>
    <w:p>
      <w:r>
        <w:rPr>
          <w:b/>
        </w:rPr>
        <w:t xml:space="preserve">Sorun: </w:t>
      </w:r>
      <w:r>
        <w:t>Başlığın üç boyutu var, fakat paragraflar bu boyutları bloklar hâlinde değil, birbirine dönerek işliyor. Okur hangi cümlenin tarihsel yazım açıklaması, hangisinin normatif savunma, hangisinin hikmet yorumu olduğunu ayırmakta zorlanıyor.</w:t>
      </w:r>
    </w:p>
    <w:p>
      <w:r>
        <w:rPr>
          <w:b/>
        </w:rPr>
        <w:t xml:space="preserve">En uygun editoryal işlem: </w:t>
      </w:r>
      <w:r>
        <w:t>İç sıralamayı üç blokta kur: (1) bağlayıcılık görüşleri, (2) hikmet/işaret yorumları, (3) tarihsel-filolojik ve eleştirel açıklamalar; sonunda karşılaştırmalı sentez.</w:t>
      </w:r>
    </w:p>
    <w:p>
      <w:r>
        <w:rPr>
          <w:b/>
        </w:rPr>
        <w:t>Doğrudan kullanılabilecek biçim</w:t>
      </w:r>
    </w:p>
    <w:p>
      <w:pPr>
        <w:pStyle w:val="QuoteBlock"/>
      </w:pPr>
      <w:r>
        <w:t>Bu başlıkta görüşler üç düzeyde ayrılmalıdır: resm-i Osmânî’ye normatif bağlılık savunusu; yazım farklılıklarını hikmet ve mana çerçevesinde yorumlayan açıklamalar; yazım özelliklerini tarihsel ve dilsel şartlarla açıklayan eleştirel yaklaşımlar. Bu ayrım, farklı kanıt düzeylerinin birbirine karışmasını önleyecektir.</w:t>
      </w:r>
    </w:p>
    <w:p>
      <w:r>
        <w:rPr>
          <w:b/>
        </w:rPr>
        <w:t xml:space="preserve">Önceki kapsamlı raporla karşılaştırma: </w:t>
      </w:r>
      <w:r>
        <w:t>Yeni; önceki rapor bilimsel düzeyleri ayırmayı önermişti, paragraf sırası burada somutlaştırıldı.</w:t>
      </w:r>
    </w:p>
    <w:p>
      <w:pPr>
        <w:pStyle w:val="Heading3"/>
        <w:keepNext/>
      </w:pPr>
      <w:r>
        <w:t>B3-AK-08. “Üç ana çizgi” cümlesi iki çizgi sayıyor</w:t>
      </w:r>
    </w:p>
    <w:p>
      <w:r>
        <w:rPr>
          <w:b/>
        </w:rPr>
        <w:t xml:space="preserve">Kategori: </w:t>
      </w:r>
      <w:r>
        <w:t>Mantıksal / Tashih</w:t>
      </w:r>
    </w:p>
    <w:p>
      <w:r>
        <w:rPr>
          <w:b/>
        </w:rPr>
        <w:t xml:space="preserve">Önem: </w:t>
      </w:r>
      <w:r>
        <w:t>Yüksek</w:t>
      </w:r>
    </w:p>
    <w:p>
      <w:r>
        <w:rPr>
          <w:b/>
        </w:rPr>
        <w:t xml:space="preserve">Yer: </w:t>
      </w:r>
      <w:r>
        <w:t>3.6 son paragraf, 321</w:t>
      </w:r>
    </w:p>
    <w:p>
      <w:r>
        <w:rPr>
          <w:b/>
        </w:rPr>
        <w:t>Kitaptaki ifade</w:t>
      </w:r>
    </w:p>
    <w:p>
      <w:pPr>
        <w:pStyle w:val="QuoteBlock"/>
      </w:pPr>
      <w:r>
        <w:t>Sonuç olarak resm-i mushaf etrafındaki tartışmalar üç ana çizgide toplanmaktadır: onu tevkîfî ve bağlayıcı gören yaklaşım; yazım farklılıklarında hikmet ve mana incelikleri arayan yaklaşım. Zerkeşî, Merrâkuşî ve ed-Debbâğ’ın işaret merkezli yorumları, Dânî’nin dilci açıklamaları, nahiv âlimlerinin mushaf hattını delil olarak almaları ve İbn Haldûn’un eleştirel itirazları birlikte değerlendirildiğinde, resm-i Osmânî’nin İslâm ilimleri içinde yalnız yazının tarihî gelişimiyle ilgili bir mesele olmadığı anlaşılmaktadır. Bununla birlikte, resm-i Osmânî’ye…</w:t>
      </w:r>
    </w:p>
    <w:p>
      <w:r>
        <w:rPr>
          <w:b/>
        </w:rPr>
        <w:t xml:space="preserve">Sorun: </w:t>
      </w:r>
      <w:r>
        <w:t>Cümle “üç ana çizgi” dediği hâlde noktalı virgülden önce yalnız iki yaklaşım sayıyor. Üçüncü yaklaşım devam eden örneklerin içine gömülüyor.</w:t>
      </w:r>
    </w:p>
    <w:p>
      <w:r>
        <w:rPr>
          <w:b/>
        </w:rPr>
        <w:t xml:space="preserve">En uygun editoryal işlem: </w:t>
      </w:r>
      <w:r>
        <w:t>Üç yaklaşımı açık ve paralel biçimde say.</w:t>
      </w:r>
    </w:p>
    <w:p>
      <w:r>
        <w:rPr>
          <w:b/>
        </w:rPr>
        <w:t>Doğrudan kullanılabilecek biçim</w:t>
      </w:r>
    </w:p>
    <w:p>
      <w:pPr>
        <w:pStyle w:val="QuoteBlock"/>
      </w:pPr>
      <w:r>
        <w:t>Bu görüşler üç ana çizgide toplanabilir: resm-i Osmânî’yi tevkîfî ve bağlayıcı gören yaklaşım; yazım farklılıklarını hikmet ve i‘câz çerçevesinde yorumlayan yaklaşım; yazımı erken Arap imlâsı ve tarihsel gelişim içinde açıklayan tarihsel-filolojik yaklaşım.</w:t>
      </w:r>
    </w:p>
    <w:p>
      <w:r>
        <w:rPr>
          <w:b/>
        </w:rPr>
        <w:t xml:space="preserve">Önceki kapsamlı raporla karşılaştırma: </w:t>
      </w:r>
      <w:r>
        <w:t>Önceki kapsamlı raporda vardı; burada akış denetiminde de doğrulandı.</w:t>
      </w:r>
    </w:p>
    <w:p>
      <w:pPr>
        <w:pStyle w:val="Heading3"/>
        <w:keepNext/>
      </w:pPr>
      <w:r>
        <w:t>B3-AK-09. 3.7’nin sonundaki “üç görüş” tartışması içerik bakımından 3.6’ya ait</w:t>
      </w:r>
    </w:p>
    <w:p>
      <w:r>
        <w:rPr>
          <w:b/>
        </w:rPr>
        <w:t xml:space="preserve">Kategori: </w:t>
      </w:r>
      <w:r>
        <w:t>Alt başlık sınırı / Taşıma</w:t>
      </w:r>
    </w:p>
    <w:p>
      <w:r>
        <w:rPr>
          <w:b/>
        </w:rPr>
        <w:t xml:space="preserve">Önem: </w:t>
      </w:r>
      <w:r>
        <w:t>Yüksek</w:t>
      </w:r>
    </w:p>
    <w:p>
      <w:r>
        <w:rPr>
          <w:b/>
        </w:rPr>
        <w:t xml:space="preserve">Yer: </w:t>
      </w:r>
      <w:r>
        <w:t>3.7, 327–330</w:t>
      </w:r>
    </w:p>
    <w:p>
      <w:r>
        <w:rPr>
          <w:b/>
        </w:rPr>
        <w:t>Kitaptaki ifade</w:t>
      </w:r>
    </w:p>
    <w:p>
      <w:pPr>
        <w:pStyle w:val="QuoteBlock"/>
      </w:pPr>
      <w:r>
        <w:t>Mushafın yazımında resm-i Osmânî’ye bağlı kalmanın gerekip gerekmediği meselesi ilk dönem ve çağdaş kaynaklarda üç temel görüş etrafında ele alınmıştır. Birinci görüş, mushafların yazımında resm-i Osmânî’ye bağlı kalmanın gerekli olduğunu savunmakta ve selef ile halef âlimlerinin çoğunluğu bu çizgide gösterilmektedir.</w:t>
      </w:r>
    </w:p>
    <w:p>
      <w:r>
        <w:rPr>
          <w:b/>
        </w:rPr>
        <w:t xml:space="preserve">Sorun: </w:t>
      </w:r>
      <w:r>
        <w:t>3.7 “hata ve tahriften koruyucu işlev” başlığında ilerlerken 327’den itibaren resme bağlılığın zorunlu olup olmadığı ve üç görüş ayrıntılı biçimde tartışılıyor. Bu, doğrudan 3.6’daki bağlayıcılık tartışmasının devamıdır.</w:t>
      </w:r>
    </w:p>
    <w:p>
      <w:r>
        <w:rPr>
          <w:b/>
        </w:rPr>
        <w:t xml:space="preserve">En uygun editoryal işlem: </w:t>
      </w:r>
      <w:r>
        <w:t>327–330’u 3.6’ya taşı; 3.7’yi metin güvenliği ve yazım sürekliliği gerekçesiyle sınırlı tut.</w:t>
      </w:r>
    </w:p>
    <w:p>
      <w:r>
        <w:rPr>
          <w:b/>
        </w:rPr>
        <w:t>Doğrudan kullanılabilecek biçim</w:t>
      </w:r>
    </w:p>
    <w:p>
      <w:pPr>
        <w:pStyle w:val="QuoteBlock"/>
      </w:pPr>
      <w:r>
        <w:t>Taşıma sonrası 3.7’nin geçişi şu biçimde kurulabilir: “Bağlayıcılığın derecesine ilişkin görüşler ayrı tutulduğunda, resm-i Osmânî’ye bağlılığın savunulmasında öne çıkan pratik gerekçelerden biri yazım birliğinin ve metin güvenliğinin korunmasıdır.”</w:t>
      </w:r>
    </w:p>
    <w:p>
      <w:r>
        <w:rPr>
          <w:b/>
        </w:rPr>
        <w:t xml:space="preserve">Önceki kapsamlı raporla karşılaştırma: </w:t>
      </w:r>
      <w:r>
        <w:t>Yeni ve önemli; önceki rapor 3.7–3.12’nin genel birleşme sorununu bulmuştu, 327–330’un 3.6’ya somut taşınması yeni.</w:t>
      </w:r>
    </w:p>
    <w:p>
      <w:pPr>
        <w:pStyle w:val="Heading3"/>
        <w:keepNext/>
      </w:pPr>
      <w:r>
        <w:t>B3-AK-10. 3.7’de aynı “değişken modern imlâ → risk → ittiba” argümanı birkaç paragrafta yeniden kuruluyor</w:t>
      </w:r>
    </w:p>
    <w:p>
      <w:r>
        <w:rPr>
          <w:b/>
        </w:rPr>
        <w:t xml:space="preserve">Kategori: </w:t>
      </w:r>
      <w:r>
        <w:t>Tekrar</w:t>
      </w:r>
    </w:p>
    <w:p>
      <w:r>
        <w:rPr>
          <w:b/>
        </w:rPr>
        <w:t xml:space="preserve">Önem: </w:t>
      </w:r>
      <w:r>
        <w:t>Orta</w:t>
      </w:r>
    </w:p>
    <w:p>
      <w:r>
        <w:rPr>
          <w:b/>
        </w:rPr>
        <w:t xml:space="preserve">Yer: </w:t>
      </w:r>
      <w:r>
        <w:t>3.7, 323–326</w:t>
      </w:r>
    </w:p>
    <w:p>
      <w:r>
        <w:rPr>
          <w:b/>
        </w:rPr>
        <w:t>Kitaptaki ifade</w:t>
      </w:r>
    </w:p>
    <w:p>
      <w:pPr>
        <w:pStyle w:val="QuoteBlock"/>
      </w:pPr>
      <w:r>
        <w:t>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Kur’an metninin teslim edilmesi, mushafın her yeni yazım anlayışına göre gözden geçirilmesi, düzeltilmesi ve yeniden biçimlendirilmesi sonucunu doğurabilir. Bu ise yalnız yazı birliğini zedelemekle kalmaz, aynı zamanda metnin zamanla…</w:t>
      </w:r>
    </w:p>
    <w:p>
      <w:r>
        <w:rPr>
          <w:b/>
        </w:rPr>
        <w:t xml:space="preserve">Sorun: </w:t>
      </w:r>
      <w:r>
        <w:t>323 metin güvenliği, 324 değişken imlâ riski, 325 sünnet/ittiba, 326 çağdaş kolaylaştırıcı yazım tartışması üzerinden aynı “asıl resm korunmalı” sonucuna dönüyor. Her paragrafta sonuç yeniden kuruluyor.</w:t>
      </w:r>
    </w:p>
    <w:p>
      <w:r>
        <w:rPr>
          <w:b/>
        </w:rPr>
        <w:t xml:space="preserve">En uygun editoryal işlem: </w:t>
      </w:r>
      <w:r>
        <w:t>Her paragrafa tek işlev ver; nihai sonucu yalnız bir kez söyle.</w:t>
      </w:r>
    </w:p>
    <w:p>
      <w:r>
        <w:rPr>
          <w:b/>
        </w:rPr>
        <w:t>Doğrudan kullanılabilecek biçim</w:t>
      </w:r>
    </w:p>
    <w:p>
      <w:pPr>
        <w:pStyle w:val="QuoteBlock"/>
      </w:pPr>
      <w:r>
        <w:t>Resm-i Osmânî’ye bağlılık lehindeki gerekçeler burada iki başlıkta toplanabilir: yazım birliğinin metin güvenliğini desteklemesi ve ilk mushaf geleneğine bağlılığın ittiba çerçevesinde değerlendirilmesi. Çağdaş imlâ kolaylıklarına ilişkin görüşler de bu iki gerekçenin sınırları içinde ele alınmalıdır.</w:t>
      </w:r>
    </w:p>
    <w:p>
      <w:r>
        <w:rPr>
          <w:b/>
        </w:rPr>
        <w:t xml:space="preserve">Önceki kapsamlı raporla karşılaştırma: </w:t>
      </w:r>
      <w:r>
        <w:t>Yeni.</w:t>
      </w:r>
    </w:p>
    <w:p>
      <w:pPr>
        <w:pStyle w:val="Heading3"/>
        <w:keepNext/>
      </w:pPr>
      <w:r>
        <w:t>B3-AK-11. 3.8–3.10 aynı normatif faydayı farklı başlıklarla yeniden kuruyor</w:t>
      </w:r>
    </w:p>
    <w:p>
      <w:r>
        <w:rPr>
          <w:b/>
        </w:rPr>
        <w:t xml:space="preserve">Kategori: </w:t>
      </w:r>
      <w:r>
        <w:t>Bölümler arası tekrar / Yapısal</w:t>
      </w:r>
    </w:p>
    <w:p>
      <w:r>
        <w:rPr>
          <w:b/>
        </w:rPr>
        <w:t xml:space="preserve">Önem: </w:t>
      </w:r>
      <w:r>
        <w:t>Yüksek</w:t>
      </w:r>
    </w:p>
    <w:p>
      <w:r>
        <w:rPr>
          <w:b/>
        </w:rPr>
        <w:t xml:space="preserve">Yer: </w:t>
      </w:r>
      <w:r>
        <w:t>3.8–3.10, s.74–80</w:t>
      </w:r>
    </w:p>
    <w:p>
      <w:r>
        <w:rPr>
          <w:b/>
        </w:rPr>
        <w:t>Kitaptaki ifade</w:t>
      </w:r>
    </w:p>
    <w:p>
      <w:pPr>
        <w:pStyle w:val="QuoteBlock"/>
      </w:pPr>
      <w:r>
        <w:t>Sonuç olarak denilebilir ki resm-i Osmânî’ye bağlılık, bazı âlimler ve müellifler nezdinde yalnızca ilk mushaf hattına sadakat anlamı taşımamakta, aynı zamanda ümmetin Kur’an’la kurduğu tarihî ilişkinin, nebevî mirasa duyduğu aidiyetin ve mushaf karşısındaki edep bilincinin sürdürülmesi anlamına gelmektedir. Bu sebeple resm-i Osmânî’yi burada teknik bir yazı sistemi olmanın ötesinde, nübüvvet çağını bugüne taşıyan tarihî, sembolik ve manevi bir emanet olarak değerlendirmek gerekir.</w:t>
      </w:r>
    </w:p>
    <w:p>
      <w:r>
        <w:rPr>
          <w:b/>
        </w:rPr>
        <w:t xml:space="preserve">Sorun: </w:t>
      </w:r>
      <w:r>
        <w:t>Nebevî rehberlik, selefin fazileti ve müşâfehe geleneği birbirinden farklı kavramlar olmakla birlikte mevcut anlatımda üçü de “resme bağlılık ilk nesille bağı ve doğru aktarımı korur” sonucuna bağlanıyor. Başlık farkları, içerikte yeterince belirginleşmiyor.</w:t>
      </w:r>
    </w:p>
    <w:p>
      <w:r>
        <w:rPr>
          <w:b/>
        </w:rPr>
        <w:t xml:space="preserve">En uygun editoryal işlem: </w:t>
      </w:r>
      <w:r>
        <w:t>Her başlığın tek sorusunu belirle veya 3.7–3.12’yi önceki raporda önerildiği gibi daha az sayıda üst başlıkta birleştir.</w:t>
      </w:r>
    </w:p>
    <w:p>
      <w:r>
        <w:rPr>
          <w:b/>
        </w:rPr>
        <w:t>Doğrudan kullanılabilecek biçim</w:t>
      </w:r>
    </w:p>
    <w:p>
      <w:pPr>
        <w:pStyle w:val="QuoteBlock"/>
      </w:pPr>
      <w:r>
        <w:t>3.8 yalnız nebevî/sünnet referanslarının nasıl kullanıldığını; 3.9 selef otoritesine ilişkin klasik değerlendirmeleri; 3.10 ise yazının telaffuzu bütünüyle göstermemesi nedeniyle müşâfehenin işlevini ele almalıdır. Aynı “resme bağlılık faydalıdır” sonucu üçünde de tekrarlanmamalıdır.</w:t>
      </w:r>
    </w:p>
    <w:p>
      <w:r>
        <w:rPr>
          <w:b/>
        </w:rPr>
        <w:t xml:space="preserve">Önceki kapsamlı raporla karşılaştırma: </w:t>
      </w:r>
      <w:r>
        <w:t>Kısmen vardı: önceki rapor 3.7–3.12’nin yapısal birleşmesini önermişti; üç başlığın işlevsel ayrımı bu raporda netleştirildi.</w:t>
      </w:r>
    </w:p>
    <w:p>
      <w:pPr>
        <w:pStyle w:val="Heading3"/>
        <w:keepNext/>
      </w:pPr>
      <w:r>
        <w:t>B3-AK-12. 3.10’da resme fail rolü veren ve aynı sonucu tekrarlayan kapanışlar yoğunlaşıyor</w:t>
      </w:r>
    </w:p>
    <w:p>
      <w:r>
        <w:rPr>
          <w:b/>
        </w:rPr>
        <w:t xml:space="preserve">Kategori: </w:t>
      </w:r>
      <w:r>
        <w:t>Formülaik anlatım / Kavramsal akış</w:t>
      </w:r>
    </w:p>
    <w:p>
      <w:r>
        <w:rPr>
          <w:b/>
        </w:rPr>
        <w:t xml:space="preserve">Önem: </w:t>
      </w:r>
      <w:r>
        <w:t>Yüksek</w:t>
      </w:r>
    </w:p>
    <w:p>
      <w:r>
        <w:rPr>
          <w:b/>
        </w:rPr>
        <w:t xml:space="preserve">Yer: </w:t>
      </w:r>
      <w:r>
        <w:t>3.10, s.77–80; 345–350</w:t>
      </w:r>
    </w:p>
    <w:p>
      <w:r>
        <w:rPr>
          <w:b/>
        </w:rPr>
        <w:t>Kitaptaki ifade</w:t>
      </w:r>
    </w:p>
    <w:p>
      <w:pPr>
        <w:pStyle w:val="QuoteBlock"/>
      </w:pPr>
      <w:r>
        <w:t>Meselenin bir başka boyutu, tecvid ve kırâat edâsının yazıdan bütünüyle çıkarılamayan özellikleri taşımasıdır. Revm, işmâm, teshîl, tahkik, tefhim, kalkale, idğam ve ihfâ gibi pek çok husus, yazılı işaretlerle kısmen gösterilebilse de, mahreç, sıfat ve edâ boyutlarıyla ancak işitme ve uygulamalı tekrar yoluyla tam olarak öğrenilebilir. Nitekim bazı sûrelerin başındaki hurûf-ı mukattaa, yazıda harf şekilleriyle bulunmakla birlikte, bunların nasıl telaffuz edileceği yazıdan doğrudan çıkarılamaz; doğru edâ ancak telakki ile kazanılır. Bu da göstermektedir…</w:t>
      </w:r>
    </w:p>
    <w:p>
      <w:r>
        <w:rPr>
          <w:b/>
        </w:rPr>
        <w:t xml:space="preserve">Sorun: </w:t>
      </w:r>
      <w:r>
        <w:t>Paragraflar “resm yöneltir / öğretir / müşâfeheyi canlı tutar” türü sonuçlara tekrar tekrar dönüyor. Aynı düşünce, yazının fonetik ayrıntıları göstermemesinden müşâfehenin gerekli oluşuna daha doğal ve öznesiz biçimde bağlanabilir.</w:t>
      </w:r>
    </w:p>
    <w:p>
      <w:r>
        <w:rPr>
          <w:b/>
        </w:rPr>
        <w:t xml:space="preserve">En uygun editoryal işlem: </w:t>
      </w:r>
      <w:r>
        <w:t>Resmi özneleştiren sonuçları çıkar; yazının sınırlı fonetik gösterimi ile sözlü öğretim ihtiyacı arasındaki ilişkiyi bir kez kur.</w:t>
      </w:r>
    </w:p>
    <w:p>
      <w:r>
        <w:rPr>
          <w:b/>
        </w:rPr>
        <w:t>Doğrudan kullanılabilecek biçim</w:t>
      </w:r>
    </w:p>
    <w:p>
      <w:pPr>
        <w:pStyle w:val="QuoteBlock"/>
      </w:pPr>
      <w:r>
        <w:t>Mushaf yazısı telaffuz ve edânın bütün ayrıntılarını tek başına göstermediğinden, kırâatin ehil hocadan telakki ve müşâfehe yoluyla öğrenilmesi önemini korumuştur. Resm ile sözlü öğretim arasındaki ilişki, yazının okuyuşu üretmesi şeklinde değil, yazılı kaydın rivâyetle tamamlanması şeklinde anlaşılmalıdır.</w:t>
      </w:r>
    </w:p>
    <w:p>
      <w:r>
        <w:rPr>
          <w:b/>
        </w:rPr>
        <w:t xml:space="preserve">Önceki kapsamlı raporla karşılaştırma: </w:t>
      </w:r>
      <w:r>
        <w:t>Kısmen yeni; önceki raporda resmin özneleştirilmesi genel sorun olarak vardı, 3.10’daki tekrar zinciri burada ayrıca gösterildi.</w:t>
      </w:r>
    </w:p>
    <w:p>
      <w:pPr>
        <w:pStyle w:val="Heading3"/>
        <w:keepNext/>
      </w:pPr>
      <w:r>
        <w:t>B3-AK-13. 3.11 başlık kapsamı ile paragraf ağırlığı arasında dengesizlik var; son iki paragraf çift sonuç oluşturuyor</w:t>
      </w:r>
    </w:p>
    <w:p>
      <w:r>
        <w:rPr>
          <w:b/>
        </w:rPr>
        <w:t xml:space="preserve">Kategori: </w:t>
      </w:r>
      <w:r>
        <w:t>Yapısal / Gereksiz özet</w:t>
      </w:r>
    </w:p>
    <w:p>
      <w:r>
        <w:rPr>
          <w:b/>
        </w:rPr>
        <w:t xml:space="preserve">Önem: </w:t>
      </w:r>
      <w:r>
        <w:t>Orta</w:t>
      </w:r>
    </w:p>
    <w:p>
      <w:r>
        <w:rPr>
          <w:b/>
        </w:rPr>
        <w:t xml:space="preserve">Yer: </w:t>
      </w:r>
      <w:r>
        <w:t>3.11, s.80–83; 351–368</w:t>
      </w:r>
    </w:p>
    <w:p>
      <w:r>
        <w:rPr>
          <w:b/>
        </w:rPr>
        <w:t>Kitaptaki ifade</w:t>
      </w:r>
    </w:p>
    <w:p>
      <w:pPr>
        <w:pStyle w:val="QuoteBlock"/>
      </w:pPr>
      <w:r>
        <w:t>Bütün bu tespitler birlikte değerlendirildiğinde, mushafın aslî resminin korunması meselesinin ilk dönem literatüründe çok boyutlu bir muhafaza anlayışına dayandığı görülmektedir. Bu anlayış çerçevesinde resm-i Osmânî’ye bağlılık, bir taraftan Kur’an metnini tahrif tehlikesine karşı korumakta, diğer taraftan resm ilmi etrafında teşekkül etmiş geleneksel ilmî mirası yaşatmaktadır. Ayrıca Kur’an’da saklı bulunan dil ve lehçe özelliklerini muhafaza etmekte ve nihayet sahih kırâat geleneğinin sürekliliğini temin etmektedir. Dolayısıyla burada söz konusu…</w:t>
      </w:r>
    </w:p>
    <w:p>
      <w:r>
        <w:rPr>
          <w:b/>
        </w:rPr>
        <w:t xml:space="preserve">Sorun: </w:t>
      </w:r>
      <w:r>
        <w:t>“Aslî yazım geleneğinin korunması” başlığı altında uzun bir tahrif/bozulma anlatısı yer alıyor; resm geleneğinin korunma gerekçelerine daha sonra dönülüyor. 367 geniş sentez, 368 ise ikinci kısa sentezdir.</w:t>
      </w:r>
    </w:p>
    <w:p>
      <w:r>
        <w:rPr>
          <w:b/>
        </w:rPr>
        <w:t xml:space="preserve">En uygun editoryal işlem: </w:t>
      </w:r>
      <w:r>
        <w:t>Tarihsel örnekleri kısalt; koruma gerekçelerini merkeze al; 367–368’i tek sonuçta birleştir.</w:t>
      </w:r>
    </w:p>
    <w:p>
      <w:r>
        <w:rPr>
          <w:b/>
        </w:rPr>
        <w:t>Doğrudan kullanılabilecek biçim</w:t>
      </w:r>
    </w:p>
    <w:p>
      <w:pPr>
        <w:pStyle w:val="QuoteBlock"/>
      </w:pPr>
      <w:r>
        <w:t>Bu örnekler, resm-i Osmânî’ye bağlılığın yalnız belirli bir yazı biçimini sürdürme meselesi olarak değil, mushaf yazımında süreklilik ve denetim gerekçeleriyle savunulduğunu göstermektedir. Bununla birlikte tarihsel olaylar, yazım geleneğine ilişkin genel hükmün tek başına kanıtı hâline getirilmemelidir.</w:t>
      </w:r>
    </w:p>
    <w:p>
      <w:r>
        <w:rPr>
          <w:b/>
        </w:rPr>
        <w:t xml:space="preserve">Önceki kapsamlı raporla karşılaştırma: </w:t>
      </w:r>
      <w:r>
        <w:t>Yeni/kısmen yeni.</w:t>
      </w:r>
    </w:p>
    <w:p>
      <w:pPr>
        <w:pStyle w:val="Heading3"/>
        <w:keepNext/>
      </w:pPr>
      <w:r>
        <w:t>B3-AK-14. 3.12’nin son üç paragrafı ardışık sentezler hâline geliyor</w:t>
      </w:r>
    </w:p>
    <w:p>
      <w:r>
        <w:rPr>
          <w:b/>
        </w:rPr>
        <w:t xml:space="preserve">Kategori: </w:t>
      </w:r>
      <w:r>
        <w:t>Gereksiz ara sonuç / Tekrar</w:t>
      </w:r>
    </w:p>
    <w:p>
      <w:r>
        <w:rPr>
          <w:b/>
        </w:rPr>
        <w:t xml:space="preserve">Önem: </w:t>
      </w:r>
      <w:r>
        <w:t>Yüksek</w:t>
      </w:r>
    </w:p>
    <w:p>
      <w:r>
        <w:rPr>
          <w:b/>
        </w:rPr>
        <w:t xml:space="preserve">Yer: </w:t>
      </w:r>
      <w:r>
        <w:t>3.12, s.83–86; 375–377</w:t>
      </w:r>
    </w:p>
    <w:p>
      <w:r>
        <w:rPr>
          <w:b/>
        </w:rPr>
        <w:t>Kitaptaki ifade</w:t>
      </w:r>
    </w:p>
    <w:p>
      <w:pPr>
        <w:pStyle w:val="QuoteBlock"/>
      </w:pPr>
      <w:r>
        <w:t>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değil,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w:t>
      </w:r>
    </w:p>
    <w:p>
      <w:r>
        <w:rPr>
          <w:b/>
        </w:rPr>
        <w:t xml:space="preserve">Sorun: </w:t>
      </w:r>
      <w:r>
        <w:t>375 “yazı birliği–metin güvenliği”, 376 “ortak hafıza”, 377 “Bizce...” ile üçüncü kez aynı ümmet birliği sonucunu kuruyor. Bölümün kapanışı uzadıkça Dördüncü Bölüme geçiş gecikiyor.</w:t>
      </w:r>
    </w:p>
    <w:p>
      <w:r>
        <w:rPr>
          <w:b/>
        </w:rPr>
        <w:t xml:space="preserve">En uygun editoryal işlem: </w:t>
      </w:r>
      <w:r>
        <w:t>Üç paragrafı tek sentez ve tek bölüm köprüsünde birleştir.</w:t>
      </w:r>
    </w:p>
    <w:p>
      <w:r>
        <w:rPr>
          <w:b/>
        </w:rPr>
        <w:t>Doğrudan kullanılabilecek biçim</w:t>
      </w:r>
    </w:p>
    <w:p>
      <w:pPr>
        <w:pStyle w:val="QuoteBlock"/>
      </w:pPr>
      <w:r>
        <w:t>Resm-i Osmânî’ye bağlılık, bazı müelliflerce ortak mushaf hafızasının ve yazım sürekliliğinin unsurlarından biri olarak değerlendirilmiştir. Bu normatif ve toplumsal gerekçelerden sonra, kitabın ana sorusu açısından belirleyici olan husus resm verilerinin kırâat vecihlerinin rivâyet ve değerlendirilmesinde nasıl kullanıldığıdır.</w:t>
      </w:r>
    </w:p>
    <w:p>
      <w:r>
        <w:rPr>
          <w:b/>
        </w:rPr>
        <w:t xml:space="preserve">Önceki kapsamlı raporla karşılaştırma: </w:t>
      </w:r>
      <w:r>
        <w:t>Yeni.</w:t>
      </w:r>
    </w:p>
    <w:p>
      <w:pPr>
        <w:pStyle w:val="Heading3"/>
        <w:keepNext/>
      </w:pPr>
      <w:r>
        <w:t>B3-AK-15. Üçüncü Bölümden Dördüncü Bölüme ana probleme dönüş açıkça kurulmamış</w:t>
      </w:r>
    </w:p>
    <w:p>
      <w:r>
        <w:rPr>
          <w:b/>
        </w:rPr>
        <w:t xml:space="preserve">Kategori: </w:t>
      </w:r>
      <w:r>
        <w:t>Bölüm geçişi</w:t>
      </w:r>
    </w:p>
    <w:p>
      <w:r>
        <w:rPr>
          <w:b/>
        </w:rPr>
        <w:t xml:space="preserve">Önem: </w:t>
      </w:r>
      <w:r>
        <w:t>Yüksek</w:t>
      </w:r>
    </w:p>
    <w:p>
      <w:r>
        <w:rPr>
          <w:b/>
        </w:rPr>
        <w:t xml:space="preserve">Yer: </w:t>
      </w:r>
      <w:r>
        <w:t>3.12 sonu → 4.1</w:t>
      </w:r>
    </w:p>
    <w:p>
      <w:r>
        <w:rPr>
          <w:b/>
        </w:rPr>
        <w:t>Kitaptaki ifade</w:t>
      </w:r>
    </w:p>
    <w:p>
      <w:pPr>
        <w:pStyle w:val="QuoteBlock"/>
      </w:pPr>
      <w:r>
        <w:t>Önceki paragraf: “Resm-i Osmânî’ye bağlılık, bu bakış açısına göre, yalnızca mushafın ilkyazım biçimini koruma iradesiyle açıklanamaz. Bunun yanında, ümmetin Kur’an etrafında oluşan ortak hattını, müşterek hafızasını ve birlik düşüncesini belirgin kılan bir unsur olarak da anlam kazanmaktadır. Bu sebeple mushaf yazımında, farklılaşma veya ikili…”</w:t>
        <w:br/>
        <w:t>Sonraki paragraf: “Kırâat vecihlerinin naklinde aslî dayanak, yazılı metinden önce telakki ve müşâfehedir. Zira kırâat, sonraki neslin önceki nesilden aldığı ve uygulayarak sürdürdüğü ittiba edilen bir sünnet olarak anlaşılmıştır. Bu bağlamda Zeyd b. Sâbit’ten ve başkalarından nakledildiğine göre “Kırâat sünnettir.” sözü ile Ebû Amr b.…”</w:t>
      </w:r>
    </w:p>
    <w:p>
      <w:r>
        <w:rPr>
          <w:b/>
        </w:rPr>
        <w:t xml:space="preserve">Sorun: </w:t>
      </w:r>
      <w:r>
        <w:t>Üçüncü bölüm birlik ve ortak hafıza gibi geniş normatif temalarla biter; dördüncü bölüm birden “kırâat vecihlerinin naklinde aslî dayanak telakki ve müşâfehedir” diye teknik merkeze döner. Geçiş doğru ama görünür değildir.</w:t>
      </w:r>
    </w:p>
    <w:p>
      <w:r>
        <w:rPr>
          <w:b/>
        </w:rPr>
        <w:t xml:space="preserve">En uygun editoryal işlem: </w:t>
      </w:r>
      <w:r>
        <w:t>3.12’nin son cümlesini Dördüncü Bölümün uygulama sorusuna bağla.</w:t>
      </w:r>
    </w:p>
    <w:p>
      <w:r>
        <w:rPr>
          <w:b/>
        </w:rPr>
        <w:t>Doğrudan kullanılabilecek biçim</w:t>
      </w:r>
    </w:p>
    <w:p>
      <w:pPr>
        <w:pStyle w:val="QuoteBlock"/>
      </w:pPr>
      <w:r>
        <w:t>Bu değerlendirmeler resm-i Osmânî’ye bağlılığın farklı gerekçelerini göstermektedir. Bunun kırâat ilmi bakımından somut değeri ise, resm verilerinin rivâyetle sabit okuyuşların tespiti, sınırlandırılması ve değerlendirilmesinde nasıl kullanıldığının incelenmesiyle belirginleşir.</w:t>
      </w:r>
    </w:p>
    <w:p>
      <w:r>
        <w:rPr>
          <w:b/>
        </w:rPr>
        <w:t xml:space="preserve">Önceki kapsamlı raporla karşılaştırma: </w:t>
      </w:r>
      <w:r>
        <w:t>Yeni.</w:t>
      </w:r>
    </w:p>
    <w:p>
      <w:pPr>
        <w:pStyle w:val="Heading1"/>
        <w:keepNext/>
      </w:pPr>
      <w:r>
        <w:t>8. Dördüncü Bölüm</w:t>
      </w:r>
    </w:p>
    <w:p>
      <w:pPr>
        <w:pStyle w:val="Heading3"/>
        <w:keepNext/>
      </w:pPr>
      <w:r>
        <w:t>B4-AK-01. 4.1 aynı ana tezi art arda birkaç paragrafta yeniden kuruyor</w:t>
      </w:r>
    </w:p>
    <w:p>
      <w:r>
        <w:rPr>
          <w:b/>
        </w:rPr>
        <w:t xml:space="preserve">Kategori: </w:t>
      </w:r>
      <w:r>
        <w:t>Tekrar / Formülaik anlatım</w:t>
      </w:r>
    </w:p>
    <w:p>
      <w:r>
        <w:rPr>
          <w:b/>
        </w:rPr>
        <w:t xml:space="preserve">Önem: </w:t>
      </w:r>
      <w:r>
        <w:t>Yüksek</w:t>
      </w:r>
    </w:p>
    <w:p>
      <w:r>
        <w:rPr>
          <w:b/>
        </w:rPr>
        <w:t xml:space="preserve">Yer: </w:t>
      </w:r>
      <w:r>
        <w:t>4.1, 384–393</w:t>
      </w:r>
    </w:p>
    <w:p>
      <w:r>
        <w:rPr>
          <w:b/>
        </w:rPr>
        <w:t>Kitaptaki ifade</w:t>
      </w:r>
    </w:p>
    <w:p>
      <w:pPr>
        <w:pStyle w:val="QuoteBlock"/>
      </w:pPr>
      <w:r>
        <w:t>Kırâat vecihlerinin naklinde aslî dayanak, yazılı metinden önce telakki ve müşâfehedir. Zira kırâat, sonraki neslin önceki nesilden aldığı ve uygulayarak sürdürdüğü ittiba edilen bir sünnet olarak anlaşılmıştır. Bu bağlamda Zeyd b. Sâbit’ten ve başkalarından nakledildiğine göre “Kırâat sünnettir.” sözü ile Ebû Amr b. el-A’lâ’nın (ö. 154/771) kırâat hususundaki yöntemini anlatırken, “Allah’a yemin ederim ki, okuduğum hiçbir harfi, sahih bir rivâyete dayanmaksızın okumadım.” ifadesi, bu anlayışı açıkça ortaya koymaktadır. Nitekim Kastallânî’ye göre de…</w:t>
      </w:r>
    </w:p>
    <w:p>
      <w:r>
        <w:rPr>
          <w:b/>
        </w:rPr>
        <w:t xml:space="preserve">Sorun: </w:t>
      </w:r>
      <w:r>
        <w:t>384 sözlü aktarımın aslî olduğunu, 385 resmin sınırlandırıcı rolünü, 387 benzer ölçü ilişkisini, 391 ve 393 yeniden “resm kaynak değil ölçüdür” fikrini kuruyor. Ana tez gerekli, fakat her örneğin sonunda yeniden söylenmesi bölümün uygulama gücünü azaltıyor.</w:t>
      </w:r>
    </w:p>
    <w:p>
      <w:r>
        <w:rPr>
          <w:b/>
        </w:rPr>
        <w:t xml:space="preserve">En uygun editoryal işlem: </w:t>
      </w:r>
      <w:r>
        <w:t>384’te ana ilkeyi bir kez açık kur; sonraki paragrafları somut işlevlere ayır: yazılı eşik, bölgesel mushaf–mukrî ilişkisi, sınırlandırma, sentez.</w:t>
      </w:r>
    </w:p>
    <w:p>
      <w:r>
        <w:rPr>
          <w:b/>
        </w:rPr>
        <w:t>Doğrudan kullanılabilecek biçim</w:t>
      </w:r>
    </w:p>
    <w:p>
      <w:pPr>
        <w:pStyle w:val="QuoteBlock"/>
      </w:pPr>
      <w:r>
        <w:t>Kırâat vecihlerinin naklinde aslî dayanak telakki, müşâfehe, edâ ve isnaddır. Resm-i Osmânî bu rivâyet düzeninin yerine geçmez; rivâyetle gelen okuyuşların ortak mushaf yazısıyla bağdaşma sınırını belirleyen ölçülerden biri olarak işlev görür. İzleyen örnekler bu işlevin tespit ve tahdit düzeyindeki kullanımını göstermektedir.</w:t>
      </w:r>
    </w:p>
    <w:p>
      <w:r>
        <w:rPr>
          <w:b/>
        </w:rPr>
        <w:t xml:space="preserve">Önceki kapsamlı raporla karşılaştırma: </w:t>
      </w:r>
      <w:r>
        <w:t>Kısmen yeni: önceki rapor 4.1’de resmin özneleştirilmesini bulmuştu; ana tez tekrarının yoğunluğu burada ayrıca değerlendirildi.</w:t>
      </w:r>
    </w:p>
    <w:p>
      <w:pPr>
        <w:pStyle w:val="Heading3"/>
        <w:keepNext/>
      </w:pPr>
      <w:r>
        <w:t>B4-AK-02. 4.1’den 4.2’ye sahâbe mushaflarına geçiş hazırlanabilir</w:t>
      </w:r>
    </w:p>
    <w:p>
      <w:r>
        <w:rPr>
          <w:b/>
        </w:rPr>
        <w:t xml:space="preserve">Kategori: </w:t>
      </w:r>
      <w:r>
        <w:t>Alt başlık geçişi</w:t>
      </w:r>
    </w:p>
    <w:p>
      <w:r>
        <w:rPr>
          <w:b/>
        </w:rPr>
        <w:t xml:space="preserve">Önem: </w:t>
      </w:r>
      <w:r>
        <w:t>Orta</w:t>
      </w:r>
    </w:p>
    <w:p>
      <w:r>
        <w:rPr>
          <w:b/>
        </w:rPr>
        <w:t xml:space="preserve">Yer: </w:t>
      </w:r>
      <w:r>
        <w:t>4.1 sonu → 4.2</w:t>
      </w:r>
    </w:p>
    <w:p>
      <w:r>
        <w:rPr>
          <w:b/>
        </w:rPr>
        <w:t>Kitaptaki ifade</w:t>
      </w:r>
    </w:p>
    <w:p>
      <w:pPr>
        <w:pStyle w:val="QuoteBlock"/>
      </w:pPr>
      <w:r>
        <w:t>Bütün bunlar birlikte düşünüldüğünde Osmânî resmin kırâat vecihlerinin rivâyet ve naklinde üç yönlü bir rol üstlendiği söylenebilir. İlk olarak, sahih rivâyetleri müşâfehe ve isnad yoluyla korunan bir alan içinde yazılı olarak sabitlemektedir. İkinci olarak, son arza ve tevâtür esasına göre mensuh, âhâd veya Kur’anlığı kesinleşmemiş unsurları dışarıda bırakmaktadır. Üçüncü olarak da İslâm beldelerinde kırâat rivâyetinin seyrini mushaf ve mukrî birlikteliği üzerinden zapt altına almaktadır. Bu çerçevede, resm-i Osmânî'nin kırâat tarihi, rivâyet disiplini…</w:t>
      </w:r>
    </w:p>
    <w:p>
      <w:r>
        <w:rPr>
          <w:b/>
        </w:rPr>
        <w:t xml:space="preserve">Sorun: </w:t>
      </w:r>
      <w:r>
        <w:t>4.1 genel resm sınırını sonuçlandırıyor; 4.2 sahâbe mushaflarına doğrudan geçiyor. Sahâbe mushaflarının niçin bir sonraki test alanı olduğu açıkça söylenirse bölüm mimarisi güçlenir.</w:t>
      </w:r>
    </w:p>
    <w:p>
      <w:r>
        <w:rPr>
          <w:b/>
        </w:rPr>
        <w:t xml:space="preserve">En uygun editoryal işlem: </w:t>
      </w:r>
      <w:r>
        <w:t>4.1’in son cümlesini sahâbe mushaflarının tarihsel tanıklığı ile ortak normatif otorite ayrımına bağla.</w:t>
      </w:r>
    </w:p>
    <w:p>
      <w:r>
        <w:rPr>
          <w:b/>
        </w:rPr>
        <w:t>Doğrudan kullanılabilecek biçim</w:t>
      </w:r>
    </w:p>
    <w:p>
      <w:pPr>
        <w:pStyle w:val="QuoteBlock"/>
      </w:pPr>
      <w:r>
        <w:t>Resmin sınırlandırıcı işlevi, Osmânî mushaflarla bağdaşmayan veya farklı yazılı tanıklıklarda aktarılan okuyuşlar söz konusu olduğunda daha açık biçimde görülür. Bu nedenle bir sonraki başlıkta sahâbe mushaflarının tarihsel değeri ile Osmânî mushafların ortak otoritesi arasındaki ilişki ele alınacaktır.</w:t>
      </w:r>
    </w:p>
    <w:p>
      <w:r>
        <w:rPr>
          <w:b/>
        </w:rPr>
        <w:t xml:space="preserve">Önceki kapsamlı raporla karşılaştırma: </w:t>
      </w:r>
      <w:r>
        <w:t>Yeni.</w:t>
      </w:r>
    </w:p>
    <w:p>
      <w:pPr>
        <w:pStyle w:val="Heading3"/>
        <w:keepNext/>
      </w:pPr>
      <w:r>
        <w:t>B4-AK-03. 4.2’de “tarihsel tanıklık var, normatif otorite yok” ayrımı birkaç kez yeniden kuruluyor</w:t>
      </w:r>
    </w:p>
    <w:p>
      <w:r>
        <w:rPr>
          <w:b/>
        </w:rPr>
        <w:t xml:space="preserve">Kategori: </w:t>
      </w:r>
      <w:r>
        <w:t>Tekrar</w:t>
      </w:r>
    </w:p>
    <w:p>
      <w:r>
        <w:rPr>
          <w:b/>
        </w:rPr>
        <w:t xml:space="preserve">Önem: </w:t>
      </w:r>
      <w:r>
        <w:t>Orta</w:t>
      </w:r>
    </w:p>
    <w:p>
      <w:r>
        <w:rPr>
          <w:b/>
        </w:rPr>
        <w:t xml:space="preserve">Yer: </w:t>
      </w:r>
      <w:r>
        <w:t>4.2, 395–401</w:t>
      </w:r>
    </w:p>
    <w:p>
      <w:r>
        <w:rPr>
          <w:b/>
        </w:rPr>
        <w:t>Kitaptaki ifade</w:t>
      </w:r>
    </w:p>
    <w:p>
      <w:pPr>
        <w:pStyle w:val="QuoteBlock"/>
      </w:pPr>
      <w:r>
        <w:t>Buradan hareketle denilebilir ki resm-i Osmânî’nin sahâbe mushaflarındaki kırâat rivâyetleri karşısındaki tutumu iki yönlüdür. Bu tutum, bir taraftan bu mushaflarda yer alan rivâyet birikiminin tarihî gerçekliğini teslim etmekte, onları Kur’an’ın nüzûl ve telakki sürecinin önemli tanıkları arasında görmektedir. Diğer taraftan bu rivâyetlerin tamamını bağlayıcı mushaf metninin parçası saymayarak, son arza ve icmâ ölçüsüne göre müşterek mushaf alanını sınırlandırmaktadır. Bu yönüyle Osmânî resm, sahâbe mushaflarından gelen okuyuş çeşitliliğini nihai…</w:t>
      </w:r>
    </w:p>
    <w:p>
      <w:r>
        <w:rPr>
          <w:b/>
        </w:rPr>
        <w:t xml:space="preserve">Sorun: </w:t>
      </w:r>
      <w:r>
        <w:t>Başlığın temel ayrımı doğru olsa da 395, 397, 399, 400 ve 401 aynı iki yönlü sonucu farklı örnekler ardından yeniden söylüyor. Örneklerin analitik katkısı kapanış cümlelerinin tekrarı içinde kayboluyor.</w:t>
      </w:r>
    </w:p>
    <w:p>
      <w:r>
        <w:rPr>
          <w:b/>
        </w:rPr>
        <w:t xml:space="preserve">En uygun editoryal işlem: </w:t>
      </w:r>
      <w:r>
        <w:t>Temel ayrımı girişte bir kez kur; her örnekte yalnız örneğin bu ayrımın hangi yönünü gösterdiğini belirt.</w:t>
      </w:r>
    </w:p>
    <w:p>
      <w:r>
        <w:rPr>
          <w:b/>
        </w:rPr>
        <w:t>Doğrudan kullanılabilecek biçim</w:t>
      </w:r>
    </w:p>
    <w:p>
      <w:pPr>
        <w:pStyle w:val="QuoteBlock"/>
      </w:pPr>
      <w:r>
        <w:t>Sahâbe mushafları erken aktarım ortamına ilişkin tarihsel veriler sunar; ancak bu tanıklık onların genel tilâvet ve mushaf yazımı bakımından Osmânî mushaflarla aynı normatif konumda olduğu anlamına gelmez. Aşağıdaki örnekler bu iki düzeyin kaynaklarda nasıl ayrıldığını göstermektedir.</w:t>
      </w:r>
    </w:p>
    <w:p>
      <w:r>
        <w:rPr>
          <w:b/>
        </w:rPr>
        <w:t xml:space="preserve">Önceki kapsamlı raporla karşılaştırma: </w:t>
      </w:r>
      <w:r>
        <w:t>Yeni.</w:t>
      </w:r>
    </w:p>
    <w:p>
      <w:pPr>
        <w:pStyle w:val="Heading3"/>
        <w:keepNext/>
      </w:pPr>
      <w:r>
        <w:t>B4-AK-04. 4.2’de 401 ve 406 iki ayrı genel sonuç oluşturuyor</w:t>
      </w:r>
    </w:p>
    <w:p>
      <w:r>
        <w:rPr>
          <w:b/>
        </w:rPr>
        <w:t xml:space="preserve">Kategori: </w:t>
      </w:r>
      <w:r>
        <w:t>Gereksiz ara sonuç / Aşırı sonuç</w:t>
      </w:r>
    </w:p>
    <w:p>
      <w:r>
        <w:rPr>
          <w:b/>
        </w:rPr>
        <w:t xml:space="preserve">Önem: </w:t>
      </w:r>
      <w:r>
        <w:t>Yüksek</w:t>
      </w:r>
    </w:p>
    <w:p>
      <w:r>
        <w:rPr>
          <w:b/>
        </w:rPr>
        <w:t xml:space="preserve">Yer: </w:t>
      </w:r>
      <w:r>
        <w:t>4.2; 401 ve 406</w:t>
      </w:r>
    </w:p>
    <w:p>
      <w:r>
        <w:rPr>
          <w:b/>
        </w:rPr>
        <w:t>Kitaptaki ifade</w:t>
      </w:r>
    </w:p>
    <w:p>
      <w:pPr>
        <w:pStyle w:val="QuoteBlock"/>
      </w:pPr>
      <w:r>
        <w:t>Sonuç olarak bu veriler birlikte değerlendirildiğinde, sahâbe mushaflarının yakılması meselesinin, Kur’an tarihindeki en önemli birleştirici adımlardan biri olduğu görülmektedir. Burada amaç, farklı şahsi nüshaları ortadan kaldırmak suretiyle metni daraltmak amacı taşımaktan çok, ümmeti tek bir mushaf hattında, tek bir ortak metin otoritesi etrafında toplamak ve okuyuş alanını bu müşterek zemine göre yeniden düzenlemektir. Bu sebeple resm-i Osmânî, ümmetin müşterek mushaf bilincini tesis eden, ihtilafı azaltan ve metinsel otoriteyi sahâbe icmâı ile…</w:t>
      </w:r>
    </w:p>
    <w:p>
      <w:r>
        <w:rPr>
          <w:b/>
        </w:rPr>
        <w:t xml:space="preserve">Sorun: </w:t>
      </w:r>
      <w:r>
        <w:t>401 “iki yönlü tutum” diye genel sonuç verir; ardından yakma/dolaşımdan çıkarma anlatısı gelir ve 406 “Kur’an tarihindeki en önemli birleştirici adımlardan biri” diye ikinci, daha güçlü sonuç kurar. İkinci formül hem tekrarlı hem kanıt düzeyinden daha retorik.</w:t>
      </w:r>
    </w:p>
    <w:p>
      <w:r>
        <w:rPr>
          <w:b/>
        </w:rPr>
        <w:t xml:space="preserve">En uygun editoryal işlem: </w:t>
      </w:r>
      <w:r>
        <w:t>401’i ara geçişe dönüştür; 406’yı tarihsel tanıklık/normatif otorite ayrımını sonuçlandıran ölçülü cümleyle değiştir.</w:t>
      </w:r>
    </w:p>
    <w:p>
      <w:r>
        <w:rPr>
          <w:b/>
        </w:rPr>
        <w:t>Doğrudan kullanılabilecek biçim</w:t>
      </w:r>
    </w:p>
    <w:p>
      <w:pPr>
        <w:pStyle w:val="QuoteBlock"/>
      </w:pPr>
      <w:r>
        <w:t>Sahâbe mushaflarının dolaşımdan çıkarılmasına ilişkin rivâyetler, Osmânî mushafların ortak başvuru metni hâline gelme sürecinin bir parçası olarak ele alınmalıdır. Bu süreç, sahâbe mushaflarının tarihsel tanıklık değeri ile genel mushaf otoritesinin birbirinden ayrılmasını açıklamaktadır.</w:t>
      </w:r>
    </w:p>
    <w:p>
      <w:r>
        <w:rPr>
          <w:b/>
        </w:rPr>
        <w:t xml:space="preserve">Önceki kapsamlı raporla karşılaştırma: </w:t>
      </w:r>
      <w:r>
        <w:t>Yeni/kısmen yeni.</w:t>
      </w:r>
    </w:p>
    <w:p>
      <w:pPr>
        <w:pStyle w:val="Heading3"/>
        <w:keepNext/>
      </w:pPr>
      <w:r>
        <w:t>B4-AK-05. 4.3 aynı bağlayıcılık sonucunu her örnekten sonra yeniden kuruyor</w:t>
      </w:r>
    </w:p>
    <w:p>
      <w:r>
        <w:rPr>
          <w:b/>
        </w:rPr>
        <w:t xml:space="preserve">Kategori: </w:t>
      </w:r>
      <w:r>
        <w:t>Tekrar / Gereksiz özet</w:t>
      </w:r>
    </w:p>
    <w:p>
      <w:r>
        <w:rPr>
          <w:b/>
        </w:rPr>
        <w:t xml:space="preserve">Önem: </w:t>
      </w:r>
      <w:r>
        <w:t>Orta</w:t>
      </w:r>
    </w:p>
    <w:p>
      <w:r>
        <w:rPr>
          <w:b/>
        </w:rPr>
        <w:t xml:space="preserve">Yer: </w:t>
      </w:r>
      <w:r>
        <w:t>4.3, 408–415</w:t>
      </w:r>
    </w:p>
    <w:p>
      <w:r>
        <w:rPr>
          <w:b/>
        </w:rPr>
        <w:t>Kitaptaki ifade</w:t>
      </w:r>
    </w:p>
    <w:p>
      <w:pPr>
        <w:pStyle w:val="QuoteBlock"/>
      </w:pPr>
      <w:r>
        <w:t>Bütün bu veriler ışığında, resm-i Osmânî’ye aykırı kırâat vecihlerinin mensuh ve şâz sayılması meselesinin, mushaf hattının kırâat ilmindeki merkezî konumunu gösterdiği anlaşılmaktadır. Burada üç temel sonuç dikkat çekmektedir.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w:t>
      </w:r>
    </w:p>
    <w:p>
      <w:r>
        <w:rPr>
          <w:b/>
        </w:rPr>
        <w:t xml:space="preserve">Sorun: </w:t>
      </w:r>
      <w:r>
        <w:t>Başlıkta resme aykırı okuyuşlar, şâzlık ve kabul sınırı açıklanırken her paragraf sonunda “resmin merkezî/belirleyici konumu” yeniden vurgulanıyor. 415 ayrıca üç sonuç sayarak bütün bölümü tekrar özetliyor.</w:t>
      </w:r>
    </w:p>
    <w:p>
      <w:r>
        <w:rPr>
          <w:b/>
        </w:rPr>
        <w:t xml:space="preserve">En uygun editoryal işlem: </w:t>
      </w:r>
      <w:r>
        <w:t>Örnekleri koru; son cümle tekrarlarını azalt; 415’i kısa ve ihtiyatlı senteze dönüştür.</w:t>
      </w:r>
    </w:p>
    <w:p>
      <w:r>
        <w:rPr>
          <w:b/>
        </w:rPr>
        <w:t>Doğrudan kullanılabilecek biçim</w:t>
      </w:r>
    </w:p>
    <w:p>
      <w:pPr>
        <w:pStyle w:val="QuoteBlock"/>
      </w:pPr>
      <w:r>
        <w:t>Bu örnekler, resm-i Osmânî’ye uygunluğun kabul değerlendirmesinde diğer ölçülerle birlikte kullanılan sınırlandırıcı bir unsur olduğunu göstermektedir. Resme aykırılık ile isnad, yaygınlık ve tilâvet kabulü aynı kategoriye indirgenmemelidir.</w:t>
      </w:r>
    </w:p>
    <w:p>
      <w:r>
        <w:rPr>
          <w:b/>
        </w:rPr>
        <w:t xml:space="preserve">Önceki kapsamlı raporla karşılaştırma: </w:t>
      </w:r>
      <w:r>
        <w:t>Yeni.</w:t>
      </w:r>
    </w:p>
    <w:p>
      <w:pPr>
        <w:pStyle w:val="Heading3"/>
        <w:keepNext/>
      </w:pPr>
      <w:r>
        <w:t>B4-AK-06. 4.3’ten 4.4’e “kabul”den “tercih/tevcîh/vakıf”a geçiş daha açık kurulmalı</w:t>
      </w:r>
    </w:p>
    <w:p>
      <w:r>
        <w:rPr>
          <w:b/>
        </w:rPr>
        <w:t xml:space="preserve">Kategori: </w:t>
      </w:r>
      <w:r>
        <w:t>Alt başlık geçişi</w:t>
      </w:r>
    </w:p>
    <w:p>
      <w:r>
        <w:rPr>
          <w:b/>
        </w:rPr>
        <w:t xml:space="preserve">Önem: </w:t>
      </w:r>
      <w:r>
        <w:t>Orta</w:t>
      </w:r>
    </w:p>
    <w:p>
      <w:r>
        <w:rPr>
          <w:b/>
        </w:rPr>
        <w:t xml:space="preserve">Yer: </w:t>
      </w:r>
      <w:r>
        <w:t>4.3 sonu → 4.4</w:t>
      </w:r>
    </w:p>
    <w:p>
      <w:r>
        <w:rPr>
          <w:b/>
        </w:rPr>
        <w:t>Kitaptaki ifade</w:t>
      </w:r>
    </w:p>
    <w:p>
      <w:pPr>
        <w:pStyle w:val="QuoteBlock"/>
      </w:pPr>
      <w:r>
        <w:t>Önceki paragraf: “Bütün bu veriler ışığında, resm-i Osmânî’ye aykırı kırâat vecihlerinin mensuh ve şâz sayılması meselesinin, mushaf hattının kırâat ilmindeki merkezî konumunu gösterdiği anlaşılmaktadır. Burada üç temel sonuç dikkat çekmektedir. Birincisi, mushaf hattına aykırı kalan vecihlerin bir kısmı, geçmişte ruhsat kapsamında bulunmuş olsa…”</w:t>
        <w:br/>
        <w:t>Sonraki paragraf: “Osmânî mushafların resmi, kırâat ilminde zamanla yalnız metni muhafaza eden bir yazı zemini olarak kalmamış; kırâatlerin tercih edilmesi, yönlendirilmesi ve vakıf uygulamalarının belirlenmesi bakımından da başvurulan temel ölçülerden biri hâline gelmiştir. Nitekim kırâat rivâyetlerinin sahih, makbul ve bağlayıcı sayılması…”</w:t>
      </w:r>
    </w:p>
    <w:p>
      <w:r>
        <w:rPr>
          <w:b/>
        </w:rPr>
        <w:t xml:space="preserve">Sorun: </w:t>
      </w:r>
      <w:r>
        <w:t>417 “yalnız ... kalmamış” formülüyle yeni alanları açıyor, fakat kabul/tahdit ile kabul içindeki tercih ve yorum işlemlerinin farklı düzeyler olduğu açıkça ayrılmıyor.</w:t>
      </w:r>
    </w:p>
    <w:p>
      <w:r>
        <w:rPr>
          <w:b/>
        </w:rPr>
        <w:t xml:space="preserve">En uygun editoryal işlem: </w:t>
      </w:r>
      <w:r>
        <w:t>4.4’ü “kabul eşiğini geçen rivâyetler içinde resm verisinin kullanımı” şeklinde başlat.</w:t>
      </w:r>
    </w:p>
    <w:p>
      <w:r>
        <w:rPr>
          <w:b/>
        </w:rPr>
        <w:t>Doğrudan kullanılabilecek biçim</w:t>
      </w:r>
    </w:p>
    <w:p>
      <w:pPr>
        <w:pStyle w:val="QuoteBlock"/>
      </w:pPr>
      <w:r>
        <w:t>Resme uygunluğun kabul sınırındaki rolü ile sahih kabul edilen okuyuşlar arasındaki tercih ve tevcîh işlemleri aynı düzey değildir. Bu başlıkta resm verilerinin, kabul eşiğinden bağımsızlaştırılmadan, tercih, tevcîh ve bazı vakıf uygulamalarında nasıl kullanıldığı incelenecektir.</w:t>
      </w:r>
    </w:p>
    <w:p>
      <w:r>
        <w:rPr>
          <w:b/>
        </w:rPr>
        <w:t xml:space="preserve">Önceki kapsamlı raporla karşılaştırma: </w:t>
      </w:r>
      <w:r>
        <w:t>Yeni.</w:t>
      </w:r>
    </w:p>
    <w:p>
      <w:pPr>
        <w:pStyle w:val="Heading3"/>
        <w:keepNext/>
      </w:pPr>
      <w:r>
        <w:t>B4-AK-07. 4.4 tercih, tevcîh ve vakıf arasında iç geçiş işaretleri yetersiz</w:t>
      </w:r>
    </w:p>
    <w:p>
      <w:r>
        <w:rPr>
          <w:b/>
        </w:rPr>
        <w:t xml:space="preserve">Kategori: </w:t>
      </w:r>
      <w:r>
        <w:t>Paragraf gruplama / İç yapı</w:t>
      </w:r>
    </w:p>
    <w:p>
      <w:r>
        <w:rPr>
          <w:b/>
        </w:rPr>
        <w:t xml:space="preserve">Önem: </w:t>
      </w:r>
      <w:r>
        <w:t>Orta</w:t>
      </w:r>
    </w:p>
    <w:p>
      <w:r>
        <w:rPr>
          <w:b/>
        </w:rPr>
        <w:t xml:space="preserve">Yer: </w:t>
      </w:r>
      <w:r>
        <w:t>4.4, 417–429</w:t>
      </w:r>
    </w:p>
    <w:p>
      <w:r>
        <w:rPr>
          <w:b/>
        </w:rPr>
        <w:t>Kitaptaki ifade</w:t>
      </w:r>
    </w:p>
    <w:p>
      <w:pPr>
        <w:pStyle w:val="QuoteBlock"/>
      </w:pPr>
      <w:r>
        <w:t>Osmânî mushafların resmi, kırâat ilminde zamanla yalnız metni muhafaza eden bir yazı zemini olarak kalmamış; kırâatlerin tercih edilmesi, yönlendirilmesi ve vakıf uygulamalarının belirlenmesi bakımından da başvurulan temel ölçülerden biri hâline gelmiştir. Nitekim kırâat rivâyetlerinin sahih, makbul ve bağlayıcı sayılması hususunda mushaf hattına muvafakat nasıl kurucu bir şart olarak görülmüşse, meşhur kırâat imamlarının belli vecihleri tercih etmelerinde, bu tercihleri gerekçelendirmelerinde ve okuyuşun icra tarzını tayin etmelerinde de aynı resmin…</w:t>
      </w:r>
    </w:p>
    <w:p>
      <w:r>
        <w:rPr>
          <w:b/>
        </w:rPr>
        <w:t xml:space="preserve">Sorun: </w:t>
      </w:r>
      <w:r>
        <w:t>Üç farklı işlem aynı alt başlıkta art arda örneklerle veriliyor. Özellikle vakıf kısmına geçildiğinde okuyucu yeni kavramsal düzeye geçtiğini ancak içerikten anlayabiliyor.</w:t>
      </w:r>
    </w:p>
    <w:p>
      <w:r>
        <w:rPr>
          <w:b/>
        </w:rPr>
        <w:t xml:space="preserve">En uygun editoryal işlem: </w:t>
      </w:r>
      <w:r>
        <w:t>Yeni numaralı alt başlık şart değil; üç kısa işaret cümlesiyle iç blokları belirginleştir.</w:t>
      </w:r>
    </w:p>
    <w:p>
      <w:r>
        <w:rPr>
          <w:b/>
        </w:rPr>
        <w:t>Doğrudan kullanılabilecek biçim</w:t>
      </w:r>
    </w:p>
    <w:p>
      <w:pPr>
        <w:pStyle w:val="QuoteBlock"/>
      </w:pPr>
      <w:r>
        <w:t>“Önce tercih bakımından...”; “Resm verisinin ikinci kullanım alanı tevcîhtir...”; “Vakıf uygulamalarında ise mesele farklıdır; burada anlam esaslı vakıf ile resm üzerine vakıf birbirinden ayrılmalıdır.” biçimindeki kısa açılışlar bölümün iç mantığını görünür kılacaktır.</w:t>
      </w:r>
    </w:p>
    <w:p>
      <w:r>
        <w:rPr>
          <w:b/>
        </w:rPr>
        <w:t xml:space="preserve">Önceki kapsamlı raporla karşılaştırma: </w:t>
      </w:r>
      <w:r>
        <w:t>Yeni.</w:t>
      </w:r>
    </w:p>
    <w:p>
      <w:pPr>
        <w:pStyle w:val="Heading3"/>
        <w:keepNext/>
      </w:pPr>
      <w:r>
        <w:t>B4-AK-08. 4.5’te genel hüküm, üçlü tasniften önce sonuç cümlesi gibi kuruluyor</w:t>
      </w:r>
    </w:p>
    <w:p>
      <w:r>
        <w:rPr>
          <w:b/>
        </w:rPr>
        <w:t xml:space="preserve">Kategori: </w:t>
      </w:r>
      <w:r>
        <w:t>Erken sentez / Yapısal</w:t>
      </w:r>
    </w:p>
    <w:p>
      <w:r>
        <w:rPr>
          <w:b/>
        </w:rPr>
        <w:t xml:space="preserve">Önem: </w:t>
      </w:r>
      <w:r>
        <w:t>Yüksek</w:t>
      </w:r>
    </w:p>
    <w:p>
      <w:r>
        <w:rPr>
          <w:b/>
        </w:rPr>
        <w:t xml:space="preserve">Yer: </w:t>
      </w:r>
      <w:r>
        <w:t>4.5, 434 → 435–437</w:t>
      </w:r>
    </w:p>
    <w:p>
      <w:r>
        <w:rPr>
          <w:b/>
        </w:rPr>
        <w:t>Kitaptaki ifade</w:t>
      </w:r>
    </w:p>
    <w:p>
      <w:pPr>
        <w:pStyle w:val="QuoteBlock"/>
      </w:pPr>
      <w:r>
        <w:t>Bu çerçevede denilebilir ki Osmânî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maddi zemin üzerinde okunup aktarıldığını göstermektedir. Bu sebeple resm rivâyetleri, kırâat ilminin kenarında duran yardımcı bir alan sayılmamalı; kırâat…</w:t>
      </w:r>
    </w:p>
    <w:p>
      <w:r>
        <w:rPr>
          <w:b/>
        </w:rPr>
        <w:t xml:space="preserve">Sorun: </w:t>
      </w:r>
      <w:r>
        <w:t>434 “Bu çerçevede denilebilir ki...” diyerek resm rivâyetlerini kurucu işlevle sonuçlandırıyor; hemen ardından 435–437 üç tür ilişkiyi açıklıyor. Sonuç, delil ve tasniften önce geliyor.</w:t>
      </w:r>
    </w:p>
    <w:p>
      <w:r>
        <w:rPr>
          <w:b/>
        </w:rPr>
        <w:t xml:space="preserve">En uygun editoryal işlem: </w:t>
      </w:r>
      <w:r>
        <w:t>434’ü sonuç değil tasnif girişine dönüştür.</w:t>
      </w:r>
    </w:p>
    <w:p>
      <w:r>
        <w:rPr>
          <w:b/>
        </w:rPr>
        <w:t>Doğrudan kullanılabilecek biçim</w:t>
      </w:r>
    </w:p>
    <w:p>
      <w:pPr>
        <w:pStyle w:val="QuoteBlock"/>
      </w:pPr>
      <w:r>
        <w:t>Osmânî mushafların hecâsına dair rivâyetlerin kırâat ihtilaflarıyla ilişkisi üç farklı durumda incelenebilir: yazım farkının kırâat farkı doğurmadığı örnekler; farklı mushaflarda farklı kırâat vecihlerinin yazıyla karşılandığı örnekler; aynı yazımın birden fazla okuyuşla ihtimal yoluyla bağdaştığı örnekler.</w:t>
      </w:r>
    </w:p>
    <w:p>
      <w:r>
        <w:rPr>
          <w:b/>
        </w:rPr>
        <w:t xml:space="preserve">Önceki kapsamlı raporla karşılaştırma: </w:t>
      </w:r>
      <w:r>
        <w:t>Yeni.</w:t>
      </w:r>
    </w:p>
    <w:p>
      <w:pPr>
        <w:pStyle w:val="Heading3"/>
        <w:keepNext/>
      </w:pPr>
      <w:r>
        <w:t>B4-AK-09. 4.5 üç örnek türünü verdikten sonra aynı “bilinçli ve işlevsel yapı” sonucuyla fazla geniş kapanıyor</w:t>
      </w:r>
    </w:p>
    <w:p>
      <w:r>
        <w:rPr>
          <w:b/>
        </w:rPr>
        <w:t xml:space="preserve">Kategori: </w:t>
      </w:r>
      <w:r>
        <w:t>Gereksiz özet / Kesinlik</w:t>
      </w:r>
    </w:p>
    <w:p>
      <w:r>
        <w:rPr>
          <w:b/>
        </w:rPr>
        <w:t xml:space="preserve">Önem: </w:t>
      </w:r>
      <w:r>
        <w:t>Orta</w:t>
      </w:r>
    </w:p>
    <w:p>
      <w:r>
        <w:rPr>
          <w:b/>
        </w:rPr>
        <w:t xml:space="preserve">Yer: </w:t>
      </w:r>
      <w:r>
        <w:t>4.5 son paragraf, 438</w:t>
      </w:r>
    </w:p>
    <w:p>
      <w:r>
        <w:rPr>
          <w:b/>
        </w:rPr>
        <w:t>Kitaptaki ifade</w:t>
      </w:r>
    </w:p>
    <w:p>
      <w:pPr>
        <w:pStyle w:val="QuoteBlock"/>
      </w:pPr>
      <w:r>
        <w:t>Bütün bu tasnifler bir arada değerlendirildiğinde, Osmânî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 diğer tarafta farklı kırâat vecihlerini korumak üzere mushaflar arasında dağıtılmış özel yazımlar ve aynı yazı biçimi içinde birden fazla kırâati ihtimal yoluyla taşıyan müşterek yazımlar bulunmaktadır. Bu çerçevede resm-i…</w:t>
      </w:r>
    </w:p>
    <w:p>
      <w:r>
        <w:rPr>
          <w:b/>
        </w:rPr>
        <w:t xml:space="preserve">Sorun: </w:t>
      </w:r>
      <w:r>
        <w:t>Üçlü tasnif zaten bölümün yapısını sağlamaktadır. Son paragraf “son derece bilinçli ve işlevsel” gibi niyet/amaç çağrışımı güçlü bir genellemeyle yeniden özetliyor.</w:t>
      </w:r>
    </w:p>
    <w:p>
      <w:r>
        <w:rPr>
          <w:b/>
        </w:rPr>
        <w:t xml:space="preserve">En uygun editoryal işlem: </w:t>
      </w:r>
      <w:r>
        <w:t>Kapanışı amaç atfetmeden üç tür ilişkinin ortak sınırını gösteren kısa cümleye indir.</w:t>
      </w:r>
    </w:p>
    <w:p>
      <w:r>
        <w:rPr>
          <w:b/>
        </w:rPr>
        <w:t>Doğrudan kullanılabilecek biçim</w:t>
      </w:r>
    </w:p>
    <w:p>
      <w:pPr>
        <w:pStyle w:val="QuoteBlock"/>
      </w:pPr>
      <w:r>
        <w:t>Bu tasnif, mushaflar arasındaki yazım farklılıkları ile kırâat rivâyetleri arasında tek tip bir ilişki bulunmadığını göstermektedir. Bazı örnekler yalnız yazım farklılığı, bazıları ayrı okuyuşların yazılı karşılığı, bazıları ise aynı resmin birden fazla rivâyetle bağdaşması çerçevesinde değerlendirilmelidir.</w:t>
      </w:r>
    </w:p>
    <w:p>
      <w:r>
        <w:rPr>
          <w:b/>
        </w:rPr>
        <w:t xml:space="preserve">Önceki kapsamlı raporla karşılaştırma: </w:t>
      </w:r>
      <w:r>
        <w:t>Yeni/kısmen yeni.</w:t>
      </w:r>
    </w:p>
    <w:p>
      <w:pPr>
        <w:pStyle w:val="Heading3"/>
        <w:keepNext/>
      </w:pPr>
      <w:r>
        <w:t>B4-AK-10. 4.5’ten 4.6’ya erken resm rivâyetlerinden modern neşre zaman sıçraması var</w:t>
      </w:r>
    </w:p>
    <w:p>
      <w:r>
        <w:rPr>
          <w:b/>
        </w:rPr>
        <w:t xml:space="preserve">Kategori: </w:t>
      </w:r>
      <w:r>
        <w:t>Bölüm içi geçiş</w:t>
      </w:r>
    </w:p>
    <w:p>
      <w:r>
        <w:rPr>
          <w:b/>
        </w:rPr>
        <w:t xml:space="preserve">Önem: </w:t>
      </w:r>
      <w:r>
        <w:t>Yüksek</w:t>
      </w:r>
    </w:p>
    <w:p>
      <w:r>
        <w:rPr>
          <w:b/>
        </w:rPr>
        <w:t xml:space="preserve">Yer: </w:t>
      </w:r>
      <w:r>
        <w:t>4.5 sonu → 4.6</w:t>
      </w:r>
    </w:p>
    <w:p>
      <w:r>
        <w:rPr>
          <w:b/>
        </w:rPr>
        <w:t>Kitaptaki ifade</w:t>
      </w:r>
    </w:p>
    <w:p>
      <w:pPr>
        <w:pStyle w:val="QuoteBlock"/>
      </w:pPr>
      <w:r>
        <w:t>Önceki paragraf: “Bütün bu tasnifler bir arada değerlendirildiğinde, Osmânî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br/>
        <w:t>Sonraki paragraf: “Osmânî resme ve onun üzerine bina edilen kaide ile ölçülere bakıldığında, burada asıl maksadın kırâat ile kitâbeti birlikte zapt altına almak olduğu açıkça anlaşılmaktadır. Nitekim Hz. Osman’ın kendi resmine aykırı mushafları yakma ve silme yoluyla ortadan kaldırması, yalnız mevcut farklılığı gidermeye yönelik bir tedbir olarak…”</w:t>
      </w:r>
    </w:p>
    <w:p>
      <w:r>
        <w:rPr>
          <w:b/>
        </w:rPr>
        <w:t xml:space="preserve">Sorun: </w:t>
      </w:r>
      <w:r>
        <w:t>4.5 şehir mushafları ve resm rivâyetleriyle biter; 4.6 birden “asıl maksat” üzerinden modern mushaf neşrine geçer. Klasik resm birikiminin istinsah ve neşir geleneğine nasıl taşındığını açıklayan bağ eksik.</w:t>
      </w:r>
    </w:p>
    <w:p>
      <w:r>
        <w:rPr>
          <w:b/>
        </w:rPr>
        <w:t xml:space="preserve">En uygun editoryal işlem: </w:t>
      </w:r>
      <w:r>
        <w:t>4.6’nın açılışını tarihsel süreklilik üzerinden kur; “asıl maksat” gibi niyet dilini çıkart.</w:t>
      </w:r>
    </w:p>
    <w:p>
      <w:r>
        <w:rPr>
          <w:b/>
        </w:rPr>
        <w:t>Doğrudan kullanılabilecek biçim</w:t>
      </w:r>
    </w:p>
    <w:p>
      <w:pPr>
        <w:pStyle w:val="QuoteBlock"/>
      </w:pPr>
      <w:r>
        <w:t>Şehir mushaflarına ve yazım özelliklerine dair resm rivâyetlerinin sonraki dönemdeki önemli işlevlerinden biri, mushaf istinsahında başvurulan yazım geleneğini beslemesidir. Bu birikim, modern basılı mushafların hazırlanmasında da klasik resm kaynaklarına başvurulmasının tarihsel zeminini oluşturmuştur.</w:t>
      </w:r>
    </w:p>
    <w:p>
      <w:r>
        <w:rPr>
          <w:b/>
        </w:rPr>
        <w:t xml:space="preserve">Önceki kapsamlı raporla karşılaştırma: </w:t>
      </w:r>
      <w:r>
        <w:t>Yeni.</w:t>
      </w:r>
    </w:p>
    <w:p>
      <w:pPr>
        <w:pStyle w:val="Heading3"/>
        <w:keepNext/>
      </w:pPr>
      <w:r>
        <w:t>B4-AK-11. 4.6’da modern neşrin klasik resme dayanması dört kez sonuçlandırılıyor</w:t>
      </w:r>
    </w:p>
    <w:p>
      <w:r>
        <w:rPr>
          <w:b/>
        </w:rPr>
        <w:t xml:space="preserve">Kategori: </w:t>
      </w:r>
      <w:r>
        <w:t>Tekrar / Gereksiz ara sonuç</w:t>
      </w:r>
    </w:p>
    <w:p>
      <w:r>
        <w:rPr>
          <w:b/>
        </w:rPr>
        <w:t xml:space="preserve">Önem: </w:t>
      </w:r>
      <w:r>
        <w:t>Yüksek</w:t>
      </w:r>
    </w:p>
    <w:p>
      <w:r>
        <w:rPr>
          <w:b/>
        </w:rPr>
        <w:t xml:space="preserve">Yer: </w:t>
      </w:r>
      <w:r>
        <w:t>4.6, 445–455; özellikle 445, 446, 454, 455</w:t>
      </w:r>
    </w:p>
    <w:p>
      <w:r>
        <w:rPr>
          <w:b/>
        </w:rPr>
        <w:t>Kitaptaki ifade</w:t>
      </w:r>
    </w:p>
    <w:p>
      <w:pPr>
        <w:pStyle w:val="QuoteBlock"/>
      </w:pPr>
      <w:r>
        <w:t>Bütün bu veriler birlikte değerlendirildiğinde, çağdaş matbu mushaflarda resm-i Osmânî’nin korunmasının gelişigüzel bir tercih olmadığı açıkça anlaşılmaktadır. Burada belirleyici olan husus, resm kaynaklarının güvenilirliği ve mushaf yazımında ölçü kabul edilmeleridir. Nitekim Dânî ile Ebû Dâvud Süleymân b. Necâḥ’ın eserleri, yalnız geçmiş mushafların yazım özelliklerini nakleden tarihî kayıtlar olarak kalmamış, aynı zamanda modern mushaf neşrinin fiilî temelini teşkil etmiştir. Bu sebeple günümüzde basılan mushaflarda görülen Osmânî yazım biçimi,…</w:t>
      </w:r>
    </w:p>
    <w:p>
      <w:r>
        <w:rPr>
          <w:b/>
        </w:rPr>
        <w:t xml:space="preserve">Sorun: </w:t>
      </w:r>
      <w:r>
        <w:t>445 çağdaş basımın neden resme dayandığını, 446 teorik arka planı, 454 bütün verilerin sonucunu, 455 üç amacı tekrar anlatıyor. 449–453’teki Dânî/Ebû Dâvud ve modern mushaf örneklerinin etrafında dört ayrı sentez oluşuyor.</w:t>
      </w:r>
    </w:p>
    <w:p>
      <w:r>
        <w:rPr>
          <w:b/>
        </w:rPr>
        <w:t xml:space="preserve">En uygun editoryal işlem: </w:t>
      </w:r>
      <w:r>
        <w:t>445–446’yı tek geçişe indir; 454–455’i tek final sentezde birleştir.</w:t>
      </w:r>
    </w:p>
    <w:p>
      <w:r>
        <w:rPr>
          <w:b/>
        </w:rPr>
        <w:t>Doğrudan kullanılabilecek biçim</w:t>
      </w:r>
    </w:p>
    <w:p>
      <w:pPr>
        <w:pStyle w:val="QuoteBlock"/>
      </w:pPr>
      <w:r>
        <w:t>Klasik resm kaynaklarının modern neşirde kullanılmasının somut karşılığı, Dânî ve Ebû Dâvud gibi müelliflerin derlediği yazım rivâyetlerinin mushaf hazırlama süreçlerinde başvuru zemini oluşturmasıdır. Modern örnekler, bu tarihsel birikimin farklı neşirlerde nasıl uygulandığını göstermektedir.</w:t>
      </w:r>
    </w:p>
    <w:p>
      <w:r>
        <w:rPr>
          <w:b/>
        </w:rPr>
        <w:t xml:space="preserve">Önceki kapsamlı raporla karşılaştırma: </w:t>
      </w:r>
      <w:r>
        <w:t>Yeni.</w:t>
      </w:r>
    </w:p>
    <w:p>
      <w:pPr>
        <w:pStyle w:val="Heading3"/>
        <w:keepNext/>
      </w:pPr>
      <w:r>
        <w:t>B4-AK-12. Dânî ve Ebû Dâvud’un modern neşirdeki yeri tekrar tekrar açıklanıyor</w:t>
      </w:r>
    </w:p>
    <w:p>
      <w:r>
        <w:rPr>
          <w:b/>
        </w:rPr>
        <w:t xml:space="preserve">Kategori: </w:t>
      </w:r>
      <w:r>
        <w:t>Tekrar</w:t>
      </w:r>
    </w:p>
    <w:p>
      <w:r>
        <w:rPr>
          <w:b/>
        </w:rPr>
        <w:t xml:space="preserve">Önem: </w:t>
      </w:r>
      <w:r>
        <w:t>Orta</w:t>
      </w:r>
    </w:p>
    <w:p>
      <w:r>
        <w:rPr>
          <w:b/>
        </w:rPr>
        <w:t xml:space="preserve">Yer: </w:t>
      </w:r>
      <w:r>
        <w:t>4.6, 449–454</w:t>
      </w:r>
    </w:p>
    <w:p>
      <w:r>
        <w:rPr>
          <w:b/>
        </w:rPr>
        <w:t>Kitaptaki ifade</w:t>
      </w:r>
    </w:p>
    <w:p>
      <w:pPr>
        <w:pStyle w:val="QuoteBlock"/>
      </w:pPr>
      <w:r>
        <w:t>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açıkça ifade etmektedir. Bu sebeple onun el-Muḳniʿ adlı eseri, kendi alanında temel başvuru kaynaklarından biri hâline gelmiş, Sehâvî de mushaf hecâsı üzerine kaleme alınmış eserler arasında onu en kapsamlı, en güzel ve en güçlü…</w:t>
      </w:r>
    </w:p>
    <w:p>
      <w:r>
        <w:rPr>
          <w:b/>
        </w:rPr>
        <w:t xml:space="preserve">Sorun: </w:t>
      </w:r>
      <w:r>
        <w:t>449 temel iki eseri tanıtır; 450 Dânî’nin neden önemli olduğunu, 451–452 Ebû Dâvud’u, 453 modern uygulamayı verir; 454 aynı iki kaynağın “fiilî temel” olduğunu yeniden söyler. Bilgi yararlı fakat sonuç tekrarı fazladır.</w:t>
      </w:r>
    </w:p>
    <w:p>
      <w:r>
        <w:rPr>
          <w:b/>
        </w:rPr>
        <w:t xml:space="preserve">En uygun editoryal işlem: </w:t>
      </w:r>
      <w:r>
        <w:t>449’da iki eseri tanıt; 450–452 yöntem farklarını koru; 453 uygulama; 454’te yalnız tek cümlelik sonuç bırak.</w:t>
      </w:r>
    </w:p>
    <w:p>
      <w:r>
        <w:rPr>
          <w:b/>
        </w:rPr>
        <w:t>Doğrudan kullanılabilecek biçim</w:t>
      </w:r>
    </w:p>
    <w:p>
      <w:pPr>
        <w:pStyle w:val="QuoteBlock"/>
      </w:pPr>
      <w:r>
        <w:t>Bu kaynakların modern neşirdeki önemi, yalnız adlarının sık kullanılmasından değil, resm rivâyetlerini sistemli biçimde derlemeleri ve sonraki mushaf hazırlama çalışmalarına başvuru malzemesi sağlamalarından kaynaklanmaktadır.</w:t>
      </w:r>
    </w:p>
    <w:p>
      <w:r>
        <w:rPr>
          <w:b/>
        </w:rPr>
        <w:t xml:space="preserve">Önceki kapsamlı raporla karşılaştırma: </w:t>
      </w:r>
      <w:r>
        <w:t>Yeni.</w:t>
      </w:r>
    </w:p>
    <w:p>
      <w:pPr>
        <w:pStyle w:val="Heading3"/>
        <w:keepNext/>
      </w:pPr>
      <w:r>
        <w:t>B4-AK-13. 4.7 gerçek konusuna iki paragraf gecikmeyle başlıyor</w:t>
      </w:r>
    </w:p>
    <w:p>
      <w:r>
        <w:rPr>
          <w:b/>
        </w:rPr>
        <w:t xml:space="preserve">Kategori: </w:t>
      </w:r>
      <w:r>
        <w:t>Başlık kapsamı / Kronolojik geri dönüş</w:t>
      </w:r>
    </w:p>
    <w:p>
      <w:r>
        <w:rPr>
          <w:b/>
        </w:rPr>
        <w:t xml:space="preserve">Önem: </w:t>
      </w:r>
      <w:r>
        <w:t>Yüksek</w:t>
      </w:r>
    </w:p>
    <w:p>
      <w:r>
        <w:rPr>
          <w:b/>
        </w:rPr>
        <w:t xml:space="preserve">Yer: </w:t>
      </w:r>
      <w:r>
        <w:t>4.7 başlangıcı; 457–459</w:t>
      </w:r>
    </w:p>
    <w:p>
      <w:r>
        <w:rPr>
          <w:b/>
        </w:rPr>
        <w:t>Kitaptaki ifade</w:t>
      </w:r>
    </w:p>
    <w:p>
      <w:pPr>
        <w:pStyle w:val="QuoteBlock"/>
      </w:pPr>
      <w:r>
        <w:t>Bununla birlikte Osmânî mushaflarının ilk şeklinde nokta ve hareke bulunmamaktadır. Bunun temel sebebi, mushaf resminin farklı kırâat vecihlerini ihtimal dâhilinde taşıyabilecek bir esnekliğe sahip olmasıdır. Ancak zamanla hareke ve diğer zapt işaretleri kullanılmaya başlanınca, müstensihler mushaflarını, Kur’an’ı hangi kırâat imamı veya râvisi üzerinden almışlarsa o rivâyete göre zapt etmeye başlamışlardır. Böylece mushaflar, tek bir rivâyet esas alınarak harekelenen metinler hâline gelmiştir. Çünkü bir mushaf içinde birden fazla kırâati aynı anda açık…</w:t>
      </w:r>
    </w:p>
    <w:p>
      <w:r>
        <w:rPr>
          <w:b/>
        </w:rPr>
        <w:t xml:space="preserve">Sorun: </w:t>
      </w:r>
      <w:r>
        <w:t>Başlık “kırâat rivâyetlerine göre düzenlenen basılı mushaflar”dır. Ancak ilk iki paragraf genel hat/kaligrafi gelişimine dönüyor. Kırâat-rivâyet-zapt ilişkisini doğrudan açan paragraf 459’dur.</w:t>
      </w:r>
    </w:p>
    <w:p>
      <w:r>
        <w:rPr>
          <w:b/>
        </w:rPr>
        <w:t xml:space="preserve">En uygun editoryal işlem: </w:t>
      </w:r>
      <w:r>
        <w:t>4.7’yi 459 ile başlat; 457–458’i 4.6’ya kısaltarak taşı veya konuya katkısı sınırlıysa çıkar.</w:t>
      </w:r>
    </w:p>
    <w:p>
      <w:r>
        <w:rPr>
          <w:b/>
        </w:rPr>
        <w:t>Doğrudan kullanılabilecek biçim</w:t>
      </w:r>
    </w:p>
    <w:p>
      <w:pPr>
        <w:pStyle w:val="QuoteBlock"/>
      </w:pPr>
      <w:r>
        <w:t>Osmânî mushafların ilk yazımında zapt işaretlerinin bugünkü biçimde bulunmaması, sonraki dönemlerde okuyuş özelliklerinin ayrı işaretlerle gösterilmesini gerekli kılmıştır. Zamanla mushaflar belirli kırâat imamı veya râvisinden alınan okuyuşa göre zapt edilmiş; bu durum belirli rivâyetlere göre hazırlanmış mushafların ortaya çıkmasına zemin hazırlamıştır.</w:t>
      </w:r>
    </w:p>
    <w:p>
      <w:r>
        <w:rPr>
          <w:b/>
        </w:rPr>
        <w:t xml:space="preserve">Önceki kapsamlı raporla karşılaştırma: </w:t>
      </w:r>
      <w:r>
        <w:t>Kısmen yeni: önceki rapor 4.6–4.7’de nedensellik ve kronoloji sorunları bulmuştu; başlığın iki paragraf gecikmeyle başlaması bu raporun yeni akış bulgusudur.</w:t>
      </w:r>
    </w:p>
    <w:p>
      <w:pPr>
        <w:pStyle w:val="Heading3"/>
        <w:keepNext/>
      </w:pPr>
      <w:r>
        <w:t>B4-AK-14. 4.7’de genel ilke, erken tercih, matbaa tarihi ve Türkiye örneği arasında mikro-yapı görünmüyor</w:t>
      </w:r>
    </w:p>
    <w:p>
      <w:r>
        <w:rPr>
          <w:b/>
        </w:rPr>
        <w:t xml:space="preserve">Kategori: </w:t>
      </w:r>
      <w:r>
        <w:t>Yapısal / İç geçiş</w:t>
      </w:r>
    </w:p>
    <w:p>
      <w:r>
        <w:rPr>
          <w:b/>
        </w:rPr>
        <w:t xml:space="preserve">Önem: </w:t>
      </w:r>
      <w:r>
        <w:t>Orta</w:t>
      </w:r>
    </w:p>
    <w:p>
      <w:r>
        <w:rPr>
          <w:b/>
        </w:rPr>
        <w:t xml:space="preserve">Yer: </w:t>
      </w:r>
      <w:r>
        <w:t>4.7, 459–475</w:t>
      </w:r>
    </w:p>
    <w:p>
      <w:r>
        <w:rPr>
          <w:b/>
        </w:rPr>
        <w:t>Kitaptaki ifade</w:t>
      </w:r>
    </w:p>
    <w:p>
      <w:pPr>
        <w:pStyle w:val="QuoteBlock"/>
      </w:pPr>
      <w:r>
        <w:t>Kur’an-ı Kerim’in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baskılarda ciddi hata ve…</w:t>
      </w:r>
    </w:p>
    <w:p>
      <w:r>
        <w:rPr>
          <w:b/>
        </w:rPr>
        <w:t xml:space="preserve">Sorun: </w:t>
      </w:r>
      <w:r>
        <w:t>Bölüm 459–462’de zapt ve bölgesel rivâyet dağılımını, 463–471’de genel matbaa tarihini, 472–475’te Türkiye örneğini ele alıyor. Bu üç blok başlıkta görünmediğinden tarihsel anlatı birbirine eklenmiş uzun bir zincir gibi okunuyor.</w:t>
      </w:r>
    </w:p>
    <w:p>
      <w:r>
        <w:rPr>
          <w:b/>
        </w:rPr>
        <w:t xml:space="preserve">En uygun editoryal işlem: </w:t>
      </w:r>
      <w:r>
        <w:t>Numaralı alt başlık açmak zorunlu değil; üç blok arasında kısa geçiş cümleleri kullan.</w:t>
      </w:r>
    </w:p>
    <w:p>
      <w:r>
        <w:rPr>
          <w:b/>
        </w:rPr>
        <w:t>Doğrudan kullanılabilecek biçim</w:t>
      </w:r>
    </w:p>
    <w:p>
      <w:pPr>
        <w:pStyle w:val="QuoteBlock"/>
      </w:pPr>
      <w:r>
        <w:t>459–462’den sonra: “Belirli rivâyetlere göre zapt edilen mushafların yaygınlaşması, matbaa teknolojisinin devreye girmesiyle yeni bir boyut kazanmıştır.” 471’den sonra: “Bu genel matbu süreç, Türkiye’de denetimli mushaf neşri ve imlâ tercihleri bakımından farklı bir kurumsal seyir izlemiştir.”</w:t>
      </w:r>
    </w:p>
    <w:p>
      <w:r>
        <w:rPr>
          <w:b/>
        </w:rPr>
        <w:t xml:space="preserve">Önceki kapsamlı raporla karşılaştırma: </w:t>
      </w:r>
      <w:r>
        <w:t>Yeni.</w:t>
      </w:r>
    </w:p>
    <w:p>
      <w:pPr>
        <w:pStyle w:val="Heading3"/>
        <w:keepNext/>
      </w:pPr>
      <w:r>
        <w:t>B4-AK-15. 471. paragraf genel sonuç verip Türkiye alt bloğundan önce bölümü erken kapatıyor</w:t>
      </w:r>
    </w:p>
    <w:p>
      <w:r>
        <w:rPr>
          <w:b/>
        </w:rPr>
        <w:t xml:space="preserve">Kategori: </w:t>
      </w:r>
      <w:r>
        <w:t>Gereksiz ara sonuç / Geçiş</w:t>
      </w:r>
    </w:p>
    <w:p>
      <w:r>
        <w:rPr>
          <w:b/>
        </w:rPr>
        <w:t xml:space="preserve">Önem: </w:t>
      </w:r>
      <w:r>
        <w:t>Yüksek</w:t>
      </w:r>
    </w:p>
    <w:p>
      <w:r>
        <w:rPr>
          <w:b/>
        </w:rPr>
        <w:t xml:space="preserve">Yer: </w:t>
      </w:r>
      <w:r>
        <w:t>4.7, 471 → 472</w:t>
      </w:r>
    </w:p>
    <w:p>
      <w:r>
        <w:rPr>
          <w:b/>
        </w:rPr>
        <w:t>Kitaptaki ifade</w:t>
      </w:r>
    </w:p>
    <w:p>
      <w:pPr>
        <w:pStyle w:val="QuoteBlock"/>
      </w:pPr>
      <w:r>
        <w:t>Önceki paragraf: “Bütün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w:t>
        <w:br/>
        <w:t>Sonraki paragraf: “Türkiye’de mushaf basımı, önce yazma mushaf geleneği, ardından geç Osmanlı’da denetimli matbu mushaf dönemi, son olarak da Diyanet İşleri Başkanlığı eliyle kurumsallaşmış inceleme ve onay dönemi şeklinde ilerlemiştir. Osmanlı’da matbaa 1727’de kurulmuş olsa da dinî eserler ilk izin kapsamı dışında bırakılmış, İslâmî kitapların…”</w:t>
      </w:r>
    </w:p>
    <w:p>
      <w:r>
        <w:rPr>
          <w:b/>
        </w:rPr>
        <w:t xml:space="preserve">Sorun: </w:t>
      </w:r>
      <w:r>
        <w:t>471 “Bütün bu veriler...” diyerek matbu mushafların kırâatlerin yaygınlaşmasındaki rolünü genel sonuç olarak kuruyor. Ancak bölüm 472–475’te Türkiye örneğiyle devam ediyor ve 475’te yeniden özetleniyor.</w:t>
      </w:r>
    </w:p>
    <w:p>
      <w:r>
        <w:rPr>
          <w:b/>
        </w:rPr>
        <w:t xml:space="preserve">En uygun editoryal işlem: </w:t>
      </w:r>
      <w:r>
        <w:t>471’i sonuçtan Türkiye’ye geçiş paragrafına dönüştür; nihai sentezi 475 sonuna bırak.</w:t>
      </w:r>
    </w:p>
    <w:p>
      <w:r>
        <w:rPr>
          <w:b/>
        </w:rPr>
        <w:t>Doğrudan kullanılabilecek biçim</w:t>
      </w:r>
    </w:p>
    <w:p>
      <w:pPr>
        <w:pStyle w:val="QuoteBlock"/>
      </w:pPr>
      <w:r>
        <w:t>Matbu mushafların belirli rivâyetlerin görünürlüğü ve yaygınlaşmasıyla ilişkisi, farklı bölgelerin neşir ve denetim geleneklerinde farklı biçimler kazanmıştır. Türkiye örneği, bu ilişkinin kurumsal denetim ve imlâ tercihleriyle birlikte nasıl şekillendiğini göstermesi bakımından ayrıca ele alınabilir.</w:t>
      </w:r>
    </w:p>
    <w:p>
      <w:r>
        <w:rPr>
          <w:b/>
        </w:rPr>
        <w:t xml:space="preserve">Önceki kapsamlı raporla karşılaştırma: </w:t>
      </w:r>
      <w:r>
        <w:t>Yeni.</w:t>
      </w:r>
    </w:p>
    <w:p>
      <w:pPr>
        <w:pStyle w:val="Heading3"/>
        <w:keepNext/>
      </w:pPr>
      <w:r>
        <w:t>B4-AK-16. 475 hem Türkiye örneğini hem bütün 4.7’yi aynı paragrafta ikinci kez sonuçlandırıyor</w:t>
      </w:r>
    </w:p>
    <w:p>
      <w:r>
        <w:rPr>
          <w:b/>
        </w:rPr>
        <w:t xml:space="preserve">Kategori: </w:t>
      </w:r>
      <w:r>
        <w:t>Paragraf içi akış / Gereksiz özet</w:t>
      </w:r>
    </w:p>
    <w:p>
      <w:r>
        <w:rPr>
          <w:b/>
        </w:rPr>
        <w:t xml:space="preserve">Önem: </w:t>
      </w:r>
      <w:r>
        <w:t>Orta</w:t>
      </w:r>
    </w:p>
    <w:p>
      <w:r>
        <w:rPr>
          <w:b/>
        </w:rPr>
        <w:t xml:space="preserve">Yer: </w:t>
      </w:r>
      <w:r>
        <w:t>4.7 son paragraf, 475</w:t>
      </w:r>
    </w:p>
    <w:p>
      <w:r>
        <w:rPr>
          <w:b/>
        </w:rPr>
        <w:t>Kitaptaki ifade</w:t>
      </w:r>
    </w:p>
    <w:p>
      <w:pPr>
        <w:pStyle w:val="QuoteBlock"/>
      </w:pPr>
      <w: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incelemekte; uygun bulduklarını onaylamakta, uygun olmayanların basımına izin vermemektedir. Bu durum, Türkiye’de mushaf basımının sadece teknik bir matbaa işi olmadığını, aynı zamanda ilmî ve dinî denetim gerektiren özel bir alan olarak görüldüğünü göstermektedir. Dikkat çeken bir başka nokta…</w:t>
      </w:r>
    </w:p>
    <w:p>
      <w:r>
        <w:rPr>
          <w:b/>
        </w:rPr>
        <w:t xml:space="preserve">Sorun: </w:t>
      </w:r>
      <w:r>
        <w:t>Paragraf önce güncel denetim, sonra imlâ özellikleri, ardından “Özetle” ile Türkiye tarihinin üç niteliğini aynı blokta topluyor. Son cümleler hem Türkiye alt bloğunun hem bütün bölümün sonucu gibi çalışıyor.</w:t>
      </w:r>
    </w:p>
    <w:p>
      <w:r>
        <w:rPr>
          <w:b/>
        </w:rPr>
        <w:t xml:space="preserve">En uygun editoryal işlem: </w:t>
      </w:r>
      <w:r>
        <w:t>Paragrafı güncel denetim + imlâ tercihi olarak iki düşünceye ayır; tek kısa kapanış bırak.</w:t>
      </w:r>
    </w:p>
    <w:p>
      <w:r>
        <w:rPr>
          <w:b/>
        </w:rPr>
        <w:t>Doğrudan kullanılabilecek biçim</w:t>
      </w:r>
    </w:p>
    <w:p>
      <w:pPr>
        <w:pStyle w:val="QuoteBlock"/>
      </w:pPr>
      <w:r>
        <w:t>Türkiye’de mushaf neşrinin güncel kurumsal yapısı, basımın yalnız teknik bir faaliyet olarak görülmediğini ve resm, imlâ, hat ve kırâat bakımından denetlendiğini göstermektedir. Bu örnek, basılı mushafların belirli yazım ve okuyuş tercihlerinin dolaşımındaki rolünün kurumsal boyutunu görünür kılmaktadır.</w:t>
      </w:r>
    </w:p>
    <w:p>
      <w:r>
        <w:rPr>
          <w:b/>
        </w:rPr>
        <w:t xml:space="preserve">Önceki kapsamlı raporla karşılaştırma: </w:t>
      </w:r>
      <w:r>
        <w:t>Yeni.</w:t>
      </w:r>
    </w:p>
    <w:p>
      <w:pPr>
        <w:pStyle w:val="Heading1"/>
        <w:keepNext/>
      </w:pPr>
      <w:r>
        <w:t>9. Sonuç</w:t>
      </w:r>
    </w:p>
    <w:p>
      <w:pPr>
        <w:pStyle w:val="Heading3"/>
        <w:keepNext/>
      </w:pPr>
      <w:r>
        <w:t>SON-AK-01. Sonuç bölümünün genel sırası korunmalı; gövdeye göre en dengeli bölümlerden biri</w:t>
      </w:r>
    </w:p>
    <w:p>
      <w:r>
        <w:rPr>
          <w:b/>
        </w:rPr>
        <w:t xml:space="preserve">Kategori: </w:t>
      </w:r>
      <w:r>
        <w:t>Yapısal doğrulama</w:t>
      </w:r>
    </w:p>
    <w:p>
      <w:r>
        <w:rPr>
          <w:b/>
        </w:rPr>
        <w:t xml:space="preserve">Önem: </w:t>
      </w:r>
      <w:r>
        <w:t>Düşük</w:t>
      </w:r>
    </w:p>
    <w:p>
      <w:r>
        <w:rPr>
          <w:b/>
        </w:rPr>
        <w:t xml:space="preserve">Yer: </w:t>
      </w:r>
      <w:r>
        <w:t>Sonuç, s.114–116</w:t>
      </w:r>
    </w:p>
    <w:p>
      <w:r>
        <w:rPr>
          <w:b/>
        </w:rPr>
        <w:t>Kitaptaki ifade</w:t>
      </w:r>
    </w:p>
    <w:p>
      <w:pPr>
        <w:pStyle w:val="QuoteBlock"/>
      </w:pPr>
      <w:r>
        <w:t>Bu araştırmanın ortaya koyduğu temel sonuç, resm-i mushaf ile kırâat rivâyeti arasındaki ilişkinin yazı ile söz karşıtlığı üzerinden açıklanamayacağıdır. Kırâatlerin aslî aktarım zemini telakki, müşâfehe, edâ, isnad ve rivâyettir. Mushaf yazısı, hocadan öğrenilen okuyuşun yerine geçmez ve harf iskeletinden hareketle bağımsız kırâat üretmez. Buna karşılık sözlü olarak nakledilen okuyuşlar da ortak mushaf metninden bütünüyle bağımsız değildir. Kur’an’ın tarihsel sürekliliği, lafzın sözlü icrası ile bu lafzın ortak yazılı kaydının birlikte işlemesi…</w:t>
      </w:r>
    </w:p>
    <w:p>
      <w:r>
        <w:rPr>
          <w:b/>
        </w:rPr>
        <w:t xml:space="preserve">Sorun: </w:t>
      </w:r>
      <w:r>
        <w:t>Sonuç, ana tez → tarihsel zemin → kabul ölçüleri → uygulama alanları → öğretim → şehir mushafları → sahâbe mushafları → tevkîfîlik → hikmet → modern neşir → katkı sırasıyla ilerlemektedir. Burada kapsamlı bir yeniden yapılandırma gerekmiyor.</w:t>
      </w:r>
    </w:p>
    <w:p>
      <w:r>
        <w:rPr>
          <w:b/>
        </w:rPr>
        <w:t xml:space="preserve">En uygun editoryal işlem: </w:t>
      </w:r>
      <w:r>
        <w:t>Yalnız örtüşen paragrafları kısalt; mevcut ana sıra korunmalı.</w:t>
      </w:r>
    </w:p>
    <w:p>
      <w:r>
        <w:rPr>
          <w:b/>
        </w:rPr>
        <w:t>Doğrudan kullanılabilecek biçim</w:t>
      </w:r>
    </w:p>
    <w:p>
      <w:pPr>
        <w:pStyle w:val="QuoteBlock"/>
      </w:pPr>
      <w:r>
        <w:t>Mevcut bölüm sırası korunmalıdır. Özellikle 478–488 arasındaki tematik ilerleme kitabın ana gövdesini dengeli biçimde sonuçlandırmaktadır.</w:t>
      </w:r>
    </w:p>
    <w:p>
      <w:r>
        <w:rPr>
          <w:b/>
        </w:rPr>
        <w:t xml:space="preserve">Önceki kapsamlı raporla karşılaştırma: </w:t>
      </w:r>
      <w:r>
        <w:t>Yeni doğrulama; önceki rapor Sonucun ana tezle uyumunu olumlu değerlendirmişti.</w:t>
      </w:r>
    </w:p>
    <w:p>
      <w:pPr>
        <w:pStyle w:val="Heading3"/>
        <w:keepNext/>
      </w:pPr>
      <w:r>
        <w:t>SON-AK-02. 480–482 kabul ölçüsü ve resmin işlevi bakımından kısmen üst üste biniyor</w:t>
      </w:r>
    </w:p>
    <w:p>
      <w:r>
        <w:rPr>
          <w:b/>
        </w:rPr>
        <w:t xml:space="preserve">Kategori: </w:t>
      </w:r>
      <w:r>
        <w:t>Tekrar</w:t>
      </w:r>
    </w:p>
    <w:p>
      <w:r>
        <w:rPr>
          <w:b/>
        </w:rPr>
        <w:t xml:space="preserve">Önem: </w:t>
      </w:r>
      <w:r>
        <w:t>Düşük</w:t>
      </w:r>
    </w:p>
    <w:p>
      <w:r>
        <w:rPr>
          <w:b/>
        </w:rPr>
        <w:t xml:space="preserve">Yer: </w:t>
      </w:r>
      <w:r>
        <w:t>Sonuç, 480–482</w:t>
      </w:r>
    </w:p>
    <w:p>
      <w:r>
        <w:rPr>
          <w:b/>
        </w:rPr>
        <w:t>Kitaptaki ifade</w:t>
      </w:r>
    </w:p>
    <w:p>
      <w:pPr>
        <w:pStyle w:val="QuoteBlock"/>
      </w:pPr>
      <w: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w:t>
      </w:r>
    </w:p>
    <w:p>
      <w:r>
        <w:rPr>
          <w:b/>
        </w:rPr>
        <w:t xml:space="preserve">Sorun: </w:t>
      </w:r>
      <w:r>
        <w:t>480 gerçek/ihtimalî uygunluk ve rivâyet önceliğini, 481 üç kabul ölçüsünü, 482 ise tespit–tahdit–tercih–tevcîh–vakıf alanlarını veriyor. İşlevler farklı olmakla birlikte “resm tek başına yeterli değildir” cümlesi üçünde de yeniden kuruluyor.</w:t>
      </w:r>
    </w:p>
    <w:p>
      <w:r>
        <w:rPr>
          <w:b/>
        </w:rPr>
        <w:t xml:space="preserve">En uygun editoryal işlem: </w:t>
      </w:r>
      <w:r>
        <w:t>Ana uyarıyı 480’de bir kez tut; 481’i üç ölçüye, 482’yi uygulama alanlarına odakla.</w:t>
      </w:r>
    </w:p>
    <w:p>
      <w:r>
        <w:rPr>
          <w:b/>
        </w:rPr>
        <w:t>Doğrudan kullanılabilecek biçim</w:t>
      </w:r>
    </w:p>
    <w:p>
      <w:pPr>
        <w:pStyle w:val="QuoteBlock"/>
      </w:pPr>
      <w:r>
        <w:t>480’in sonunda ana ilke bir kez belirtildikten sonra 481 doğrudan kabul ölçülerinin birlikte işletilmesine, 482 ise resm verilerinin kabul dışındaki kullanım alanlarına geçmelidir.</w:t>
      </w:r>
    </w:p>
    <w:p>
      <w:r>
        <w:rPr>
          <w:b/>
        </w:rPr>
        <w:t xml:space="preserve">Önceki kapsamlı raporla karşılaştırma: </w:t>
      </w:r>
      <w:r>
        <w:t>Yeni.</w:t>
      </w:r>
    </w:p>
    <w:p>
      <w:pPr>
        <w:pStyle w:val="Heading3"/>
        <w:keepNext/>
      </w:pPr>
      <w:r>
        <w:t>SON-AK-03. 489. paragraf sonuç ile ileri araştırma önerisini aynı paragrafta birleştiriyor</w:t>
      </w:r>
    </w:p>
    <w:p>
      <w:r>
        <w:rPr>
          <w:b/>
        </w:rPr>
        <w:t xml:space="preserve">Kategori: </w:t>
      </w:r>
      <w:r>
        <w:t>Paragraf işlevi</w:t>
      </w:r>
    </w:p>
    <w:p>
      <w:r>
        <w:rPr>
          <w:b/>
        </w:rPr>
        <w:t xml:space="preserve">Önem: </w:t>
      </w:r>
      <w:r>
        <w:t>Düşük</w:t>
      </w:r>
    </w:p>
    <w:p>
      <w:r>
        <w:rPr>
          <w:b/>
        </w:rPr>
        <w:t xml:space="preserve">Yer: </w:t>
      </w:r>
      <w:r>
        <w:t>Sonuç, sondan bir önceki paragraf</w:t>
      </w:r>
    </w:p>
    <w:p>
      <w:r>
        <w:rPr>
          <w:b/>
        </w:rPr>
        <w:t>Kitaptaki ifade</w:t>
      </w:r>
    </w:p>
    <w:p>
      <w:pPr>
        <w:pStyle w:val="QuoteBlock"/>
      </w:pPr>
      <w: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w:t>
      </w:r>
    </w:p>
    <w:p>
      <w:r>
        <w:rPr>
          <w:b/>
        </w:rPr>
        <w:t xml:space="preserve">Sorun: </w:t>
      </w:r>
      <w:r>
        <w:t>Paragraf önce kitabın ilmî katkısını sonuçlandırıyor, son cümlede yeni araştırma alanlarını sıralıyor. Kitapta ayrı “ileri araştırmalar” işlevi istenmiyorsa kapanış ritmini zayıflatabilir.</w:t>
      </w:r>
    </w:p>
    <w:p>
      <w:r>
        <w:rPr>
          <w:b/>
        </w:rPr>
        <w:t xml:space="preserve">En uygun editoryal işlem: </w:t>
      </w:r>
      <w:r>
        <w:t>Katkı cümlesini koru; son cümleyi çıkar veya tek kısa gelecek çalışma cümlesine indir.</w:t>
      </w:r>
    </w:p>
    <w:p>
      <w:r>
        <w:rPr>
          <w:b/>
        </w:rPr>
        <w:t>Doğrudan kullanılabilecek biçim</w:t>
      </w:r>
    </w:p>
    <w:p>
      <w:pPr>
        <w:pStyle w:val="QuoteBlock"/>
      </w:pPr>
      <w:r>
        <w:t>Kitabın ilmî katkısı, resm ve kırâat alanlarına yeni bir kaynak veya sahihlik ölçüsü eklemekten ziyade, tarihsel oluşumdan çağdaş mushaf neşrine kadar uzanan farklı meseleleri aynı ilişki içinde değerlendirmesidir.</w:t>
      </w:r>
    </w:p>
    <w:p>
      <w:r>
        <w:rPr>
          <w:b/>
        </w:rPr>
        <w:t xml:space="preserve">Önceki kapsamlı raporla karşılaştırma: </w:t>
      </w:r>
      <w:r>
        <w:t>Yeni.</w:t>
      </w:r>
    </w:p>
    <w:p>
      <w:pPr>
        <w:pStyle w:val="Heading3"/>
        <w:keepNext/>
      </w:pPr>
      <w:r>
        <w:t>SON-AK-04. Son paragraftaki “Sonuç olarak” burada işlevsel; sırf kalıp olduğu için değiştirilmemeli</w:t>
      </w:r>
    </w:p>
    <w:p>
      <w:r>
        <w:rPr>
          <w:b/>
        </w:rPr>
        <w:t xml:space="preserve">Kategori: </w:t>
      </w:r>
      <w:r>
        <w:t>Yanlış pozitif kontrolü</w:t>
      </w:r>
    </w:p>
    <w:p>
      <w:r>
        <w:rPr>
          <w:b/>
        </w:rPr>
        <w:t xml:space="preserve">Önem: </w:t>
      </w:r>
      <w:r>
        <w:t>Düşük</w:t>
      </w:r>
    </w:p>
    <w:p>
      <w:r>
        <w:rPr>
          <w:b/>
        </w:rPr>
        <w:t xml:space="preserve">Yer: </w:t>
      </w:r>
      <w:r>
        <w:t>Sonuç, son paragraf</w:t>
      </w:r>
    </w:p>
    <w:p>
      <w:r>
        <w:rPr>
          <w:b/>
        </w:rPr>
        <w:t>Kitaptaki ifade</w:t>
      </w:r>
    </w:p>
    <w:p>
      <w:pPr>
        <w:pStyle w:val="QuoteBlock"/>
      </w:pPr>
      <w:r>
        <w:t>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Kur’an’ın…</w:t>
      </w:r>
    </w:p>
    <w:p>
      <w:r>
        <w:rPr>
          <w:b/>
        </w:rPr>
        <w:t xml:space="preserve">Sorun: </w:t>
      </w:r>
      <w:r>
        <w:t>Bu kullanım gerçekten bölümün ve kitabın nihai sentezini kuruyor. Kullanıcının “Sonuç bölümü dışında” ölçütüyle de uyumludur.</w:t>
      </w:r>
    </w:p>
    <w:p>
      <w:r>
        <w:rPr>
          <w:b/>
        </w:rPr>
        <w:t xml:space="preserve">En uygun editoryal işlem: </w:t>
      </w:r>
      <w:r>
        <w:t>Aynen bırakılabilir; yalnız bilimsel ana rapordaki içerik düzeltmeleri uygulanırsa buna göre güncellenmeli.</w:t>
      </w:r>
    </w:p>
    <w:p>
      <w:r>
        <w:rPr>
          <w:b/>
        </w:rPr>
        <w:t>Doğrudan kullanılabilecek biçim</w:t>
      </w:r>
    </w:p>
    <w:p>
      <w:pPr>
        <w:pStyle w:val="QuoteBlock"/>
      </w:pPr>
      <w:r>
        <w:t>Sonuç olarak resm-i Osmânî, kırâati doğuran bağımsız kaynak değil, rivâyet yoluyla nakledilen kırâatlerin ortak yazılı sınırıdır.</w:t>
      </w:r>
    </w:p>
    <w:p>
      <w:r>
        <w:rPr>
          <w:b/>
        </w:rPr>
        <w:t xml:space="preserve">Önceki kapsamlı raporla karşılaştırma: </w:t>
      </w:r>
      <w:r>
        <w:t>Yeni doğrulama.</w:t>
      </w:r>
    </w:p>
    <w:p>
      <w:pPr>
        <w:pStyle w:val="Heading1"/>
        <w:keepNext/>
      </w:pPr>
      <w:r>
        <w:t>10. Eksik veya Zayıf Geçişlerin Tam Listesi</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r>
              <w:rPr>
                <w:rFonts w:ascii="Times New Roman" w:hAnsi="Times New Roman" w:eastAsia="Times New Roman"/>
                <w:b/>
                <w:color w:val="FFFFFF"/>
                <w:sz w:val="17"/>
              </w:rPr>
              <w:t>No</w:t>
            </w:r>
          </w:p>
        </w:tc>
        <w:tc>
          <w:tcPr>
            <w:tcW w:type="dxa" w:w="1568"/>
            <w:shd w:fill="1F4E79"/>
          </w:tcPr>
          <w:p>
            <w:r>
              <w:rPr>
                <w:rFonts w:ascii="Times New Roman" w:hAnsi="Times New Roman" w:eastAsia="Times New Roman"/>
                <w:b/>
                <w:color w:val="FFFFFF"/>
                <w:sz w:val="17"/>
              </w:rPr>
              <w:t>Yer</w:t>
            </w:r>
          </w:p>
        </w:tc>
        <w:tc>
          <w:tcPr>
            <w:tcW w:type="dxa" w:w="1568"/>
            <w:shd w:fill="1F4E79"/>
          </w:tcPr>
          <w:p>
            <w:r>
              <w:rPr>
                <w:rFonts w:ascii="Times New Roman" w:hAnsi="Times New Roman" w:eastAsia="Times New Roman"/>
                <w:b/>
                <w:color w:val="FFFFFF"/>
                <w:sz w:val="17"/>
              </w:rPr>
              <w:t>Düzey</w:t>
            </w:r>
          </w:p>
        </w:tc>
        <w:tc>
          <w:tcPr>
            <w:tcW w:type="dxa" w:w="1568"/>
            <w:shd w:fill="1F4E79"/>
          </w:tcPr>
          <w:p>
            <w:r>
              <w:rPr>
                <w:rFonts w:ascii="Times New Roman" w:hAnsi="Times New Roman" w:eastAsia="Times New Roman"/>
                <w:b/>
                <w:color w:val="FFFFFF"/>
                <w:sz w:val="17"/>
              </w:rPr>
              <w:t>Sorun</w:t>
            </w:r>
          </w:p>
        </w:tc>
        <w:tc>
          <w:tcPr>
            <w:tcW w:type="dxa" w:w="1568"/>
            <w:shd w:fill="1F4E79"/>
          </w:tcPr>
          <w:p>
            <w:r>
              <w:rPr>
                <w:rFonts w:ascii="Times New Roman" w:hAnsi="Times New Roman" w:eastAsia="Times New Roman"/>
                <w:b/>
                <w:color w:val="FFFFFF"/>
                <w:sz w:val="17"/>
              </w:rPr>
              <w:t>İşlem</w:t>
            </w:r>
          </w:p>
        </w:tc>
        <w:tc>
          <w:tcPr>
            <w:tcW w:type="dxa" w:w="1568"/>
            <w:shd w:fill="1F4E79"/>
          </w:tcPr>
          <w:p>
            <w:r>
              <w:rPr>
                <w:rFonts w:ascii="Times New Roman" w:hAnsi="Times New Roman" w:eastAsia="Times New Roman"/>
                <w:b/>
                <w:color w:val="FFFFFF"/>
                <w:sz w:val="17"/>
              </w:rPr>
              <w:t>Önerilen geçiş</w:t>
            </w:r>
          </w:p>
        </w:tc>
      </w:tr>
      <w:tr>
        <w:tc>
          <w:tcPr>
            <w:tcW w:type="dxa" w:w="1568"/>
            <w:tcMar>
              <w:top w:w="80" w:type="dxa"/>
              <w:start w:w="100" w:type="dxa"/>
              <w:bottom w:w="80" w:type="dxa"/>
              <w:end w:w="100" w:type="dxa"/>
            </w:tcMar>
            <w:vAlign w:val="top"/>
          </w:tcPr>
          <w:p>
            <w:r>
              <w:rPr>
                <w:rFonts w:ascii="Times New Roman" w:hAnsi="Times New Roman" w:eastAsia="Times New Roman"/>
                <w:sz w:val="17"/>
              </w:rPr>
              <w:t>1</w:t>
            </w:r>
          </w:p>
        </w:tc>
        <w:tc>
          <w:tcPr>
            <w:tcW w:type="dxa" w:w="1568"/>
            <w:tcMar>
              <w:top w:w="80" w:type="dxa"/>
              <w:start w:w="100" w:type="dxa"/>
              <w:bottom w:w="80" w:type="dxa"/>
              <w:end w:w="100" w:type="dxa"/>
            </w:tcMar>
            <w:vAlign w:val="top"/>
          </w:tcPr>
          <w:p>
            <w:r>
              <w:rPr>
                <w:rFonts w:ascii="Times New Roman" w:hAnsi="Times New Roman" w:eastAsia="Times New Roman"/>
                <w:sz w:val="17"/>
              </w:rPr>
              <w:t>Giriş içi</w:t>
            </w:r>
          </w:p>
        </w:tc>
        <w:tc>
          <w:tcPr>
            <w:tcW w:type="dxa" w:w="1568"/>
            <w:tcMar>
              <w:top w:w="80" w:type="dxa"/>
              <w:start w:w="100" w:type="dxa"/>
              <w:bottom w:w="80" w:type="dxa"/>
              <w:end w:w="100" w:type="dxa"/>
            </w:tcMar>
            <w:vAlign w:val="top"/>
          </w:tcPr>
          <w:p>
            <w:r>
              <w:rPr>
                <w:rFonts w:ascii="Times New Roman" w:hAnsi="Times New Roman" w:eastAsia="Times New Roman"/>
                <w:sz w:val="17"/>
              </w:rPr>
              <w:t>Paragraf sırası</w:t>
            </w:r>
          </w:p>
        </w:tc>
        <w:tc>
          <w:tcPr>
            <w:tcW w:type="dxa" w:w="1568"/>
            <w:tcMar>
              <w:top w:w="80" w:type="dxa"/>
              <w:start w:w="100" w:type="dxa"/>
              <w:bottom w:w="80" w:type="dxa"/>
              <w:end w:w="100" w:type="dxa"/>
            </w:tcMar>
            <w:vAlign w:val="top"/>
          </w:tcPr>
          <w:p>
            <w:r>
              <w:rPr>
                <w:rFonts w:ascii="Times New Roman" w:hAnsi="Times New Roman" w:eastAsia="Times New Roman"/>
                <w:sz w:val="17"/>
              </w:rPr>
              <w:t>Kapsamdan sonra yalnız 4. bölüm ön izlemesi geliyor; yöntem daha sonra başlıyor.</w:t>
            </w:r>
          </w:p>
        </w:tc>
        <w:tc>
          <w:tcPr>
            <w:tcW w:type="dxa" w:w="1568"/>
            <w:tcMar>
              <w:top w:w="80" w:type="dxa"/>
              <w:start w:w="100" w:type="dxa"/>
              <w:bottom w:w="80" w:type="dxa"/>
              <w:end w:w="100" w:type="dxa"/>
            </w:tcMar>
            <w:vAlign w:val="top"/>
          </w:tcPr>
          <w:p>
            <w:r>
              <w:rPr>
                <w:rFonts w:ascii="Times New Roman" w:hAnsi="Times New Roman" w:eastAsia="Times New Roman"/>
                <w:sz w:val="17"/>
              </w:rPr>
              <w:t>30. paragrafı bölüm planına taşı.</w:t>
            </w:r>
          </w:p>
        </w:tc>
        <w:tc>
          <w:tcPr>
            <w:tcW w:type="dxa" w:w="1568"/>
            <w:tcMar>
              <w:top w:w="80" w:type="dxa"/>
              <w:start w:w="100" w:type="dxa"/>
              <w:bottom w:w="80" w:type="dxa"/>
              <w:end w:w="100" w:type="dxa"/>
            </w:tcMar>
            <w:vAlign w:val="top"/>
          </w:tcPr>
          <w:p>
            <w:r>
              <w:rPr>
                <w:rFonts w:ascii="Times New Roman" w:hAnsi="Times New Roman" w:eastAsia="Times New Roman"/>
                <w:sz w:val="17"/>
              </w:rPr>
              <w:t>Kapsamdan sonra doğrudan yöntem paragrafına geç.</w:t>
            </w:r>
          </w:p>
        </w:tc>
      </w:tr>
      <w:tr>
        <w:tc>
          <w:tcPr>
            <w:tcW w:type="dxa" w:w="1568"/>
            <w:tcMar>
              <w:top w:w="80" w:type="dxa"/>
              <w:start w:w="100" w:type="dxa"/>
              <w:bottom w:w="80" w:type="dxa"/>
              <w:end w:w="100" w:type="dxa"/>
            </w:tcMar>
            <w:vAlign w:val="top"/>
          </w:tcPr>
          <w:p>
            <w:r>
              <w:rPr>
                <w:rFonts w:ascii="Times New Roman" w:hAnsi="Times New Roman" w:eastAsia="Times New Roman"/>
                <w:sz w:val="17"/>
              </w:rPr>
              <w:t>2</w:t>
            </w:r>
          </w:p>
        </w:tc>
        <w:tc>
          <w:tcPr>
            <w:tcW w:type="dxa" w:w="1568"/>
            <w:tcMar>
              <w:top w:w="80" w:type="dxa"/>
              <w:start w:w="100" w:type="dxa"/>
              <w:bottom w:w="80" w:type="dxa"/>
              <w:end w:w="100" w:type="dxa"/>
            </w:tcMar>
            <w:vAlign w:val="top"/>
          </w:tcPr>
          <w:p>
            <w:r>
              <w:rPr>
                <w:rFonts w:ascii="Times New Roman" w:hAnsi="Times New Roman" w:eastAsia="Times New Roman"/>
                <w:sz w:val="17"/>
              </w:rPr>
              <w:t>Giriş → 1. Bölüm</w:t>
            </w:r>
          </w:p>
        </w:tc>
        <w:tc>
          <w:tcPr>
            <w:tcW w:type="dxa" w:w="1568"/>
            <w:tcMar>
              <w:top w:w="80" w:type="dxa"/>
              <w:start w:w="100" w:type="dxa"/>
              <w:bottom w:w="80" w:type="dxa"/>
              <w:end w:w="100" w:type="dxa"/>
            </w:tcMar>
            <w:vAlign w:val="top"/>
          </w:tcPr>
          <w:p>
            <w:r>
              <w:rPr>
                <w:rFonts w:ascii="Times New Roman" w:hAnsi="Times New Roman" w:eastAsia="Times New Roman"/>
                <w:sz w:val="17"/>
              </w:rPr>
              <w:t>Bölüm</w:t>
            </w:r>
          </w:p>
        </w:tc>
        <w:tc>
          <w:tcPr>
            <w:tcW w:type="dxa" w:w="1568"/>
            <w:tcMar>
              <w:top w:w="80" w:type="dxa"/>
              <w:start w:w="100" w:type="dxa"/>
              <w:bottom w:w="80" w:type="dxa"/>
              <w:end w:w="100" w:type="dxa"/>
            </w:tcMar>
            <w:vAlign w:val="top"/>
          </w:tcPr>
          <w:p>
            <w:r>
              <w:rPr>
                <w:rFonts w:ascii="Times New Roman" w:hAnsi="Times New Roman" w:eastAsia="Times New Roman"/>
                <w:sz w:val="17"/>
              </w:rPr>
              <w:t>Ana soru ikinci kez tekrar ediliyor.</w:t>
            </w:r>
          </w:p>
        </w:tc>
        <w:tc>
          <w:tcPr>
            <w:tcW w:type="dxa" w:w="1568"/>
            <w:tcMar>
              <w:top w:w="80" w:type="dxa"/>
              <w:start w:w="100" w:type="dxa"/>
              <w:bottom w:w="80" w:type="dxa"/>
              <w:end w:w="100" w:type="dxa"/>
            </w:tcMar>
            <w:vAlign w:val="top"/>
          </w:tcPr>
          <w:p>
            <w:r>
              <w:rPr>
                <w:rFonts w:ascii="Times New Roman" w:hAnsi="Times New Roman" w:eastAsia="Times New Roman"/>
                <w:sz w:val="17"/>
              </w:rPr>
              <w:t>Son Giriş paragrafını tarihsel zemine bağla.</w:t>
            </w:r>
          </w:p>
        </w:tc>
        <w:tc>
          <w:tcPr>
            <w:tcW w:type="dxa" w:w="1568"/>
            <w:tcMar>
              <w:top w:w="80" w:type="dxa"/>
              <w:start w:w="100" w:type="dxa"/>
              <w:bottom w:w="80" w:type="dxa"/>
              <w:end w:w="100" w:type="dxa"/>
            </w:tcMar>
            <w:vAlign w:val="top"/>
          </w:tcPr>
          <w:p>
            <w:r>
              <w:rPr>
                <w:rFonts w:ascii="Times New Roman" w:hAnsi="Times New Roman" w:eastAsia="Times New Roman"/>
                <w:sz w:val="17"/>
              </w:rPr>
              <w:t>“Bu ilişkinin nasıl kurulduğunu açıklayabilmek için önce resm-i Osmânî’nin ortaya çıktığı tarihsel ve kavramsal zemini belirlemek gerekir.”</w:t>
            </w:r>
          </w:p>
        </w:tc>
      </w:tr>
      <w:tr>
        <w:tc>
          <w:tcPr>
            <w:tcW w:type="dxa" w:w="1568"/>
            <w:tcMar>
              <w:top w:w="80" w:type="dxa"/>
              <w:start w:w="100" w:type="dxa"/>
              <w:bottom w:w="80" w:type="dxa"/>
              <w:end w:w="100" w:type="dxa"/>
            </w:tcMar>
            <w:vAlign w:val="top"/>
          </w:tcPr>
          <w:p>
            <w:r>
              <w:rPr>
                <w:rFonts w:ascii="Times New Roman" w:hAnsi="Times New Roman" w:eastAsia="Times New Roman"/>
                <w:sz w:val="17"/>
              </w:rPr>
              <w:t>3</w:t>
            </w:r>
          </w:p>
        </w:tc>
        <w:tc>
          <w:tcPr>
            <w:tcW w:type="dxa" w:w="1568"/>
            <w:tcMar>
              <w:top w:w="80" w:type="dxa"/>
              <w:start w:w="100" w:type="dxa"/>
              <w:bottom w:w="80" w:type="dxa"/>
              <w:end w:w="100" w:type="dxa"/>
            </w:tcMar>
            <w:vAlign w:val="top"/>
          </w:tcPr>
          <w:p>
            <w:r>
              <w:rPr>
                <w:rFonts w:ascii="Times New Roman" w:hAnsi="Times New Roman" w:eastAsia="Times New Roman"/>
                <w:sz w:val="17"/>
              </w:rPr>
              <w:t>1.1 içi</w:t>
            </w:r>
          </w:p>
        </w:tc>
        <w:tc>
          <w:tcPr>
            <w:tcW w:type="dxa" w:w="1568"/>
            <w:tcMar>
              <w:top w:w="80" w:type="dxa"/>
              <w:start w:w="100" w:type="dxa"/>
              <w:bottom w:w="80" w:type="dxa"/>
              <w:end w:w="100" w:type="dxa"/>
            </w:tcMar>
            <w:vAlign w:val="top"/>
          </w:tcPr>
          <w:p>
            <w:r>
              <w:rPr>
                <w:rFonts w:ascii="Times New Roman" w:hAnsi="Times New Roman" w:eastAsia="Times New Roman"/>
                <w:sz w:val="17"/>
              </w:rPr>
              <w:t>Paragraflar arası</w:t>
            </w:r>
          </w:p>
        </w:tc>
        <w:tc>
          <w:tcPr>
            <w:tcW w:type="dxa" w:w="1568"/>
            <w:tcMar>
              <w:top w:w="80" w:type="dxa"/>
              <w:start w:w="100" w:type="dxa"/>
              <w:bottom w:w="80" w:type="dxa"/>
              <w:end w:w="100" w:type="dxa"/>
            </w:tcMar>
            <w:vAlign w:val="top"/>
          </w:tcPr>
          <w:p>
            <w:r>
              <w:rPr>
                <w:rFonts w:ascii="Times New Roman" w:hAnsi="Times New Roman" w:eastAsia="Times New Roman"/>
                <w:sz w:val="17"/>
              </w:rPr>
              <w:t>Sentezden ve İslâm dönemine geçişten sonra İslâm öncesi örneklere geri dönülüyor.</w:t>
            </w:r>
          </w:p>
        </w:tc>
        <w:tc>
          <w:tcPr>
            <w:tcW w:type="dxa" w:w="1568"/>
            <w:tcMar>
              <w:top w:w="80" w:type="dxa"/>
              <w:start w:w="100" w:type="dxa"/>
              <w:bottom w:w="80" w:type="dxa"/>
              <w:end w:w="100" w:type="dxa"/>
            </w:tcMar>
            <w:vAlign w:val="top"/>
          </w:tcPr>
          <w:p>
            <w:r>
              <w:rPr>
                <w:rFonts w:ascii="Times New Roman" w:hAnsi="Times New Roman" w:eastAsia="Times New Roman"/>
                <w:sz w:val="17"/>
              </w:rPr>
              <w:t>49–50’yi sona taşı/erit.</w:t>
            </w:r>
          </w:p>
        </w:tc>
        <w:tc>
          <w:tcPr>
            <w:tcW w:type="dxa" w:w="1568"/>
            <w:tcMar>
              <w:top w:w="80" w:type="dxa"/>
              <w:start w:w="100" w:type="dxa"/>
              <w:bottom w:w="80" w:type="dxa"/>
              <w:end w:w="100" w:type="dxa"/>
            </w:tcMar>
            <w:vAlign w:val="top"/>
          </w:tcPr>
          <w:p>
            <w:r>
              <w:rPr>
                <w:rFonts w:ascii="Times New Roman" w:hAnsi="Times New Roman" w:eastAsia="Times New Roman"/>
                <w:sz w:val="17"/>
              </w:rPr>
              <w:t>Kanıtlar → tek sentez → 1.2.</w:t>
            </w:r>
          </w:p>
        </w:tc>
      </w:tr>
      <w:tr>
        <w:tc>
          <w:tcPr>
            <w:tcW w:type="dxa" w:w="1568"/>
            <w:tcMar>
              <w:top w:w="80" w:type="dxa"/>
              <w:start w:w="100" w:type="dxa"/>
              <w:bottom w:w="80" w:type="dxa"/>
              <w:end w:w="100" w:type="dxa"/>
            </w:tcMar>
            <w:vAlign w:val="top"/>
          </w:tcPr>
          <w:p>
            <w:r>
              <w:rPr>
                <w:rFonts w:ascii="Times New Roman" w:hAnsi="Times New Roman" w:eastAsia="Times New Roman"/>
                <w:sz w:val="17"/>
              </w:rPr>
              <w:t>4</w:t>
            </w:r>
          </w:p>
        </w:tc>
        <w:tc>
          <w:tcPr>
            <w:tcW w:type="dxa" w:w="1568"/>
            <w:tcMar>
              <w:top w:w="80" w:type="dxa"/>
              <w:start w:w="100" w:type="dxa"/>
              <w:bottom w:w="80" w:type="dxa"/>
              <w:end w:w="100" w:type="dxa"/>
            </w:tcMar>
            <w:vAlign w:val="top"/>
          </w:tcPr>
          <w:p>
            <w:r>
              <w:rPr>
                <w:rFonts w:ascii="Times New Roman" w:hAnsi="Times New Roman" w:eastAsia="Times New Roman"/>
                <w:sz w:val="17"/>
              </w:rPr>
              <w:t>1.1 → 1.2</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1.1 zaten İslâm’ın gelişiyle yazının değişimini anlatıyor; 1.2 aynı başlangıcı tekrarlıyor.</w:t>
            </w:r>
          </w:p>
        </w:tc>
        <w:tc>
          <w:tcPr>
            <w:tcW w:type="dxa" w:w="1568"/>
            <w:tcMar>
              <w:top w:w="80" w:type="dxa"/>
              <w:start w:w="100" w:type="dxa"/>
              <w:bottom w:w="80" w:type="dxa"/>
              <w:end w:w="100" w:type="dxa"/>
            </w:tcMar>
            <w:vAlign w:val="top"/>
          </w:tcPr>
          <w:p>
            <w:r>
              <w:rPr>
                <w:rFonts w:ascii="Times New Roman" w:hAnsi="Times New Roman" w:eastAsia="Times New Roman"/>
                <w:sz w:val="17"/>
              </w:rPr>
              <w:t>1.1 sonunda yalnız “işlev değişimi”ne işaret et.</w:t>
            </w:r>
          </w:p>
        </w:tc>
        <w:tc>
          <w:tcPr>
            <w:tcW w:type="dxa" w:w="1568"/>
            <w:tcMar>
              <w:top w:w="80" w:type="dxa"/>
              <w:start w:w="100" w:type="dxa"/>
              <w:bottom w:w="80" w:type="dxa"/>
              <w:end w:w="100" w:type="dxa"/>
            </w:tcMar>
            <w:vAlign w:val="top"/>
          </w:tcPr>
          <w:p>
            <w:r>
              <w:rPr>
                <w:rFonts w:ascii="Times New Roman" w:hAnsi="Times New Roman" w:eastAsia="Times New Roman"/>
                <w:sz w:val="17"/>
              </w:rPr>
              <w:t>“Vahyin nüzûlüyle yazının kullanım alanı yeni bir boyut kazanmıştır.”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5</w:t>
            </w:r>
          </w:p>
        </w:tc>
        <w:tc>
          <w:tcPr>
            <w:tcW w:type="dxa" w:w="1568"/>
            <w:tcMar>
              <w:top w:w="80" w:type="dxa"/>
              <w:start w:w="100" w:type="dxa"/>
              <w:bottom w:w="80" w:type="dxa"/>
              <w:end w:w="100" w:type="dxa"/>
            </w:tcMar>
            <w:vAlign w:val="top"/>
          </w:tcPr>
          <w:p>
            <w:r>
              <w:rPr>
                <w:rFonts w:ascii="Times New Roman" w:hAnsi="Times New Roman" w:eastAsia="Times New Roman"/>
                <w:sz w:val="17"/>
              </w:rPr>
              <w:t>1.2 → 1.3</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Aynı “yazıldı fakat kitap hâline getirilmedi” bilgisi iki kez söyleniyor.</w:t>
            </w:r>
          </w:p>
        </w:tc>
        <w:tc>
          <w:tcPr>
            <w:tcW w:type="dxa" w:w="1568"/>
            <w:tcMar>
              <w:top w:w="80" w:type="dxa"/>
              <w:start w:w="100" w:type="dxa"/>
              <w:bottom w:w="80" w:type="dxa"/>
              <w:end w:w="100" w:type="dxa"/>
            </w:tcMar>
            <w:vAlign w:val="top"/>
          </w:tcPr>
          <w:p>
            <w:r>
              <w:rPr>
                <w:rFonts w:ascii="Times New Roman" w:hAnsi="Times New Roman" w:eastAsia="Times New Roman"/>
                <w:sz w:val="17"/>
              </w:rPr>
              <w:t>İki cümleyi tek köprüde birleştir.</w:t>
            </w:r>
          </w:p>
        </w:tc>
        <w:tc>
          <w:tcPr>
            <w:tcW w:type="dxa" w:w="1568"/>
            <w:tcMar>
              <w:top w:w="80" w:type="dxa"/>
              <w:start w:w="100" w:type="dxa"/>
              <w:bottom w:w="80" w:type="dxa"/>
              <w:end w:w="100" w:type="dxa"/>
            </w:tcMar>
            <w:vAlign w:val="top"/>
          </w:tcPr>
          <w:p>
            <w:r>
              <w:rPr>
                <w:rFonts w:ascii="Times New Roman" w:hAnsi="Times New Roman" w:eastAsia="Times New Roman"/>
                <w:sz w:val="17"/>
              </w:rPr>
              <w:t>“Nüzûl döneminde kaydedilen malzemenin tek bir derleme hâlinde toplanmamış olması, Hz. Peygamber’in vefatından sonra cem meselesini gündeme getirmiştir.”</w:t>
            </w:r>
          </w:p>
        </w:tc>
      </w:tr>
      <w:tr>
        <w:tc>
          <w:tcPr>
            <w:tcW w:type="dxa" w:w="1568"/>
            <w:tcMar>
              <w:top w:w="80" w:type="dxa"/>
              <w:start w:w="100" w:type="dxa"/>
              <w:bottom w:w="80" w:type="dxa"/>
              <w:end w:w="100" w:type="dxa"/>
            </w:tcMar>
            <w:vAlign w:val="top"/>
          </w:tcPr>
          <w:p>
            <w:r>
              <w:rPr>
                <w:rFonts w:ascii="Times New Roman" w:hAnsi="Times New Roman" w:eastAsia="Times New Roman"/>
                <w:sz w:val="17"/>
              </w:rPr>
              <w:t>6</w:t>
            </w:r>
          </w:p>
        </w:tc>
        <w:tc>
          <w:tcPr>
            <w:tcW w:type="dxa" w:w="1568"/>
            <w:tcMar>
              <w:top w:w="80" w:type="dxa"/>
              <w:start w:w="100" w:type="dxa"/>
              <w:bottom w:w="80" w:type="dxa"/>
              <w:end w:w="100" w:type="dxa"/>
            </w:tcMar>
            <w:vAlign w:val="top"/>
          </w:tcPr>
          <w:p>
            <w:r>
              <w:rPr>
                <w:rFonts w:ascii="Times New Roman" w:hAnsi="Times New Roman" w:eastAsia="Times New Roman"/>
                <w:sz w:val="17"/>
              </w:rPr>
              <w:t>1.3 → 1.4</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1.3 yedi harf/arza tartışmasını ayrıntılandırarak 1.4’e taşma yapıyor.</w:t>
            </w:r>
          </w:p>
        </w:tc>
        <w:tc>
          <w:tcPr>
            <w:tcW w:type="dxa" w:w="1568"/>
            <w:tcMar>
              <w:top w:w="80" w:type="dxa"/>
              <w:start w:w="100" w:type="dxa"/>
              <w:bottom w:w="80" w:type="dxa"/>
              <w:end w:w="100" w:type="dxa"/>
            </w:tcMar>
            <w:vAlign w:val="top"/>
          </w:tcPr>
          <w:p>
            <w:r>
              <w:rPr>
                <w:rFonts w:ascii="Times New Roman" w:hAnsi="Times New Roman" w:eastAsia="Times New Roman"/>
                <w:sz w:val="17"/>
              </w:rPr>
              <w:t>Ayrıntıyı taşı; kısa ileri gönderme bırak.</w:t>
            </w:r>
          </w:p>
        </w:tc>
        <w:tc>
          <w:tcPr>
            <w:tcW w:type="dxa" w:w="1568"/>
            <w:tcMar>
              <w:top w:w="80" w:type="dxa"/>
              <w:start w:w="100" w:type="dxa"/>
              <w:bottom w:w="80" w:type="dxa"/>
              <w:end w:w="100" w:type="dxa"/>
            </w:tcMar>
            <w:vAlign w:val="top"/>
          </w:tcPr>
          <w:p>
            <w:r>
              <w:rPr>
                <w:rFonts w:ascii="Times New Roman" w:hAnsi="Times New Roman" w:eastAsia="Times New Roman"/>
                <w:sz w:val="17"/>
              </w:rPr>
              <w:t>“Bu sahifelerin sonraki istinsah faaliyetiyle ilişkisi, çoğaltmayı gerektiren şartlarla birlikte ele alınacaktır.”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7</w:t>
            </w:r>
          </w:p>
        </w:tc>
        <w:tc>
          <w:tcPr>
            <w:tcW w:type="dxa" w:w="1568"/>
            <w:tcMar>
              <w:top w:w="80" w:type="dxa"/>
              <w:start w:w="100" w:type="dxa"/>
              <w:bottom w:w="80" w:type="dxa"/>
              <w:end w:w="100" w:type="dxa"/>
            </w:tcMar>
            <w:vAlign w:val="top"/>
          </w:tcPr>
          <w:p>
            <w:r>
              <w:rPr>
                <w:rFonts w:ascii="Times New Roman" w:hAnsi="Times New Roman" w:eastAsia="Times New Roman"/>
                <w:sz w:val="17"/>
              </w:rPr>
              <w:t>1.4 → 1.5</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“Hülasa” paragrafı bölümü kapatıyor ancak dağıtım sorusuna bağlamıyor.</w:t>
            </w:r>
          </w:p>
        </w:tc>
        <w:tc>
          <w:tcPr>
            <w:tcW w:type="dxa" w:w="1568"/>
            <w:tcMar>
              <w:top w:w="80" w:type="dxa"/>
              <w:start w:w="100" w:type="dxa"/>
              <w:bottom w:w="80" w:type="dxa"/>
              <w:end w:w="100" w:type="dxa"/>
            </w:tcMar>
            <w:vAlign w:val="top"/>
          </w:tcPr>
          <w:p>
            <w:r>
              <w:rPr>
                <w:rFonts w:ascii="Times New Roman" w:hAnsi="Times New Roman" w:eastAsia="Times New Roman"/>
                <w:sz w:val="17"/>
              </w:rPr>
              <w:t>98’i geçişe dönüştür.</w:t>
            </w:r>
          </w:p>
        </w:tc>
        <w:tc>
          <w:tcPr>
            <w:tcW w:type="dxa" w:w="1568"/>
            <w:tcMar>
              <w:top w:w="80" w:type="dxa"/>
              <w:start w:w="100" w:type="dxa"/>
              <w:bottom w:w="80" w:type="dxa"/>
              <w:end w:w="100" w:type="dxa"/>
            </w:tcMar>
            <w:vAlign w:val="top"/>
          </w:tcPr>
          <w:p>
            <w:r>
              <w:rPr>
                <w:rFonts w:ascii="Times New Roman" w:hAnsi="Times New Roman" w:eastAsia="Times New Roman"/>
                <w:sz w:val="17"/>
              </w:rPr>
              <w:t>“İstinsah kararının uygulanışını değerlendirebilmek için çoğaltılan nüshaların sayısı ve gönderildikleri merkezler üzerinde durmak gerekir.”</w:t>
            </w:r>
          </w:p>
        </w:tc>
      </w:tr>
      <w:tr>
        <w:tc>
          <w:tcPr>
            <w:tcW w:type="dxa" w:w="1568"/>
            <w:tcMar>
              <w:top w:w="80" w:type="dxa"/>
              <w:start w:w="100" w:type="dxa"/>
              <w:bottom w:w="80" w:type="dxa"/>
              <w:end w:w="100" w:type="dxa"/>
            </w:tcMar>
            <w:vAlign w:val="top"/>
          </w:tcPr>
          <w:p>
            <w:r>
              <w:rPr>
                <w:rFonts w:ascii="Times New Roman" w:hAnsi="Times New Roman" w:eastAsia="Times New Roman"/>
                <w:sz w:val="17"/>
              </w:rPr>
              <w:t>8</w:t>
            </w:r>
          </w:p>
        </w:tc>
        <w:tc>
          <w:tcPr>
            <w:tcW w:type="dxa" w:w="1568"/>
            <w:tcMar>
              <w:top w:w="80" w:type="dxa"/>
              <w:start w:w="100" w:type="dxa"/>
              <w:bottom w:w="80" w:type="dxa"/>
              <w:end w:w="100" w:type="dxa"/>
            </w:tcMar>
            <w:vAlign w:val="top"/>
          </w:tcPr>
          <w:p>
            <w:r>
              <w:rPr>
                <w:rFonts w:ascii="Times New Roman" w:hAnsi="Times New Roman" w:eastAsia="Times New Roman"/>
                <w:sz w:val="17"/>
              </w:rPr>
              <w:t>1.5 → 1.6</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Nüsha sayısından kavram tanımına ani geçiş.</w:t>
            </w:r>
          </w:p>
        </w:tc>
        <w:tc>
          <w:tcPr>
            <w:tcW w:type="dxa" w:w="1568"/>
            <w:tcMar>
              <w:top w:w="80" w:type="dxa"/>
              <w:start w:w="100" w:type="dxa"/>
              <w:bottom w:w="80" w:type="dxa"/>
              <w:end w:w="100" w:type="dxa"/>
            </w:tcMar>
            <w:vAlign w:val="top"/>
          </w:tcPr>
          <w:p>
            <w:r>
              <w:rPr>
                <w:rFonts w:ascii="Times New Roman" w:hAnsi="Times New Roman" w:eastAsia="Times New Roman"/>
                <w:sz w:val="17"/>
              </w:rPr>
              <w:t>1.6 ilk cümlesini değiştir.</w:t>
            </w:r>
          </w:p>
        </w:tc>
        <w:tc>
          <w:tcPr>
            <w:tcW w:type="dxa" w:w="1568"/>
            <w:tcMar>
              <w:top w:w="80" w:type="dxa"/>
              <w:start w:w="100" w:type="dxa"/>
              <w:bottom w:w="80" w:type="dxa"/>
              <w:end w:w="100" w:type="dxa"/>
            </w:tcMar>
            <w:vAlign w:val="top"/>
          </w:tcPr>
          <w:p>
            <w:r>
              <w:rPr>
                <w:rFonts w:ascii="Times New Roman" w:hAnsi="Times New Roman" w:eastAsia="Times New Roman"/>
                <w:sz w:val="17"/>
              </w:rPr>
              <w:t>“Osmânî mushafların ortak başvuru nüshaları hâline gelmesi, bu nüshalara nispet edilen yazım geleneğinin kavramsal sınırlarını açıklamayı gerekli kılmaktadır.”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9</w:t>
            </w:r>
          </w:p>
        </w:tc>
        <w:tc>
          <w:tcPr>
            <w:tcW w:type="dxa" w:w="1568"/>
            <w:tcMar>
              <w:top w:w="80" w:type="dxa"/>
              <w:start w:w="100" w:type="dxa"/>
              <w:bottom w:w="80" w:type="dxa"/>
              <w:end w:w="100" w:type="dxa"/>
            </w:tcMar>
            <w:vAlign w:val="top"/>
          </w:tcPr>
          <w:p>
            <w:r>
              <w:rPr>
                <w:rFonts w:ascii="Times New Roman" w:hAnsi="Times New Roman" w:eastAsia="Times New Roman"/>
                <w:sz w:val="17"/>
              </w:rPr>
              <w:t>1.6.1 → 1.6.2</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Istılâhî bölüm lügat anlamını tekrar ediyor.</w:t>
            </w:r>
          </w:p>
        </w:tc>
        <w:tc>
          <w:tcPr>
            <w:tcW w:type="dxa" w:w="1568"/>
            <w:tcMar>
              <w:top w:w="80" w:type="dxa"/>
              <w:start w:w="100" w:type="dxa"/>
              <w:bottom w:w="80" w:type="dxa"/>
              <w:end w:w="100" w:type="dxa"/>
            </w:tcMar>
            <w:vAlign w:val="top"/>
          </w:tcPr>
          <w:p>
            <w:r>
              <w:rPr>
                <w:rFonts w:ascii="Times New Roman" w:hAnsi="Times New Roman" w:eastAsia="Times New Roman"/>
                <w:sz w:val="17"/>
              </w:rPr>
              <w:t>1.6.2 doğrudan teknik kullanımla başlasın.</w:t>
            </w:r>
          </w:p>
        </w:tc>
        <w:tc>
          <w:tcPr>
            <w:tcW w:type="dxa" w:w="1568"/>
            <w:tcMar>
              <w:top w:w="80" w:type="dxa"/>
              <w:start w:w="100" w:type="dxa"/>
              <w:bottom w:w="80" w:type="dxa"/>
              <w:end w:w="100" w:type="dxa"/>
            </w:tcMar>
            <w:vAlign w:val="top"/>
          </w:tcPr>
          <w:p>
            <w:r>
              <w:rPr>
                <w:rFonts w:ascii="Times New Roman" w:hAnsi="Times New Roman" w:eastAsia="Times New Roman"/>
                <w:sz w:val="17"/>
              </w:rPr>
              <w:t>“Lügavî zeminden sonra resm kavramı mushaf literatüründe teknik bir anlam kazanmıştır.”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10</w:t>
            </w:r>
          </w:p>
        </w:tc>
        <w:tc>
          <w:tcPr>
            <w:tcW w:type="dxa" w:w="1568"/>
            <w:tcMar>
              <w:top w:w="80" w:type="dxa"/>
              <w:start w:w="100" w:type="dxa"/>
              <w:bottom w:w="80" w:type="dxa"/>
              <w:end w:w="100" w:type="dxa"/>
            </w:tcMar>
            <w:vAlign w:val="top"/>
          </w:tcPr>
          <w:p>
            <w:r>
              <w:rPr>
                <w:rFonts w:ascii="Times New Roman" w:hAnsi="Times New Roman" w:eastAsia="Times New Roman"/>
                <w:sz w:val="17"/>
              </w:rPr>
              <w:t>1.6.2 → 1.7</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“Sonuç olarak” tekrarından sonra tanım/mahiyet başlığı yeniden açılıyor.</w:t>
            </w:r>
          </w:p>
        </w:tc>
        <w:tc>
          <w:tcPr>
            <w:tcW w:type="dxa" w:w="1568"/>
            <w:tcMar>
              <w:top w:w="80" w:type="dxa"/>
              <w:start w:w="100" w:type="dxa"/>
              <w:bottom w:w="80" w:type="dxa"/>
              <w:end w:w="100" w:type="dxa"/>
            </w:tcMar>
            <w:vAlign w:val="top"/>
          </w:tcPr>
          <w:p>
            <w:r>
              <w:rPr>
                <w:rFonts w:ascii="Times New Roman" w:hAnsi="Times New Roman" w:eastAsia="Times New Roman"/>
                <w:sz w:val="17"/>
              </w:rPr>
              <w:t>133’ü köprüye dönüştür.</w:t>
            </w:r>
          </w:p>
        </w:tc>
        <w:tc>
          <w:tcPr>
            <w:tcW w:type="dxa" w:w="1568"/>
            <w:tcMar>
              <w:top w:w="80" w:type="dxa"/>
              <w:start w:w="100" w:type="dxa"/>
              <w:bottom w:w="80" w:type="dxa"/>
              <w:end w:w="100" w:type="dxa"/>
            </w:tcMar>
            <w:vAlign w:val="top"/>
          </w:tcPr>
          <w:p>
            <w:r>
              <w:rPr>
                <w:rFonts w:ascii="Times New Roman" w:hAnsi="Times New Roman" w:eastAsia="Times New Roman"/>
                <w:sz w:val="17"/>
              </w:rPr>
              <w:t>“Bu iki ilke, resm-i Osmânî’nin tanımı ve mahiyetini ele alan sonraki tartışma için kavramsal zemin sağlar.”</w:t>
            </w:r>
          </w:p>
        </w:tc>
      </w:tr>
      <w:tr>
        <w:tc>
          <w:tcPr>
            <w:tcW w:type="dxa" w:w="1568"/>
            <w:tcMar>
              <w:top w:w="80" w:type="dxa"/>
              <w:start w:w="100" w:type="dxa"/>
              <w:bottom w:w="80" w:type="dxa"/>
              <w:end w:w="100" w:type="dxa"/>
            </w:tcMar>
            <w:vAlign w:val="top"/>
          </w:tcPr>
          <w:p>
            <w:r>
              <w:rPr>
                <w:rFonts w:ascii="Times New Roman" w:hAnsi="Times New Roman" w:eastAsia="Times New Roman"/>
                <w:sz w:val="17"/>
              </w:rPr>
              <w:t>11</w:t>
            </w:r>
          </w:p>
        </w:tc>
        <w:tc>
          <w:tcPr>
            <w:tcW w:type="dxa" w:w="1568"/>
            <w:tcMar>
              <w:top w:w="80" w:type="dxa"/>
              <w:start w:w="100" w:type="dxa"/>
              <w:bottom w:w="80" w:type="dxa"/>
              <w:end w:w="100" w:type="dxa"/>
            </w:tcMar>
            <w:vAlign w:val="top"/>
          </w:tcPr>
          <w:p>
            <w:r>
              <w:rPr>
                <w:rFonts w:ascii="Times New Roman" w:hAnsi="Times New Roman" w:eastAsia="Times New Roman"/>
                <w:sz w:val="17"/>
              </w:rPr>
              <w:t>1.9 → 1.9.1</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Ayrıntılar başlamadan genel sonuç verilmiş.</w:t>
            </w:r>
          </w:p>
        </w:tc>
        <w:tc>
          <w:tcPr>
            <w:tcW w:type="dxa" w:w="1568"/>
            <w:tcMar>
              <w:top w:w="80" w:type="dxa"/>
              <w:start w:w="100" w:type="dxa"/>
              <w:bottom w:w="80" w:type="dxa"/>
              <w:end w:w="100" w:type="dxa"/>
            </w:tcMar>
            <w:vAlign w:val="top"/>
          </w:tcPr>
          <w:p>
            <w:r>
              <w:rPr>
                <w:rFonts w:ascii="Times New Roman" w:hAnsi="Times New Roman" w:eastAsia="Times New Roman"/>
                <w:sz w:val="17"/>
              </w:rPr>
              <w:t>176’yı incelemeye davet eden köprü yap.</w:t>
            </w:r>
          </w:p>
        </w:tc>
        <w:tc>
          <w:tcPr>
            <w:tcW w:type="dxa" w:w="1568"/>
            <w:tcMar>
              <w:top w:w="80" w:type="dxa"/>
              <w:start w:w="100" w:type="dxa"/>
              <w:bottom w:w="80" w:type="dxa"/>
              <w:end w:w="100" w:type="dxa"/>
            </w:tcMar>
            <w:vAlign w:val="top"/>
          </w:tcPr>
          <w:p>
            <w:r>
              <w:rPr>
                <w:rFonts w:ascii="Times New Roman" w:hAnsi="Times New Roman" w:eastAsia="Times New Roman"/>
                <w:sz w:val="17"/>
              </w:rPr>
              <w:t>“Bu genel çerçevenin hangi yazım özellikleri üzerinden ortaya çıktığını görmek için kuralları ayrı ayrı incelemek gerekir.”</w:t>
            </w:r>
          </w:p>
        </w:tc>
      </w:tr>
      <w:tr>
        <w:tc>
          <w:tcPr>
            <w:tcW w:type="dxa" w:w="1568"/>
            <w:tcMar>
              <w:top w:w="80" w:type="dxa"/>
              <w:start w:w="100" w:type="dxa"/>
              <w:bottom w:w="80" w:type="dxa"/>
              <w:end w:w="100" w:type="dxa"/>
            </w:tcMar>
            <w:vAlign w:val="top"/>
          </w:tcPr>
          <w:p>
            <w:r>
              <w:rPr>
                <w:rFonts w:ascii="Times New Roman" w:hAnsi="Times New Roman" w:eastAsia="Times New Roman"/>
                <w:sz w:val="17"/>
              </w:rPr>
              <w:t>12</w:t>
            </w:r>
          </w:p>
        </w:tc>
        <w:tc>
          <w:tcPr>
            <w:tcW w:type="dxa" w:w="1568"/>
            <w:tcMar>
              <w:top w:w="80" w:type="dxa"/>
              <w:start w:w="100" w:type="dxa"/>
              <w:bottom w:w="80" w:type="dxa"/>
              <w:end w:w="100" w:type="dxa"/>
            </w:tcMar>
            <w:vAlign w:val="top"/>
          </w:tcPr>
          <w:p>
            <w:r>
              <w:rPr>
                <w:rFonts w:ascii="Times New Roman" w:hAnsi="Times New Roman" w:eastAsia="Times New Roman"/>
                <w:sz w:val="17"/>
              </w:rPr>
              <w:t>1.9.1 → 1.9.2</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Kural listesi biterken birkaç genelleme yeni başlığın örneğini önceden sonuçlandırıyor.</w:t>
            </w:r>
          </w:p>
        </w:tc>
        <w:tc>
          <w:tcPr>
            <w:tcW w:type="dxa" w:w="1568"/>
            <w:tcMar>
              <w:top w:w="80" w:type="dxa"/>
              <w:start w:w="100" w:type="dxa"/>
              <w:bottom w:w="80" w:type="dxa"/>
              <w:end w:w="100" w:type="dxa"/>
            </w:tcMar>
            <w:vAlign w:val="top"/>
          </w:tcPr>
          <w:p>
            <w:r>
              <w:rPr>
                <w:rFonts w:ascii="Times New Roman" w:hAnsi="Times New Roman" w:eastAsia="Times New Roman"/>
                <w:sz w:val="17"/>
              </w:rPr>
              <w:t>Genel sonucu tek cümleye indir.</w:t>
            </w:r>
          </w:p>
        </w:tc>
        <w:tc>
          <w:tcPr>
            <w:tcW w:type="dxa" w:w="1568"/>
            <w:tcMar>
              <w:top w:w="80" w:type="dxa"/>
              <w:start w:w="100" w:type="dxa"/>
              <w:bottom w:w="80" w:type="dxa"/>
              <w:end w:w="100" w:type="dxa"/>
            </w:tcMar>
            <w:vAlign w:val="top"/>
          </w:tcPr>
          <w:p>
            <w:r>
              <w:rPr>
                <w:rFonts w:ascii="Times New Roman" w:hAnsi="Times New Roman" w:eastAsia="Times New Roman"/>
                <w:sz w:val="17"/>
              </w:rPr>
              <w:t>“Bu kuralların kırâatle ilişkisi örnekten örneğe değişir; bazı kelimelerde ise aynı resmin birden fazla sahih okuyuşla bağdaşması ayrıca önem taşır.”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13</w:t>
            </w:r>
          </w:p>
        </w:tc>
        <w:tc>
          <w:tcPr>
            <w:tcW w:type="dxa" w:w="1568"/>
            <w:tcMar>
              <w:top w:w="80" w:type="dxa"/>
              <w:start w:w="100" w:type="dxa"/>
              <w:bottom w:w="80" w:type="dxa"/>
              <w:end w:w="100" w:type="dxa"/>
            </w:tcMar>
            <w:vAlign w:val="top"/>
          </w:tcPr>
          <w:p>
            <w:r>
              <w:rPr>
                <w:rFonts w:ascii="Times New Roman" w:hAnsi="Times New Roman" w:eastAsia="Times New Roman"/>
                <w:sz w:val="17"/>
              </w:rPr>
              <w:t>1.10 → 2. Bölüm</w:t>
            </w:r>
          </w:p>
        </w:tc>
        <w:tc>
          <w:tcPr>
            <w:tcW w:type="dxa" w:w="1568"/>
            <w:tcMar>
              <w:top w:w="80" w:type="dxa"/>
              <w:start w:w="100" w:type="dxa"/>
              <w:bottom w:w="80" w:type="dxa"/>
              <w:end w:w="100" w:type="dxa"/>
            </w:tcMar>
            <w:vAlign w:val="top"/>
          </w:tcPr>
          <w:p>
            <w:r>
              <w:rPr>
                <w:rFonts w:ascii="Times New Roman" w:hAnsi="Times New Roman" w:eastAsia="Times New Roman"/>
                <w:sz w:val="17"/>
              </w:rPr>
              <w:t>Bölüm</w:t>
            </w:r>
          </w:p>
        </w:tc>
        <w:tc>
          <w:tcPr>
            <w:tcW w:type="dxa" w:w="1568"/>
            <w:tcMar>
              <w:top w:w="80" w:type="dxa"/>
              <w:start w:w="100" w:type="dxa"/>
              <w:bottom w:w="80" w:type="dxa"/>
              <w:end w:w="100" w:type="dxa"/>
            </w:tcMar>
            <w:vAlign w:val="top"/>
          </w:tcPr>
          <w:p>
            <w:r>
              <w:rPr>
                <w:rFonts w:ascii="Times New Roman" w:hAnsi="Times New Roman" w:eastAsia="Times New Roman"/>
                <w:sz w:val="17"/>
              </w:rPr>
              <w:t>1.10 uzun kabul şartı döngüsüyle bittiğinden 2. bölüm yeniden aynı zemini açıyor.</w:t>
            </w:r>
          </w:p>
        </w:tc>
        <w:tc>
          <w:tcPr>
            <w:tcW w:type="dxa" w:w="1568"/>
            <w:tcMar>
              <w:top w:w="80" w:type="dxa"/>
              <w:start w:w="100" w:type="dxa"/>
              <w:bottom w:w="80" w:type="dxa"/>
              <w:end w:w="100" w:type="dxa"/>
            </w:tcMar>
            <w:vAlign w:val="top"/>
          </w:tcPr>
          <w:p>
            <w:r>
              <w:rPr>
                <w:rFonts w:ascii="Times New Roman" w:hAnsi="Times New Roman" w:eastAsia="Times New Roman"/>
                <w:sz w:val="17"/>
              </w:rPr>
              <w:t>1.10 son cümleyi rivâyet mantığına bağla.</w:t>
            </w:r>
          </w:p>
        </w:tc>
        <w:tc>
          <w:tcPr>
            <w:tcW w:type="dxa" w:w="1568"/>
            <w:tcMar>
              <w:top w:w="80" w:type="dxa"/>
              <w:start w:w="100" w:type="dxa"/>
              <w:bottom w:w="80" w:type="dxa"/>
              <w:end w:w="100" w:type="dxa"/>
            </w:tcMar>
            <w:vAlign w:val="top"/>
          </w:tcPr>
          <w:p>
            <w:r>
              <w:rPr>
                <w:rFonts w:ascii="Times New Roman" w:hAnsi="Times New Roman" w:eastAsia="Times New Roman"/>
                <w:sz w:val="17"/>
              </w:rPr>
              <w:t>“Bu yazılı ölçünün sözlü aktarım içindeki yerini belirlemek için kırâatlerin rivâyet mantığını ayrıca incelemek gerekir.”</w:t>
            </w:r>
          </w:p>
        </w:tc>
      </w:tr>
      <w:tr>
        <w:tc>
          <w:tcPr>
            <w:tcW w:type="dxa" w:w="1568"/>
            <w:tcMar>
              <w:top w:w="80" w:type="dxa"/>
              <w:start w:w="100" w:type="dxa"/>
              <w:bottom w:w="80" w:type="dxa"/>
              <w:end w:w="100" w:type="dxa"/>
            </w:tcMar>
            <w:vAlign w:val="top"/>
          </w:tcPr>
          <w:p>
            <w:r>
              <w:rPr>
                <w:rFonts w:ascii="Times New Roman" w:hAnsi="Times New Roman" w:eastAsia="Times New Roman"/>
                <w:sz w:val="17"/>
              </w:rPr>
              <w:t>14</w:t>
            </w:r>
          </w:p>
        </w:tc>
        <w:tc>
          <w:tcPr>
            <w:tcW w:type="dxa" w:w="1568"/>
            <w:tcMar>
              <w:top w:w="80" w:type="dxa"/>
              <w:start w:w="100" w:type="dxa"/>
              <w:bottom w:w="80" w:type="dxa"/>
              <w:end w:w="100" w:type="dxa"/>
            </w:tcMar>
            <w:vAlign w:val="top"/>
          </w:tcPr>
          <w:p>
            <w:r>
              <w:rPr>
                <w:rFonts w:ascii="Times New Roman" w:hAnsi="Times New Roman" w:eastAsia="Times New Roman"/>
                <w:sz w:val="17"/>
              </w:rPr>
              <w:t>2.1 → 2.2</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Rivâyet/sened ayrıntısı 2.1’de tüketiliyor.</w:t>
            </w:r>
          </w:p>
        </w:tc>
        <w:tc>
          <w:tcPr>
            <w:tcW w:type="dxa" w:w="1568"/>
            <w:tcMar>
              <w:top w:w="80" w:type="dxa"/>
              <w:start w:w="100" w:type="dxa"/>
              <w:bottom w:w="80" w:type="dxa"/>
              <w:end w:w="100" w:type="dxa"/>
            </w:tcMar>
            <w:vAlign w:val="top"/>
          </w:tcPr>
          <w:p>
            <w:r>
              <w:rPr>
                <w:rFonts w:ascii="Times New Roman" w:hAnsi="Times New Roman" w:eastAsia="Times New Roman"/>
                <w:sz w:val="17"/>
              </w:rPr>
              <w:t>2.1 sonunu ileri gönderme yap.</w:t>
            </w:r>
          </w:p>
        </w:tc>
        <w:tc>
          <w:tcPr>
            <w:tcW w:type="dxa" w:w="1568"/>
            <w:tcMar>
              <w:top w:w="80" w:type="dxa"/>
              <w:start w:w="100" w:type="dxa"/>
              <w:bottom w:w="80" w:type="dxa"/>
              <w:end w:w="100" w:type="dxa"/>
            </w:tcMar>
            <w:vAlign w:val="top"/>
          </w:tcPr>
          <w:p>
            <w:r>
              <w:rPr>
                <w:rFonts w:ascii="Times New Roman" w:hAnsi="Times New Roman" w:eastAsia="Times New Roman"/>
                <w:sz w:val="17"/>
              </w:rPr>
              <w:t>“Bu rivâyet temelli yapının sened ve ilmî otoriteyle ilişkisi sonraki başlıkta ele alınacaktır.”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15</w:t>
            </w:r>
          </w:p>
        </w:tc>
        <w:tc>
          <w:tcPr>
            <w:tcW w:type="dxa" w:w="1568"/>
            <w:tcMar>
              <w:top w:w="80" w:type="dxa"/>
              <w:start w:w="100" w:type="dxa"/>
              <w:bottom w:w="80" w:type="dxa"/>
              <w:end w:w="100" w:type="dxa"/>
            </w:tcMar>
            <w:vAlign w:val="top"/>
          </w:tcPr>
          <w:p>
            <w:r>
              <w:rPr>
                <w:rFonts w:ascii="Times New Roman" w:hAnsi="Times New Roman" w:eastAsia="Times New Roman"/>
                <w:sz w:val="17"/>
              </w:rPr>
              <w:t>2.2 → 2.3</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Otorite ekseni uzun özetle kapanıyor; yedi harf aniden başlıyor.</w:t>
            </w:r>
          </w:p>
        </w:tc>
        <w:tc>
          <w:tcPr>
            <w:tcW w:type="dxa" w:w="1568"/>
            <w:tcMar>
              <w:top w:w="80" w:type="dxa"/>
              <w:start w:w="100" w:type="dxa"/>
              <w:bottom w:w="80" w:type="dxa"/>
              <w:end w:w="100" w:type="dxa"/>
            </w:tcMar>
            <w:vAlign w:val="top"/>
          </w:tcPr>
          <w:p>
            <w:r>
              <w:rPr>
                <w:rFonts w:ascii="Times New Roman" w:hAnsi="Times New Roman" w:eastAsia="Times New Roman"/>
                <w:sz w:val="17"/>
              </w:rPr>
              <w:t>250’yi soruya bağla.</w:t>
            </w:r>
          </w:p>
        </w:tc>
        <w:tc>
          <w:tcPr>
            <w:tcW w:type="dxa" w:w="1568"/>
            <w:tcMar>
              <w:top w:w="80" w:type="dxa"/>
              <w:start w:w="100" w:type="dxa"/>
              <w:bottom w:w="80" w:type="dxa"/>
              <w:end w:w="100" w:type="dxa"/>
            </w:tcMar>
            <w:vAlign w:val="top"/>
          </w:tcPr>
          <w:p>
            <w:r>
              <w:rPr>
                <w:rFonts w:ascii="Times New Roman" w:hAnsi="Times New Roman" w:eastAsia="Times New Roman"/>
                <w:sz w:val="17"/>
              </w:rPr>
              <w:t>“Bu aktarım düzeninin yazılı mushafla ilişkisi, yedi harf ile Osmânî mushaf meselesinde daha belirgin hâle gelir.”</w:t>
            </w:r>
          </w:p>
        </w:tc>
      </w:tr>
      <w:tr>
        <w:tc>
          <w:tcPr>
            <w:tcW w:type="dxa" w:w="1568"/>
            <w:tcMar>
              <w:top w:w="80" w:type="dxa"/>
              <w:start w:w="100" w:type="dxa"/>
              <w:bottom w:w="80" w:type="dxa"/>
              <w:end w:w="100" w:type="dxa"/>
            </w:tcMar>
            <w:vAlign w:val="top"/>
          </w:tcPr>
          <w:p>
            <w:r>
              <w:rPr>
                <w:rFonts w:ascii="Times New Roman" w:hAnsi="Times New Roman" w:eastAsia="Times New Roman"/>
                <w:sz w:val="17"/>
              </w:rPr>
              <w:t>16</w:t>
            </w:r>
          </w:p>
        </w:tc>
        <w:tc>
          <w:tcPr>
            <w:tcW w:type="dxa" w:w="1568"/>
            <w:tcMar>
              <w:top w:w="80" w:type="dxa"/>
              <w:start w:w="100" w:type="dxa"/>
              <w:bottom w:w="80" w:type="dxa"/>
              <w:end w:w="100" w:type="dxa"/>
            </w:tcMar>
            <w:vAlign w:val="top"/>
          </w:tcPr>
          <w:p>
            <w:r>
              <w:rPr>
                <w:rFonts w:ascii="Times New Roman" w:hAnsi="Times New Roman" w:eastAsia="Times New Roman"/>
                <w:sz w:val="17"/>
              </w:rPr>
              <w:t>2.3 → 2.4</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Yedi harf yeniden uzun özetleniyor.</w:t>
            </w:r>
          </w:p>
        </w:tc>
        <w:tc>
          <w:tcPr>
            <w:tcW w:type="dxa" w:w="1568"/>
            <w:tcMar>
              <w:top w:w="80" w:type="dxa"/>
              <w:start w:w="100" w:type="dxa"/>
              <w:bottom w:w="80" w:type="dxa"/>
              <w:end w:w="100" w:type="dxa"/>
            </w:tcMar>
            <w:vAlign w:val="top"/>
          </w:tcPr>
          <w:p>
            <w:r>
              <w:rPr>
                <w:rFonts w:ascii="Times New Roman" w:hAnsi="Times New Roman" w:eastAsia="Times New Roman"/>
                <w:sz w:val="17"/>
              </w:rPr>
              <w:t>260’ı ortak başvuru metnine köprü yap.</w:t>
            </w:r>
          </w:p>
        </w:tc>
        <w:tc>
          <w:tcPr>
            <w:tcW w:type="dxa" w:w="1568"/>
            <w:tcMar>
              <w:top w:w="80" w:type="dxa"/>
              <w:start w:w="100" w:type="dxa"/>
              <w:bottom w:w="80" w:type="dxa"/>
              <w:end w:w="100" w:type="dxa"/>
            </w:tcMar>
            <w:vAlign w:val="top"/>
          </w:tcPr>
          <w:p>
            <w:r>
              <w:rPr>
                <w:rFonts w:ascii="Times New Roman" w:hAnsi="Times New Roman" w:eastAsia="Times New Roman"/>
                <w:sz w:val="17"/>
              </w:rPr>
              <w:t>“Bu farklı görüşler, Osmânî mushafların kırâat ve tefsirde ortak başvuru zemini hâline gelişinin ayrıca incelenmesini gerekli kılar.”</w:t>
            </w:r>
          </w:p>
        </w:tc>
      </w:tr>
      <w:tr>
        <w:tc>
          <w:tcPr>
            <w:tcW w:type="dxa" w:w="1568"/>
            <w:tcMar>
              <w:top w:w="80" w:type="dxa"/>
              <w:start w:w="100" w:type="dxa"/>
              <w:bottom w:w="80" w:type="dxa"/>
              <w:end w:w="100" w:type="dxa"/>
            </w:tcMar>
            <w:vAlign w:val="top"/>
          </w:tcPr>
          <w:p>
            <w:r>
              <w:rPr>
                <w:rFonts w:ascii="Times New Roman" w:hAnsi="Times New Roman" w:eastAsia="Times New Roman"/>
                <w:sz w:val="17"/>
              </w:rPr>
              <w:t>17</w:t>
            </w:r>
          </w:p>
        </w:tc>
        <w:tc>
          <w:tcPr>
            <w:tcW w:type="dxa" w:w="1568"/>
            <w:tcMar>
              <w:top w:w="80" w:type="dxa"/>
              <w:start w:w="100" w:type="dxa"/>
              <w:bottom w:w="80" w:type="dxa"/>
              <w:end w:w="100" w:type="dxa"/>
            </w:tcMar>
            <w:vAlign w:val="top"/>
          </w:tcPr>
          <w:p>
            <w:r>
              <w:rPr>
                <w:rFonts w:ascii="Times New Roman" w:hAnsi="Times New Roman" w:eastAsia="Times New Roman"/>
                <w:sz w:val="17"/>
              </w:rPr>
              <w:t>2.4 → 3. Bölüm</w:t>
            </w:r>
          </w:p>
        </w:tc>
        <w:tc>
          <w:tcPr>
            <w:tcW w:type="dxa" w:w="1568"/>
            <w:tcMar>
              <w:top w:w="80" w:type="dxa"/>
              <w:start w:w="100" w:type="dxa"/>
              <w:bottom w:w="80" w:type="dxa"/>
              <w:end w:w="100" w:type="dxa"/>
            </w:tcMar>
            <w:vAlign w:val="top"/>
          </w:tcPr>
          <w:p>
            <w:r>
              <w:rPr>
                <w:rFonts w:ascii="Times New Roman" w:hAnsi="Times New Roman" w:eastAsia="Times New Roman"/>
                <w:sz w:val="17"/>
              </w:rPr>
              <w:t>Bölüm</w:t>
            </w:r>
          </w:p>
        </w:tc>
        <w:tc>
          <w:tcPr>
            <w:tcW w:type="dxa" w:w="1568"/>
            <w:tcMar>
              <w:top w:w="80" w:type="dxa"/>
              <w:start w:w="100" w:type="dxa"/>
              <w:bottom w:w="80" w:type="dxa"/>
              <w:end w:w="100" w:type="dxa"/>
            </w:tcMar>
            <w:vAlign w:val="top"/>
          </w:tcPr>
          <w:p>
            <w:r>
              <w:rPr>
                <w:rFonts w:ascii="Times New Roman" w:hAnsi="Times New Roman" w:eastAsia="Times New Roman"/>
                <w:sz w:val="17"/>
              </w:rPr>
              <w:t>Genel etki tartışmasından somut resm–lafız–mana örneklerine bağ görünmüyor.</w:t>
            </w:r>
          </w:p>
        </w:tc>
        <w:tc>
          <w:tcPr>
            <w:tcW w:type="dxa" w:w="1568"/>
            <w:tcMar>
              <w:top w:w="80" w:type="dxa"/>
              <w:start w:w="100" w:type="dxa"/>
              <w:bottom w:w="80" w:type="dxa"/>
              <w:end w:w="100" w:type="dxa"/>
            </w:tcMar>
            <w:vAlign w:val="top"/>
          </w:tcPr>
          <w:p>
            <w:r>
              <w:rPr>
                <w:rFonts w:ascii="Times New Roman" w:hAnsi="Times New Roman" w:eastAsia="Times New Roman"/>
                <w:sz w:val="17"/>
              </w:rPr>
              <w:t>273’ü somut incelemeye bağla.</w:t>
            </w:r>
          </w:p>
        </w:tc>
        <w:tc>
          <w:tcPr>
            <w:tcW w:type="dxa" w:w="1568"/>
            <w:tcMar>
              <w:top w:w="80" w:type="dxa"/>
              <w:start w:w="100" w:type="dxa"/>
              <w:bottom w:w="80" w:type="dxa"/>
              <w:end w:w="100" w:type="dxa"/>
            </w:tcMar>
            <w:vAlign w:val="top"/>
          </w:tcPr>
          <w:p>
            <w:r>
              <w:rPr>
                <w:rFonts w:ascii="Times New Roman" w:hAnsi="Times New Roman" w:eastAsia="Times New Roman"/>
                <w:sz w:val="17"/>
              </w:rPr>
              <w:t>“Bu genel çerçevenin nasıl işlediği, resm, kırâat, lafız ve mana arasındaki somut örneklerde daha açık görülebilir.”</w:t>
            </w:r>
          </w:p>
        </w:tc>
      </w:tr>
      <w:tr>
        <w:tc>
          <w:tcPr>
            <w:tcW w:type="dxa" w:w="1568"/>
            <w:tcMar>
              <w:top w:w="80" w:type="dxa"/>
              <w:start w:w="100" w:type="dxa"/>
              <w:bottom w:w="80" w:type="dxa"/>
              <w:end w:w="100" w:type="dxa"/>
            </w:tcMar>
            <w:vAlign w:val="top"/>
          </w:tcPr>
          <w:p>
            <w:r>
              <w:rPr>
                <w:rFonts w:ascii="Times New Roman" w:hAnsi="Times New Roman" w:eastAsia="Times New Roman"/>
                <w:sz w:val="17"/>
              </w:rPr>
              <w:t>18</w:t>
            </w:r>
          </w:p>
        </w:tc>
        <w:tc>
          <w:tcPr>
            <w:tcW w:type="dxa" w:w="1568"/>
            <w:tcMar>
              <w:top w:w="80" w:type="dxa"/>
              <w:start w:w="100" w:type="dxa"/>
              <w:bottom w:w="80" w:type="dxa"/>
              <w:end w:w="100" w:type="dxa"/>
            </w:tcMar>
            <w:vAlign w:val="top"/>
          </w:tcPr>
          <w:p>
            <w:r>
              <w:rPr>
                <w:rFonts w:ascii="Times New Roman" w:hAnsi="Times New Roman" w:eastAsia="Times New Roman"/>
                <w:sz w:val="17"/>
              </w:rPr>
              <w:t>3.3 → 3.4</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3.3 sonu mana alanına taşıyor, 3.4 aynı alanı yeniden açıyor.</w:t>
            </w:r>
          </w:p>
        </w:tc>
        <w:tc>
          <w:tcPr>
            <w:tcW w:type="dxa" w:w="1568"/>
            <w:tcMar>
              <w:top w:w="80" w:type="dxa"/>
              <w:start w:w="100" w:type="dxa"/>
              <w:bottom w:w="80" w:type="dxa"/>
              <w:end w:w="100" w:type="dxa"/>
            </w:tcMar>
            <w:vAlign w:val="top"/>
          </w:tcPr>
          <w:p>
            <w:r>
              <w:rPr>
                <w:rFonts w:ascii="Times New Roman" w:hAnsi="Times New Roman" w:eastAsia="Times New Roman"/>
                <w:sz w:val="17"/>
              </w:rPr>
              <w:t>Mana kısmını 3.4’e taşı.</w:t>
            </w:r>
          </w:p>
        </w:tc>
        <w:tc>
          <w:tcPr>
            <w:tcW w:type="dxa" w:w="1568"/>
            <w:tcMar>
              <w:top w:w="80" w:type="dxa"/>
              <w:start w:w="100" w:type="dxa"/>
              <w:bottom w:w="80" w:type="dxa"/>
              <w:end w:w="100" w:type="dxa"/>
            </w:tcMar>
            <w:vAlign w:val="top"/>
          </w:tcPr>
          <w:p>
            <w:r>
              <w:rPr>
                <w:rFonts w:ascii="Times New Roman" w:hAnsi="Times New Roman" w:eastAsia="Times New Roman"/>
                <w:sz w:val="17"/>
              </w:rPr>
              <w:t>3.3 fonetik/yazısal ilişkiyle bitsin; 3.4 mana-hikmet yorumlarıyla başlasın.</w:t>
            </w:r>
          </w:p>
        </w:tc>
      </w:tr>
      <w:tr>
        <w:tc>
          <w:tcPr>
            <w:tcW w:type="dxa" w:w="1568"/>
            <w:tcMar>
              <w:top w:w="80" w:type="dxa"/>
              <w:start w:w="100" w:type="dxa"/>
              <w:bottom w:w="80" w:type="dxa"/>
              <w:end w:w="100" w:type="dxa"/>
            </w:tcMar>
            <w:vAlign w:val="top"/>
          </w:tcPr>
          <w:p>
            <w:r>
              <w:rPr>
                <w:rFonts w:ascii="Times New Roman" w:hAnsi="Times New Roman" w:eastAsia="Times New Roman"/>
                <w:sz w:val="17"/>
              </w:rPr>
              <w:t>19</w:t>
            </w:r>
          </w:p>
        </w:tc>
        <w:tc>
          <w:tcPr>
            <w:tcW w:type="dxa" w:w="1568"/>
            <w:tcMar>
              <w:top w:w="80" w:type="dxa"/>
              <w:start w:w="100" w:type="dxa"/>
              <w:bottom w:w="80" w:type="dxa"/>
              <w:end w:w="100" w:type="dxa"/>
            </w:tcMar>
            <w:vAlign w:val="top"/>
          </w:tcPr>
          <w:p>
            <w:r>
              <w:rPr>
                <w:rFonts w:ascii="Times New Roman" w:hAnsi="Times New Roman" w:eastAsia="Times New Roman"/>
                <w:sz w:val="17"/>
              </w:rPr>
              <w:t>3.5 → 3.6</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İki sonuç paragrafından sonra bağlayıcılık başlığı başlıyor.</w:t>
            </w:r>
          </w:p>
        </w:tc>
        <w:tc>
          <w:tcPr>
            <w:tcW w:type="dxa" w:w="1568"/>
            <w:tcMar>
              <w:top w:w="80" w:type="dxa"/>
              <w:start w:w="100" w:type="dxa"/>
              <w:bottom w:w="80" w:type="dxa"/>
              <w:end w:w="100" w:type="dxa"/>
            </w:tcMar>
            <w:vAlign w:val="top"/>
          </w:tcPr>
          <w:p>
            <w:r>
              <w:rPr>
                <w:rFonts w:ascii="Times New Roman" w:hAnsi="Times New Roman" w:eastAsia="Times New Roman"/>
                <w:sz w:val="17"/>
              </w:rPr>
              <w:t>311’i bağlayıcılık sorusuna dönüştür.</w:t>
            </w:r>
          </w:p>
        </w:tc>
        <w:tc>
          <w:tcPr>
            <w:tcW w:type="dxa" w:w="1568"/>
            <w:tcMar>
              <w:top w:w="80" w:type="dxa"/>
              <w:start w:w="100" w:type="dxa"/>
              <w:bottom w:w="80" w:type="dxa"/>
              <w:end w:w="100" w:type="dxa"/>
            </w:tcMar>
            <w:vAlign w:val="top"/>
          </w:tcPr>
          <w:p>
            <w:r>
              <w:rPr>
                <w:rFonts w:ascii="Times New Roman" w:hAnsi="Times New Roman" w:eastAsia="Times New Roman"/>
                <w:sz w:val="17"/>
              </w:rPr>
              <w:t>“Bu dilsel ve anlamsal kullanımlar, resm verisinin yorumdaki yerini gösterir; bu verinin normatif bağlayıcılığı ise ayrı bir meseledir.”</w:t>
            </w:r>
          </w:p>
        </w:tc>
      </w:tr>
      <w:tr>
        <w:tc>
          <w:tcPr>
            <w:tcW w:type="dxa" w:w="1568"/>
            <w:tcMar>
              <w:top w:w="80" w:type="dxa"/>
              <w:start w:w="100" w:type="dxa"/>
              <w:bottom w:w="80" w:type="dxa"/>
              <w:end w:w="100" w:type="dxa"/>
            </w:tcMar>
            <w:vAlign w:val="top"/>
          </w:tcPr>
          <w:p>
            <w:r>
              <w:rPr>
                <w:rFonts w:ascii="Times New Roman" w:hAnsi="Times New Roman" w:eastAsia="Times New Roman"/>
                <w:sz w:val="17"/>
              </w:rPr>
              <w:t>20</w:t>
            </w:r>
          </w:p>
        </w:tc>
        <w:tc>
          <w:tcPr>
            <w:tcW w:type="dxa" w:w="1568"/>
            <w:tcMar>
              <w:top w:w="80" w:type="dxa"/>
              <w:start w:w="100" w:type="dxa"/>
              <w:bottom w:w="80" w:type="dxa"/>
              <w:end w:w="100" w:type="dxa"/>
            </w:tcMar>
            <w:vAlign w:val="top"/>
          </w:tcPr>
          <w:p>
            <w:r>
              <w:rPr>
                <w:rFonts w:ascii="Times New Roman" w:hAnsi="Times New Roman" w:eastAsia="Times New Roman"/>
                <w:sz w:val="17"/>
              </w:rPr>
              <w:t>3.12 → 4. Bölüm</w:t>
            </w:r>
          </w:p>
        </w:tc>
        <w:tc>
          <w:tcPr>
            <w:tcW w:type="dxa" w:w="1568"/>
            <w:tcMar>
              <w:top w:w="80" w:type="dxa"/>
              <w:start w:w="100" w:type="dxa"/>
              <w:bottom w:w="80" w:type="dxa"/>
              <w:end w:w="100" w:type="dxa"/>
            </w:tcMar>
            <w:vAlign w:val="top"/>
          </w:tcPr>
          <w:p>
            <w:r>
              <w:rPr>
                <w:rFonts w:ascii="Times New Roman" w:hAnsi="Times New Roman" w:eastAsia="Times New Roman"/>
                <w:sz w:val="17"/>
              </w:rPr>
              <w:t>Bölüm</w:t>
            </w:r>
          </w:p>
        </w:tc>
        <w:tc>
          <w:tcPr>
            <w:tcW w:type="dxa" w:w="1568"/>
            <w:tcMar>
              <w:top w:w="80" w:type="dxa"/>
              <w:start w:w="100" w:type="dxa"/>
              <w:bottom w:w="80" w:type="dxa"/>
              <w:end w:w="100" w:type="dxa"/>
            </w:tcMar>
            <w:vAlign w:val="top"/>
          </w:tcPr>
          <w:p>
            <w:r>
              <w:rPr>
                <w:rFonts w:ascii="Times New Roman" w:hAnsi="Times New Roman" w:eastAsia="Times New Roman"/>
                <w:sz w:val="17"/>
              </w:rPr>
              <w:t>Ümmet birliğinden teknik rivâyet işlevine ani dönüş.</w:t>
            </w:r>
          </w:p>
        </w:tc>
        <w:tc>
          <w:tcPr>
            <w:tcW w:type="dxa" w:w="1568"/>
            <w:tcMar>
              <w:top w:w="80" w:type="dxa"/>
              <w:start w:w="100" w:type="dxa"/>
              <w:bottom w:w="80" w:type="dxa"/>
              <w:end w:w="100" w:type="dxa"/>
            </w:tcMar>
            <w:vAlign w:val="top"/>
          </w:tcPr>
          <w:p>
            <w:r>
              <w:rPr>
                <w:rFonts w:ascii="Times New Roman" w:hAnsi="Times New Roman" w:eastAsia="Times New Roman"/>
                <w:sz w:val="17"/>
              </w:rPr>
              <w:t>Son cümlede kitabın ana sorusuna dön.</w:t>
            </w:r>
          </w:p>
        </w:tc>
        <w:tc>
          <w:tcPr>
            <w:tcW w:type="dxa" w:w="1568"/>
            <w:tcMar>
              <w:top w:w="80" w:type="dxa"/>
              <w:start w:w="100" w:type="dxa"/>
              <w:bottom w:w="80" w:type="dxa"/>
              <w:end w:w="100" w:type="dxa"/>
            </w:tcMar>
            <w:vAlign w:val="top"/>
          </w:tcPr>
          <w:p>
            <w:r>
              <w:rPr>
                <w:rFonts w:ascii="Times New Roman" w:hAnsi="Times New Roman" w:eastAsia="Times New Roman"/>
                <w:sz w:val="17"/>
              </w:rPr>
              <w:t>“Bu gerekçelerden sonra, resm verilerinin kırâat vecihlerinin rivâyet ve değerlendirilmesinde nasıl kullanıldığına geçilebilir.”</w:t>
            </w:r>
          </w:p>
        </w:tc>
      </w:tr>
      <w:tr>
        <w:tc>
          <w:tcPr>
            <w:tcW w:type="dxa" w:w="1568"/>
            <w:tcMar>
              <w:top w:w="80" w:type="dxa"/>
              <w:start w:w="100" w:type="dxa"/>
              <w:bottom w:w="80" w:type="dxa"/>
              <w:end w:w="100" w:type="dxa"/>
            </w:tcMar>
            <w:vAlign w:val="top"/>
          </w:tcPr>
          <w:p>
            <w:r>
              <w:rPr>
                <w:rFonts w:ascii="Times New Roman" w:hAnsi="Times New Roman" w:eastAsia="Times New Roman"/>
                <w:sz w:val="17"/>
              </w:rPr>
              <w:t>21</w:t>
            </w:r>
          </w:p>
        </w:tc>
        <w:tc>
          <w:tcPr>
            <w:tcW w:type="dxa" w:w="1568"/>
            <w:tcMar>
              <w:top w:w="80" w:type="dxa"/>
              <w:start w:w="100" w:type="dxa"/>
              <w:bottom w:w="80" w:type="dxa"/>
              <w:end w:w="100" w:type="dxa"/>
            </w:tcMar>
            <w:vAlign w:val="top"/>
          </w:tcPr>
          <w:p>
            <w:r>
              <w:rPr>
                <w:rFonts w:ascii="Times New Roman" w:hAnsi="Times New Roman" w:eastAsia="Times New Roman"/>
                <w:sz w:val="17"/>
              </w:rPr>
              <w:t>4.1 → 4.2</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Genel tahditten sahâbe mushaflarına neden geçildiği söylenmiyor.</w:t>
            </w:r>
          </w:p>
        </w:tc>
        <w:tc>
          <w:tcPr>
            <w:tcW w:type="dxa" w:w="1568"/>
            <w:tcMar>
              <w:top w:w="80" w:type="dxa"/>
              <w:start w:w="100" w:type="dxa"/>
              <w:bottom w:w="80" w:type="dxa"/>
              <w:end w:w="100" w:type="dxa"/>
            </w:tcMar>
            <w:vAlign w:val="top"/>
          </w:tcPr>
          <w:p>
            <w:r>
              <w:rPr>
                <w:rFonts w:ascii="Times New Roman" w:hAnsi="Times New Roman" w:eastAsia="Times New Roman"/>
                <w:sz w:val="17"/>
              </w:rPr>
              <w:t>4.1 son cümleyi tarihsel tanıklık/normatif otorite ayrımına bağla.</w:t>
            </w:r>
          </w:p>
        </w:tc>
        <w:tc>
          <w:tcPr>
            <w:tcW w:type="dxa" w:w="1568"/>
            <w:tcMar>
              <w:top w:w="80" w:type="dxa"/>
              <w:start w:w="100" w:type="dxa"/>
              <w:bottom w:w="80" w:type="dxa"/>
              <w:end w:w="100" w:type="dxa"/>
            </w:tcMar>
            <w:vAlign w:val="top"/>
          </w:tcPr>
          <w:p>
            <w:r>
              <w:rPr>
                <w:rFonts w:ascii="Times New Roman" w:hAnsi="Times New Roman" w:eastAsia="Times New Roman"/>
                <w:sz w:val="17"/>
              </w:rPr>
              <w:t>“Bu sınır, sahâbe mushaflarına nispet edilen farklı kayıtlar karşısında daha görünür hâle gelir.”</w:t>
            </w:r>
          </w:p>
        </w:tc>
      </w:tr>
      <w:tr>
        <w:tc>
          <w:tcPr>
            <w:tcW w:type="dxa" w:w="1568"/>
            <w:tcMar>
              <w:top w:w="80" w:type="dxa"/>
              <w:start w:w="100" w:type="dxa"/>
              <w:bottom w:w="80" w:type="dxa"/>
              <w:end w:w="100" w:type="dxa"/>
            </w:tcMar>
            <w:vAlign w:val="top"/>
          </w:tcPr>
          <w:p>
            <w:r>
              <w:rPr>
                <w:rFonts w:ascii="Times New Roman" w:hAnsi="Times New Roman" w:eastAsia="Times New Roman"/>
                <w:sz w:val="17"/>
              </w:rPr>
              <w:t>22</w:t>
            </w:r>
          </w:p>
        </w:tc>
        <w:tc>
          <w:tcPr>
            <w:tcW w:type="dxa" w:w="1568"/>
            <w:tcMar>
              <w:top w:w="80" w:type="dxa"/>
              <w:start w:w="100" w:type="dxa"/>
              <w:bottom w:w="80" w:type="dxa"/>
              <w:end w:w="100" w:type="dxa"/>
            </w:tcMar>
            <w:vAlign w:val="top"/>
          </w:tcPr>
          <w:p>
            <w:r>
              <w:rPr>
                <w:rFonts w:ascii="Times New Roman" w:hAnsi="Times New Roman" w:eastAsia="Times New Roman"/>
                <w:sz w:val="17"/>
              </w:rPr>
              <w:t>4.3 → 4.4</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Kabul/ret ile tercih-tevcîh aynı düzey gibi art arda geliyor.</w:t>
            </w:r>
          </w:p>
        </w:tc>
        <w:tc>
          <w:tcPr>
            <w:tcW w:type="dxa" w:w="1568"/>
            <w:tcMar>
              <w:top w:w="80" w:type="dxa"/>
              <w:start w:w="100" w:type="dxa"/>
              <w:bottom w:w="80" w:type="dxa"/>
              <w:end w:w="100" w:type="dxa"/>
            </w:tcMar>
            <w:vAlign w:val="top"/>
          </w:tcPr>
          <w:p>
            <w:r>
              <w:rPr>
                <w:rFonts w:ascii="Times New Roman" w:hAnsi="Times New Roman" w:eastAsia="Times New Roman"/>
                <w:sz w:val="17"/>
              </w:rPr>
              <w:t>4.4’te düzey ayrımı kur.</w:t>
            </w:r>
          </w:p>
        </w:tc>
        <w:tc>
          <w:tcPr>
            <w:tcW w:type="dxa" w:w="1568"/>
            <w:tcMar>
              <w:top w:w="80" w:type="dxa"/>
              <w:start w:w="100" w:type="dxa"/>
              <w:bottom w:w="80" w:type="dxa"/>
              <w:end w:w="100" w:type="dxa"/>
            </w:tcMar>
            <w:vAlign w:val="top"/>
          </w:tcPr>
          <w:p>
            <w:r>
              <w:rPr>
                <w:rFonts w:ascii="Times New Roman" w:hAnsi="Times New Roman" w:eastAsia="Times New Roman"/>
                <w:sz w:val="17"/>
              </w:rPr>
              <w:t>“Kabul sınırı ile sahih kabul edilen okuyuşlar arasındaki tercih ve tevcîh işlemleri birbirinden ayrılmalıdır.”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23</w:t>
            </w:r>
          </w:p>
        </w:tc>
        <w:tc>
          <w:tcPr>
            <w:tcW w:type="dxa" w:w="1568"/>
            <w:tcMar>
              <w:top w:w="80" w:type="dxa"/>
              <w:start w:w="100" w:type="dxa"/>
              <w:bottom w:w="80" w:type="dxa"/>
              <w:end w:w="100" w:type="dxa"/>
            </w:tcMar>
            <w:vAlign w:val="top"/>
          </w:tcPr>
          <w:p>
            <w:r>
              <w:rPr>
                <w:rFonts w:ascii="Times New Roman" w:hAnsi="Times New Roman" w:eastAsia="Times New Roman"/>
                <w:sz w:val="17"/>
              </w:rPr>
              <w:t>4.5 → 4.6</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Erken resm rivâyetlerinden modern neşre zaman sıçraması.</w:t>
            </w:r>
          </w:p>
        </w:tc>
        <w:tc>
          <w:tcPr>
            <w:tcW w:type="dxa" w:w="1568"/>
            <w:tcMar>
              <w:top w:w="80" w:type="dxa"/>
              <w:start w:w="100" w:type="dxa"/>
              <w:bottom w:w="80" w:type="dxa"/>
              <w:end w:w="100" w:type="dxa"/>
            </w:tcMar>
            <w:vAlign w:val="top"/>
          </w:tcPr>
          <w:p>
            <w:r>
              <w:rPr>
                <w:rFonts w:ascii="Times New Roman" w:hAnsi="Times New Roman" w:eastAsia="Times New Roman"/>
                <w:sz w:val="17"/>
              </w:rPr>
              <w:t>4.6 klasik birikimin neşre aktarılmasıyla başlasın.</w:t>
            </w:r>
          </w:p>
        </w:tc>
        <w:tc>
          <w:tcPr>
            <w:tcW w:type="dxa" w:w="1568"/>
            <w:tcMar>
              <w:top w:w="80" w:type="dxa"/>
              <w:start w:w="100" w:type="dxa"/>
              <w:bottom w:w="80" w:type="dxa"/>
              <w:end w:w="100" w:type="dxa"/>
            </w:tcMar>
            <w:vAlign w:val="top"/>
          </w:tcPr>
          <w:p>
            <w:r>
              <w:rPr>
                <w:rFonts w:ascii="Times New Roman" w:hAnsi="Times New Roman" w:eastAsia="Times New Roman"/>
                <w:sz w:val="17"/>
              </w:rPr>
              <w:t>“Resm rivâyetlerinin sonraki dönemdeki önemli işlevlerinden biri, mushaf istinsahı ve neşrinde başvurulan yazım geleneğini beslemesidir.”</w:t>
            </w:r>
          </w:p>
        </w:tc>
      </w:tr>
      <w:tr>
        <w:tc>
          <w:tcPr>
            <w:tcW w:type="dxa" w:w="1568"/>
            <w:tcMar>
              <w:top w:w="80" w:type="dxa"/>
              <w:start w:w="100" w:type="dxa"/>
              <w:bottom w:w="80" w:type="dxa"/>
              <w:end w:w="100" w:type="dxa"/>
            </w:tcMar>
            <w:vAlign w:val="top"/>
          </w:tcPr>
          <w:p>
            <w:r>
              <w:rPr>
                <w:rFonts w:ascii="Times New Roman" w:hAnsi="Times New Roman" w:eastAsia="Times New Roman"/>
                <w:sz w:val="17"/>
              </w:rPr>
              <w:t>24</w:t>
            </w:r>
          </w:p>
        </w:tc>
        <w:tc>
          <w:tcPr>
            <w:tcW w:type="dxa" w:w="1568"/>
            <w:tcMar>
              <w:top w:w="80" w:type="dxa"/>
              <w:start w:w="100" w:type="dxa"/>
              <w:bottom w:w="80" w:type="dxa"/>
              <w:end w:w="100" w:type="dxa"/>
            </w:tcMar>
            <w:vAlign w:val="top"/>
          </w:tcPr>
          <w:p>
            <w:r>
              <w:rPr>
                <w:rFonts w:ascii="Times New Roman" w:hAnsi="Times New Roman" w:eastAsia="Times New Roman"/>
                <w:sz w:val="17"/>
              </w:rPr>
              <w:t>4.6 → 4.7</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Yeni başlık iki paragraf genel hat tarihine geri dönüyor.</w:t>
            </w:r>
          </w:p>
        </w:tc>
        <w:tc>
          <w:tcPr>
            <w:tcW w:type="dxa" w:w="1568"/>
            <w:tcMar>
              <w:top w:w="80" w:type="dxa"/>
              <w:start w:w="100" w:type="dxa"/>
              <w:bottom w:w="80" w:type="dxa"/>
              <w:end w:w="100" w:type="dxa"/>
            </w:tcMar>
            <w:vAlign w:val="top"/>
          </w:tcPr>
          <w:p>
            <w:r>
              <w:rPr>
                <w:rFonts w:ascii="Times New Roman" w:hAnsi="Times New Roman" w:eastAsia="Times New Roman"/>
                <w:sz w:val="17"/>
              </w:rPr>
              <w:t>4.7’yi mevcut 459 ile başlat.</w:t>
            </w:r>
          </w:p>
        </w:tc>
        <w:tc>
          <w:tcPr>
            <w:tcW w:type="dxa" w:w="1568"/>
            <w:tcMar>
              <w:top w:w="80" w:type="dxa"/>
              <w:start w:w="100" w:type="dxa"/>
              <w:bottom w:w="80" w:type="dxa"/>
              <w:end w:w="100" w:type="dxa"/>
            </w:tcMar>
            <w:vAlign w:val="top"/>
          </w:tcPr>
          <w:p>
            <w:r>
              <w:rPr>
                <w:rFonts w:ascii="Times New Roman" w:hAnsi="Times New Roman" w:eastAsia="Times New Roman"/>
                <w:sz w:val="17"/>
              </w:rPr>
              <w:t>“Zapt işaretlerinin gelişmesiyle mushaflar belirli kırâat rivâyetlerine göre düzenlenmeye başlamıştır.”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25</w:t>
            </w:r>
          </w:p>
        </w:tc>
        <w:tc>
          <w:tcPr>
            <w:tcW w:type="dxa" w:w="1568"/>
            <w:tcMar>
              <w:top w:w="80" w:type="dxa"/>
              <w:start w:w="100" w:type="dxa"/>
              <w:bottom w:w="80" w:type="dxa"/>
              <w:end w:w="100" w:type="dxa"/>
            </w:tcMar>
            <w:vAlign w:val="top"/>
          </w:tcPr>
          <w:p>
            <w:r>
              <w:rPr>
                <w:rFonts w:ascii="Times New Roman" w:hAnsi="Times New Roman" w:eastAsia="Times New Roman"/>
                <w:sz w:val="17"/>
              </w:rPr>
              <w:t>4.7 içi</w:t>
            </w:r>
          </w:p>
        </w:tc>
        <w:tc>
          <w:tcPr>
            <w:tcW w:type="dxa" w:w="1568"/>
            <w:tcMar>
              <w:top w:w="80" w:type="dxa"/>
              <w:start w:w="100" w:type="dxa"/>
              <w:bottom w:w="80" w:type="dxa"/>
              <w:end w:w="100" w:type="dxa"/>
            </w:tcMar>
            <w:vAlign w:val="top"/>
          </w:tcPr>
          <w:p>
            <w:r>
              <w:rPr>
                <w:rFonts w:ascii="Times New Roman" w:hAnsi="Times New Roman" w:eastAsia="Times New Roman"/>
                <w:sz w:val="17"/>
              </w:rPr>
              <w:t>Paragraflar arası</w:t>
            </w:r>
          </w:p>
        </w:tc>
        <w:tc>
          <w:tcPr>
            <w:tcW w:type="dxa" w:w="1568"/>
            <w:tcMar>
              <w:top w:w="80" w:type="dxa"/>
              <w:start w:w="100" w:type="dxa"/>
              <w:bottom w:w="80" w:type="dxa"/>
              <w:end w:w="100" w:type="dxa"/>
            </w:tcMar>
            <w:vAlign w:val="top"/>
          </w:tcPr>
          <w:p>
            <w:r>
              <w:rPr>
                <w:rFonts w:ascii="Times New Roman" w:hAnsi="Times New Roman" w:eastAsia="Times New Roman"/>
                <w:sz w:val="17"/>
              </w:rPr>
              <w:t>471 genel sonuç veriyor, 472 Türkiye örneği başlıyor.</w:t>
            </w:r>
          </w:p>
        </w:tc>
        <w:tc>
          <w:tcPr>
            <w:tcW w:type="dxa" w:w="1568"/>
            <w:tcMar>
              <w:top w:w="80" w:type="dxa"/>
              <w:start w:w="100" w:type="dxa"/>
              <w:bottom w:w="80" w:type="dxa"/>
              <w:end w:w="100" w:type="dxa"/>
            </w:tcMar>
            <w:vAlign w:val="top"/>
          </w:tcPr>
          <w:p>
            <w:r>
              <w:rPr>
                <w:rFonts w:ascii="Times New Roman" w:hAnsi="Times New Roman" w:eastAsia="Times New Roman"/>
                <w:sz w:val="17"/>
              </w:rPr>
              <w:t>471’i sonuçtan geçişe dönüştür.</w:t>
            </w:r>
          </w:p>
        </w:tc>
        <w:tc>
          <w:tcPr>
            <w:tcW w:type="dxa" w:w="1568"/>
            <w:tcMar>
              <w:top w:w="80" w:type="dxa"/>
              <w:start w:w="100" w:type="dxa"/>
              <w:bottom w:w="80" w:type="dxa"/>
              <w:end w:w="100" w:type="dxa"/>
            </w:tcMar>
            <w:vAlign w:val="top"/>
          </w:tcPr>
          <w:p>
            <w:r>
              <w:rPr>
                <w:rFonts w:ascii="Times New Roman" w:hAnsi="Times New Roman" w:eastAsia="Times New Roman"/>
                <w:sz w:val="17"/>
              </w:rPr>
              <w:t>“Bu genel matbu süreç, Türkiye’de denetimli mushaf neşri bakımından farklı bir kurumsal seyir izlemiştir.”</w:t>
            </w:r>
          </w:p>
        </w:tc>
      </w:tr>
      <w:tr>
        <w:tc>
          <w:tcPr>
            <w:tcW w:type="dxa" w:w="1568"/>
            <w:tcMar>
              <w:top w:w="80" w:type="dxa"/>
              <w:start w:w="100" w:type="dxa"/>
              <w:bottom w:w="80" w:type="dxa"/>
              <w:end w:w="100" w:type="dxa"/>
            </w:tcMar>
            <w:vAlign w:val="top"/>
          </w:tcPr>
          <w:p>
            <w:r>
              <w:rPr>
                <w:rFonts w:ascii="Times New Roman" w:hAnsi="Times New Roman" w:eastAsia="Times New Roman"/>
                <w:sz w:val="17"/>
              </w:rPr>
              <w:t>26</w:t>
            </w:r>
          </w:p>
        </w:tc>
        <w:tc>
          <w:tcPr>
            <w:tcW w:type="dxa" w:w="1568"/>
            <w:tcMar>
              <w:top w:w="80" w:type="dxa"/>
              <w:start w:w="100" w:type="dxa"/>
              <w:bottom w:w="80" w:type="dxa"/>
              <w:end w:w="100" w:type="dxa"/>
            </w:tcMar>
            <w:vAlign w:val="top"/>
          </w:tcPr>
          <w:p>
            <w:r>
              <w:rPr>
                <w:rFonts w:ascii="Times New Roman" w:hAnsi="Times New Roman" w:eastAsia="Times New Roman"/>
                <w:sz w:val="17"/>
              </w:rPr>
              <w:t>4.7 → Sonuç</w:t>
            </w:r>
          </w:p>
        </w:tc>
        <w:tc>
          <w:tcPr>
            <w:tcW w:type="dxa" w:w="1568"/>
            <w:tcMar>
              <w:top w:w="80" w:type="dxa"/>
              <w:start w:w="100" w:type="dxa"/>
              <w:bottom w:w="80" w:type="dxa"/>
              <w:end w:w="100" w:type="dxa"/>
            </w:tcMar>
            <w:vAlign w:val="top"/>
          </w:tcPr>
          <w:p>
            <w:r>
              <w:rPr>
                <w:rFonts w:ascii="Times New Roman" w:hAnsi="Times New Roman" w:eastAsia="Times New Roman"/>
                <w:sz w:val="17"/>
              </w:rPr>
              <w:t>Bölüm</w:t>
            </w:r>
          </w:p>
        </w:tc>
        <w:tc>
          <w:tcPr>
            <w:tcW w:type="dxa" w:w="1568"/>
            <w:tcMar>
              <w:top w:w="80" w:type="dxa"/>
              <w:start w:w="100" w:type="dxa"/>
              <w:bottom w:w="80" w:type="dxa"/>
              <w:end w:w="100" w:type="dxa"/>
            </w:tcMar>
            <w:vAlign w:val="top"/>
          </w:tcPr>
          <w:p>
            <w:r>
              <w:rPr>
                <w:rFonts w:ascii="Times New Roman" w:hAnsi="Times New Roman" w:eastAsia="Times New Roman"/>
                <w:sz w:val="17"/>
              </w:rPr>
              <w:t>Açık bir geçiş eksikliği zorunlu değil; Sonuç zaten ana tezi yeniden kuruyor.</w:t>
            </w:r>
          </w:p>
        </w:tc>
        <w:tc>
          <w:tcPr>
            <w:tcW w:type="dxa" w:w="1568"/>
            <w:tcMar>
              <w:top w:w="80" w:type="dxa"/>
              <w:start w:w="100" w:type="dxa"/>
              <w:bottom w:w="80" w:type="dxa"/>
              <w:end w:w="100" w:type="dxa"/>
            </w:tcMar>
            <w:vAlign w:val="top"/>
          </w:tcPr>
          <w:p>
            <w:r>
              <w:rPr>
                <w:rFonts w:ascii="Times New Roman" w:hAnsi="Times New Roman" w:eastAsia="Times New Roman"/>
                <w:sz w:val="17"/>
              </w:rPr>
              <w:t>Yeni paragraf ekleme.</w:t>
            </w:r>
          </w:p>
        </w:tc>
        <w:tc>
          <w:tcPr>
            <w:tcW w:type="dxa" w:w="1568"/>
            <w:tcMar>
              <w:top w:w="80" w:type="dxa"/>
              <w:start w:w="100" w:type="dxa"/>
              <w:bottom w:w="80" w:type="dxa"/>
              <w:end w:w="100" w:type="dxa"/>
            </w:tcMar>
            <w:vAlign w:val="top"/>
          </w:tcPr>
          <w:p>
            <w:r>
              <w:rPr>
                <w:rFonts w:ascii="Times New Roman" w:hAnsi="Times New Roman" w:eastAsia="Times New Roman"/>
                <w:sz w:val="17"/>
              </w:rPr>
              <w:t>Mevcut Sonuç açılışı korunabilir.</w:t>
            </w:r>
          </w:p>
        </w:tc>
      </w:tr>
    </w:tbl>
    <w:p>
      <w:pPr>
        <w:pStyle w:val="Heading1"/>
        <w:keepNext/>
      </w:pPr>
      <w:r>
        <w:t>11. Sonuç Bölümü Dışındaki Gereksiz Ara Sonuç ve Özet Paragrafları</w:t>
      </w:r>
    </w:p>
    <w:p>
      <w:r>
        <w:t>Ana metinde Sonuç bölümü dışında “Sonuç olarak” ifadesi 14 kez geçmektedir. Bunların tamamı aynı derecede sorunlu değildir. Aşağıdaki tabloda her kullanım işlevine göre sınıflandırılmıştır. “Korunabilir” denilenler içerik bakımından gerçek sentez işlevi görmekte; diğerleri çoğunlukla ara özet, tekrar veya geçiş ihtiyacını formülaik bir sonuç paragrafıyla çözmektedir.</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2F5597"/>
          </w:tcPr>
          <w:p>
            <w:r>
              <w:rPr>
                <w:rFonts w:ascii="Times New Roman" w:hAnsi="Times New Roman" w:eastAsia="Times New Roman"/>
                <w:b/>
                <w:color w:val="FFFFFF"/>
                <w:sz w:val="17"/>
              </w:rPr>
              <w:t>Paragraf</w:t>
            </w:r>
          </w:p>
        </w:tc>
        <w:tc>
          <w:tcPr>
            <w:tcW w:type="dxa" w:w="1568"/>
            <w:shd w:fill="2F5597"/>
          </w:tcPr>
          <w:p>
            <w:r>
              <w:rPr>
                <w:rFonts w:ascii="Times New Roman" w:hAnsi="Times New Roman" w:eastAsia="Times New Roman"/>
                <w:b/>
                <w:color w:val="FFFFFF"/>
                <w:sz w:val="17"/>
              </w:rPr>
              <w:t>Yer</w:t>
            </w:r>
          </w:p>
        </w:tc>
        <w:tc>
          <w:tcPr>
            <w:tcW w:type="dxa" w:w="1568"/>
            <w:shd w:fill="2F5597"/>
          </w:tcPr>
          <w:p>
            <w:r>
              <w:rPr>
                <w:rFonts w:ascii="Times New Roman" w:hAnsi="Times New Roman" w:eastAsia="Times New Roman"/>
                <w:b/>
                <w:color w:val="FFFFFF"/>
                <w:sz w:val="17"/>
              </w:rPr>
              <w:t>Sınıf</w:t>
            </w:r>
          </w:p>
        </w:tc>
        <w:tc>
          <w:tcPr>
            <w:tcW w:type="dxa" w:w="1568"/>
            <w:shd w:fill="2F5597"/>
          </w:tcPr>
          <w:p>
            <w:r>
              <w:rPr>
                <w:rFonts w:ascii="Times New Roman" w:hAnsi="Times New Roman" w:eastAsia="Times New Roman"/>
                <w:b/>
                <w:color w:val="FFFFFF"/>
                <w:sz w:val="17"/>
              </w:rPr>
              <w:t>Mevcut açılış</w:t>
            </w:r>
          </w:p>
        </w:tc>
        <w:tc>
          <w:tcPr>
            <w:tcW w:type="dxa" w:w="1568"/>
            <w:shd w:fill="2F5597"/>
          </w:tcPr>
          <w:p>
            <w:r>
              <w:rPr>
                <w:rFonts w:ascii="Times New Roman" w:hAnsi="Times New Roman" w:eastAsia="Times New Roman"/>
                <w:b/>
                <w:color w:val="FFFFFF"/>
                <w:sz w:val="17"/>
              </w:rPr>
              <w:t>Karar</w:t>
            </w:r>
          </w:p>
        </w:tc>
        <w:tc>
          <w:tcPr>
            <w:tcW w:type="dxa" w:w="1568"/>
            <w:shd w:fill="2F5597"/>
          </w:tcPr>
          <w:p>
            <w:r>
              <w:rPr>
                <w:rFonts w:ascii="Times New Roman" w:hAnsi="Times New Roman" w:eastAsia="Times New Roman"/>
                <w:b/>
                <w:color w:val="FFFFFF"/>
                <w:sz w:val="17"/>
              </w:rPr>
              <w:t>Öneri</w:t>
            </w:r>
          </w:p>
        </w:tc>
      </w:tr>
      <w:tr>
        <w:tc>
          <w:tcPr>
            <w:tcW w:type="dxa" w:w="1568"/>
            <w:tcMar>
              <w:top w:w="80" w:type="dxa"/>
              <w:start w:w="100" w:type="dxa"/>
              <w:bottom w:w="80" w:type="dxa"/>
              <w:end w:w="100" w:type="dxa"/>
            </w:tcMar>
          </w:tcPr>
          <w:p>
            <w:r>
              <w:rPr>
                <w:rFonts w:ascii="Times New Roman" w:hAnsi="Times New Roman" w:eastAsia="Times New Roman"/>
                <w:sz w:val="17"/>
              </w:rPr>
              <w:t>133</w:t>
            </w:r>
          </w:p>
        </w:tc>
        <w:tc>
          <w:tcPr>
            <w:tcW w:type="dxa" w:w="1568"/>
            <w:tcMar>
              <w:top w:w="80" w:type="dxa"/>
              <w:start w:w="100" w:type="dxa"/>
              <w:bottom w:w="80" w:type="dxa"/>
              <w:end w:w="100" w:type="dxa"/>
            </w:tcMar>
          </w:tcPr>
          <w:p>
            <w:r>
              <w:rPr>
                <w:rFonts w:ascii="Times New Roman" w:hAnsi="Times New Roman" w:eastAsia="Times New Roman"/>
                <w:sz w:val="17"/>
              </w:rPr>
              <w:t>1.6.2</w:t>
            </w:r>
          </w:p>
        </w:tc>
        <w:tc>
          <w:tcPr>
            <w:tcW w:type="dxa" w:w="1568"/>
            <w:tcMar>
              <w:top w:w="80" w:type="dxa"/>
              <w:start w:w="100" w:type="dxa"/>
              <w:bottom w:w="80" w:type="dxa"/>
              <w:end w:w="100" w:type="dxa"/>
            </w:tcMar>
          </w:tcPr>
          <w:p>
            <w:r>
              <w:rPr>
                <w:rFonts w:ascii="Times New Roman" w:hAnsi="Times New Roman" w:eastAsia="Times New Roman"/>
                <w:sz w:val="17"/>
              </w:rPr>
              <w:t>D: Yapay mini-sonuç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Geçişe dönüştür</w:t>
            </w:r>
          </w:p>
        </w:tc>
        <w:tc>
          <w:tcPr>
            <w:tcW w:type="dxa" w:w="1568"/>
            <w:tcMar>
              <w:top w:w="80" w:type="dxa"/>
              <w:start w:w="100" w:type="dxa"/>
              <w:bottom w:w="80" w:type="dxa"/>
              <w:end w:w="100" w:type="dxa"/>
            </w:tcMar>
          </w:tcPr>
          <w:p>
            <w:r>
              <w:rPr>
                <w:rFonts w:ascii="Times New Roman" w:hAnsi="Times New Roman" w:eastAsia="Times New Roman"/>
                <w:sz w:val="17"/>
              </w:rPr>
              <w:t>“Cürcânî ve Kastallânî’nin tanımları... sonraki tartışma için kavramsal zemin sağlar.”</w:t>
            </w:r>
          </w:p>
        </w:tc>
      </w:tr>
      <w:tr>
        <w:tc>
          <w:tcPr>
            <w:tcW w:type="dxa" w:w="1568"/>
            <w:tcMar>
              <w:top w:w="80" w:type="dxa"/>
              <w:start w:w="100" w:type="dxa"/>
              <w:bottom w:w="80" w:type="dxa"/>
              <w:end w:w="100" w:type="dxa"/>
            </w:tcMar>
          </w:tcPr>
          <w:p>
            <w:r>
              <w:rPr>
                <w:rFonts w:ascii="Times New Roman" w:hAnsi="Times New Roman" w:eastAsia="Times New Roman"/>
                <w:sz w:val="17"/>
              </w:rPr>
              <w:t>140</w:t>
            </w:r>
          </w:p>
        </w:tc>
        <w:tc>
          <w:tcPr>
            <w:tcW w:type="dxa" w:w="1568"/>
            <w:tcMar>
              <w:top w:w="80" w:type="dxa"/>
              <w:start w:w="100" w:type="dxa"/>
              <w:bottom w:w="80" w:type="dxa"/>
              <w:end w:w="100" w:type="dxa"/>
            </w:tcMar>
          </w:tcPr>
          <w:p>
            <w:r>
              <w:rPr>
                <w:rFonts w:ascii="Times New Roman" w:hAnsi="Times New Roman" w:eastAsia="Times New Roman"/>
                <w:sz w:val="17"/>
              </w:rPr>
              <w:t>1.7</w:t>
            </w:r>
          </w:p>
        </w:tc>
        <w:tc>
          <w:tcPr>
            <w:tcW w:type="dxa" w:w="1568"/>
            <w:tcMar>
              <w:top w:w="80" w:type="dxa"/>
              <w:start w:w="100" w:type="dxa"/>
              <w:bottom w:w="80" w:type="dxa"/>
              <w:end w:w="100" w:type="dxa"/>
            </w:tcMar>
          </w:tcPr>
          <w:p>
            <w:r>
              <w:rPr>
                <w:rFonts w:ascii="Times New Roman" w:hAnsi="Times New Roman" w:eastAsia="Times New Roman"/>
                <w:sz w:val="17"/>
              </w:rPr>
              <w:t>C/D: Tekrar + mini-sonuç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Bir önceki paragrafa yedir</w:t>
            </w:r>
          </w:p>
        </w:tc>
        <w:tc>
          <w:tcPr>
            <w:tcW w:type="dxa" w:w="1568"/>
            <w:tcMar>
              <w:top w:w="80" w:type="dxa"/>
              <w:start w:w="100" w:type="dxa"/>
              <w:bottom w:w="80" w:type="dxa"/>
              <w:end w:w="100" w:type="dxa"/>
            </w:tcMar>
          </w:tcPr>
          <w:p>
            <w:r>
              <w:rPr>
                <w:rFonts w:ascii="Times New Roman" w:hAnsi="Times New Roman" w:eastAsia="Times New Roman"/>
                <w:sz w:val="17"/>
              </w:rPr>
              <w:t>“Bu yönüyle es-Sicistânî...”</w:t>
            </w:r>
          </w:p>
        </w:tc>
      </w:tr>
      <w:tr>
        <w:tc>
          <w:tcPr>
            <w:tcW w:type="dxa" w:w="1568"/>
            <w:tcMar>
              <w:top w:w="80" w:type="dxa"/>
              <w:start w:w="100" w:type="dxa"/>
              <w:bottom w:w="80" w:type="dxa"/>
              <w:end w:w="100" w:type="dxa"/>
            </w:tcMar>
          </w:tcPr>
          <w:p>
            <w:r>
              <w:rPr>
                <w:rFonts w:ascii="Times New Roman" w:hAnsi="Times New Roman" w:eastAsia="Times New Roman"/>
                <w:sz w:val="17"/>
              </w:rPr>
              <w:t>145</w:t>
            </w:r>
          </w:p>
        </w:tc>
        <w:tc>
          <w:tcPr>
            <w:tcW w:type="dxa" w:w="1568"/>
            <w:tcMar>
              <w:top w:w="80" w:type="dxa"/>
              <w:start w:w="100" w:type="dxa"/>
              <w:bottom w:w="80" w:type="dxa"/>
              <w:end w:w="100" w:type="dxa"/>
            </w:tcMar>
          </w:tcPr>
          <w:p>
            <w:r>
              <w:rPr>
                <w:rFonts w:ascii="Times New Roman" w:hAnsi="Times New Roman" w:eastAsia="Times New Roman"/>
                <w:sz w:val="17"/>
              </w:rPr>
              <w:t>1.7</w:t>
            </w:r>
          </w:p>
        </w:tc>
        <w:tc>
          <w:tcPr>
            <w:tcW w:type="dxa" w:w="1568"/>
            <w:tcMar>
              <w:top w:w="80" w:type="dxa"/>
              <w:start w:w="100" w:type="dxa"/>
              <w:bottom w:w="80" w:type="dxa"/>
              <w:end w:w="100" w:type="dxa"/>
            </w:tcMar>
          </w:tcPr>
          <w:p>
            <w:r>
              <w:rPr>
                <w:rFonts w:ascii="Times New Roman" w:hAnsi="Times New Roman" w:eastAsia="Times New Roman"/>
                <w:sz w:val="17"/>
              </w:rPr>
              <w:t>D: Ara kapanış</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Çağdaş literatüre köprü yap</w:t>
            </w:r>
          </w:p>
        </w:tc>
        <w:tc>
          <w:tcPr>
            <w:tcW w:type="dxa" w:w="1568"/>
            <w:tcMar>
              <w:top w:w="80" w:type="dxa"/>
              <w:start w:w="100" w:type="dxa"/>
              <w:bottom w:w="80" w:type="dxa"/>
              <w:end w:w="100" w:type="dxa"/>
            </w:tcMar>
          </w:tcPr>
          <w:p>
            <w:r>
              <w:rPr>
                <w:rFonts w:ascii="Times New Roman" w:hAnsi="Times New Roman" w:eastAsia="Times New Roman"/>
                <w:sz w:val="17"/>
              </w:rPr>
              <w:t>“Bu erken değerlendirmelerin ardından çağdaş araştırmalarda...”</w:t>
            </w:r>
          </w:p>
        </w:tc>
      </w:tr>
      <w:tr>
        <w:tc>
          <w:tcPr>
            <w:tcW w:type="dxa" w:w="1568"/>
            <w:tcMar>
              <w:top w:w="80" w:type="dxa"/>
              <w:start w:w="100" w:type="dxa"/>
              <w:bottom w:w="80" w:type="dxa"/>
              <w:end w:w="100" w:type="dxa"/>
            </w:tcMar>
          </w:tcPr>
          <w:p>
            <w:r>
              <w:rPr>
                <w:rFonts w:ascii="Times New Roman" w:hAnsi="Times New Roman" w:eastAsia="Times New Roman"/>
                <w:sz w:val="17"/>
              </w:rPr>
              <w:t>151</w:t>
            </w:r>
          </w:p>
        </w:tc>
        <w:tc>
          <w:tcPr>
            <w:tcW w:type="dxa" w:w="1568"/>
            <w:tcMar>
              <w:top w:w="80" w:type="dxa"/>
              <w:start w:w="100" w:type="dxa"/>
              <w:bottom w:w="80" w:type="dxa"/>
              <w:end w:w="100" w:type="dxa"/>
            </w:tcMar>
          </w:tcPr>
          <w:p>
            <w:r>
              <w:rPr>
                <w:rFonts w:ascii="Times New Roman" w:hAnsi="Times New Roman" w:eastAsia="Times New Roman"/>
                <w:sz w:val="17"/>
              </w:rPr>
              <w:t>1.7</w:t>
            </w:r>
          </w:p>
        </w:tc>
        <w:tc>
          <w:tcPr>
            <w:tcW w:type="dxa" w:w="1568"/>
            <w:tcMar>
              <w:top w:w="80" w:type="dxa"/>
              <w:start w:w="100" w:type="dxa"/>
              <w:bottom w:w="80" w:type="dxa"/>
              <w:end w:w="100" w:type="dxa"/>
            </w:tcMar>
          </w:tcPr>
          <w:p>
            <w:r>
              <w:rPr>
                <w:rFonts w:ascii="Times New Roman" w:hAnsi="Times New Roman" w:eastAsia="Times New Roman"/>
                <w:sz w:val="17"/>
              </w:rPr>
              <w:t>D: İkinci/üçüncü kapanış</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Kısalt</w:t>
            </w:r>
          </w:p>
        </w:tc>
        <w:tc>
          <w:tcPr>
            <w:tcW w:type="dxa" w:w="1568"/>
            <w:tcMar>
              <w:top w:w="80" w:type="dxa"/>
              <w:start w:w="100" w:type="dxa"/>
              <w:bottom w:w="80" w:type="dxa"/>
              <w:end w:w="100" w:type="dxa"/>
            </w:tcMar>
          </w:tcPr>
          <w:p>
            <w:r>
              <w:rPr>
                <w:rFonts w:ascii="Times New Roman" w:hAnsi="Times New Roman" w:eastAsia="Times New Roman"/>
                <w:sz w:val="17"/>
              </w:rPr>
              <w:t>Tek kısa sentez bırak.</w:t>
            </w:r>
          </w:p>
        </w:tc>
      </w:tr>
      <w:tr>
        <w:tc>
          <w:tcPr>
            <w:tcW w:type="dxa" w:w="1568"/>
            <w:tcMar>
              <w:top w:w="80" w:type="dxa"/>
              <w:start w:w="100" w:type="dxa"/>
              <w:bottom w:w="80" w:type="dxa"/>
              <w:end w:w="100" w:type="dxa"/>
            </w:tcMar>
          </w:tcPr>
          <w:p>
            <w:r>
              <w:rPr>
                <w:rFonts w:ascii="Times New Roman" w:hAnsi="Times New Roman" w:eastAsia="Times New Roman"/>
                <w:sz w:val="17"/>
              </w:rPr>
              <w:t>171</w:t>
            </w:r>
          </w:p>
        </w:tc>
        <w:tc>
          <w:tcPr>
            <w:tcW w:type="dxa" w:w="1568"/>
            <w:tcMar>
              <w:top w:w="80" w:type="dxa"/>
              <w:start w:w="100" w:type="dxa"/>
              <w:bottom w:w="80" w:type="dxa"/>
              <w:end w:w="100" w:type="dxa"/>
            </w:tcMar>
          </w:tcPr>
          <w:p>
            <w:r>
              <w:rPr>
                <w:rFonts w:ascii="Times New Roman" w:hAnsi="Times New Roman" w:eastAsia="Times New Roman"/>
                <w:sz w:val="17"/>
              </w:rPr>
              <w:t>1.8</w:t>
            </w:r>
          </w:p>
        </w:tc>
        <w:tc>
          <w:tcPr>
            <w:tcW w:type="dxa" w:w="1568"/>
            <w:tcMar>
              <w:top w:w="80" w:type="dxa"/>
              <w:start w:w="100" w:type="dxa"/>
              <w:bottom w:w="80" w:type="dxa"/>
              <w:end w:w="100" w:type="dxa"/>
            </w:tcMar>
          </w:tcPr>
          <w:p>
            <w:r>
              <w:rPr>
                <w:rFonts w:ascii="Times New Roman" w:hAnsi="Times New Roman" w:eastAsia="Times New Roman"/>
                <w:sz w:val="17"/>
              </w:rPr>
              <w:t>A: Gerekli analitik 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Korunabilir; açılış kalıbı çeşitlendirilebilir</w:t>
            </w:r>
          </w:p>
        </w:tc>
        <w:tc>
          <w:tcPr>
            <w:tcW w:type="dxa" w:w="1568"/>
            <w:tcMar>
              <w:top w:w="80" w:type="dxa"/>
              <w:start w:w="100" w:type="dxa"/>
              <w:bottom w:w="80" w:type="dxa"/>
              <w:end w:w="100" w:type="dxa"/>
            </w:tcMar>
          </w:tcPr>
          <w:p>
            <w:r>
              <w:rPr>
                <w:rFonts w:ascii="Times New Roman" w:hAnsi="Times New Roman" w:eastAsia="Times New Roman"/>
                <w:sz w:val="17"/>
              </w:rPr>
              <w:t>“Bu rivâyetler birlikte okunduğunda...”</w:t>
            </w:r>
          </w:p>
        </w:tc>
      </w:tr>
      <w:tr>
        <w:tc>
          <w:tcPr>
            <w:tcW w:type="dxa" w:w="1568"/>
            <w:tcMar>
              <w:top w:w="80" w:type="dxa"/>
              <w:start w:w="100" w:type="dxa"/>
              <w:bottom w:w="80" w:type="dxa"/>
              <w:end w:w="100" w:type="dxa"/>
            </w:tcMar>
          </w:tcPr>
          <w:p>
            <w:r>
              <w:rPr>
                <w:rFonts w:ascii="Times New Roman" w:hAnsi="Times New Roman" w:eastAsia="Times New Roman"/>
                <w:sz w:val="17"/>
              </w:rPr>
              <w:t>176</w:t>
            </w:r>
          </w:p>
        </w:tc>
        <w:tc>
          <w:tcPr>
            <w:tcW w:type="dxa" w:w="1568"/>
            <w:tcMar>
              <w:top w:w="80" w:type="dxa"/>
              <w:start w:w="100" w:type="dxa"/>
              <w:bottom w:w="80" w:type="dxa"/>
              <w:end w:w="100" w:type="dxa"/>
            </w:tcMar>
          </w:tcPr>
          <w:p>
            <w:r>
              <w:rPr>
                <w:rFonts w:ascii="Times New Roman" w:hAnsi="Times New Roman" w:eastAsia="Times New Roman"/>
                <w:sz w:val="17"/>
              </w:rPr>
              <w:t>1.9</w:t>
            </w:r>
          </w:p>
        </w:tc>
        <w:tc>
          <w:tcPr>
            <w:tcW w:type="dxa" w:w="1568"/>
            <w:tcMar>
              <w:top w:w="80" w:type="dxa"/>
              <w:start w:w="100" w:type="dxa"/>
              <w:bottom w:w="80" w:type="dxa"/>
              <w:end w:w="100" w:type="dxa"/>
            </w:tcMar>
          </w:tcPr>
          <w:p>
            <w:r>
              <w:rPr>
                <w:rFonts w:ascii="Times New Roman" w:hAnsi="Times New Roman" w:eastAsia="Times New Roman"/>
                <w:sz w:val="17"/>
              </w:rPr>
              <w:t>D: Ayrıntı öncesi erken 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İncelemeye geçiş yap</w:t>
            </w:r>
          </w:p>
        </w:tc>
        <w:tc>
          <w:tcPr>
            <w:tcW w:type="dxa" w:w="1568"/>
            <w:tcMar>
              <w:top w:w="80" w:type="dxa"/>
              <w:start w:w="100" w:type="dxa"/>
              <w:bottom w:w="80" w:type="dxa"/>
              <w:end w:w="100" w:type="dxa"/>
            </w:tcMar>
          </w:tcPr>
          <w:p>
            <w:r>
              <w:rPr>
                <w:rFonts w:ascii="Times New Roman" w:hAnsi="Times New Roman" w:eastAsia="Times New Roman"/>
                <w:sz w:val="17"/>
              </w:rPr>
              <w:t>“Bu genel çerçevenin hangi yazım özellikleri üzerinden...”</w:t>
            </w:r>
          </w:p>
        </w:tc>
      </w:tr>
      <w:tr>
        <w:tc>
          <w:tcPr>
            <w:tcW w:type="dxa" w:w="1568"/>
            <w:tcMar>
              <w:top w:w="80" w:type="dxa"/>
              <w:start w:w="100" w:type="dxa"/>
              <w:bottom w:w="80" w:type="dxa"/>
              <w:end w:w="100" w:type="dxa"/>
            </w:tcMar>
          </w:tcPr>
          <w:p>
            <w:r>
              <w:rPr>
                <w:rFonts w:ascii="Times New Roman" w:hAnsi="Times New Roman" w:eastAsia="Times New Roman"/>
                <w:sz w:val="17"/>
              </w:rPr>
              <w:t>185</w:t>
            </w:r>
          </w:p>
        </w:tc>
        <w:tc>
          <w:tcPr>
            <w:tcW w:type="dxa" w:w="1568"/>
            <w:tcMar>
              <w:top w:w="80" w:type="dxa"/>
              <w:start w:w="100" w:type="dxa"/>
              <w:bottom w:w="80" w:type="dxa"/>
              <w:end w:w="100" w:type="dxa"/>
            </w:tcMar>
          </w:tcPr>
          <w:p>
            <w:r>
              <w:rPr>
                <w:rFonts w:ascii="Times New Roman" w:hAnsi="Times New Roman" w:eastAsia="Times New Roman"/>
                <w:sz w:val="17"/>
              </w:rPr>
              <w:t>1.9.1 Hazf</w:t>
            </w:r>
          </w:p>
        </w:tc>
        <w:tc>
          <w:tcPr>
            <w:tcW w:type="dxa" w:w="1568"/>
            <w:tcMar>
              <w:top w:w="80" w:type="dxa"/>
              <w:start w:w="100" w:type="dxa"/>
              <w:bottom w:w="80" w:type="dxa"/>
              <w:end w:w="100" w:type="dxa"/>
            </w:tcMar>
          </w:tcPr>
          <w:p>
            <w:r>
              <w:rPr>
                <w:rFonts w:ascii="Times New Roman" w:hAnsi="Times New Roman" w:eastAsia="Times New Roman"/>
                <w:sz w:val="17"/>
              </w:rPr>
              <w:t>C/D: Örneklerin yeniden özeti</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İki cümleye indir</w:t>
            </w:r>
          </w:p>
        </w:tc>
        <w:tc>
          <w:tcPr>
            <w:tcW w:type="dxa" w:w="1568"/>
            <w:tcMar>
              <w:top w:w="80" w:type="dxa"/>
              <w:start w:w="100" w:type="dxa"/>
              <w:bottom w:w="80" w:type="dxa"/>
              <w:end w:w="100" w:type="dxa"/>
            </w:tcMar>
          </w:tcPr>
          <w:p>
            <w:r>
              <w:rPr>
                <w:rFonts w:ascii="Times New Roman" w:hAnsi="Times New Roman" w:eastAsia="Times New Roman"/>
                <w:sz w:val="17"/>
              </w:rPr>
              <w:t>“Hazf ... yaygın bir özelliktir; kırâatle ilişkisi örneğe göre değişir.”</w:t>
            </w:r>
          </w:p>
        </w:tc>
      </w:tr>
      <w:tr>
        <w:tc>
          <w:tcPr>
            <w:tcW w:type="dxa" w:w="1568"/>
            <w:tcMar>
              <w:top w:w="80" w:type="dxa"/>
              <w:start w:w="100" w:type="dxa"/>
              <w:bottom w:w="80" w:type="dxa"/>
              <w:end w:w="100" w:type="dxa"/>
            </w:tcMar>
          </w:tcPr>
          <w:p>
            <w:r>
              <w:rPr>
                <w:rFonts w:ascii="Times New Roman" w:hAnsi="Times New Roman" w:eastAsia="Times New Roman"/>
                <w:sz w:val="17"/>
              </w:rPr>
              <w:t>218</w:t>
            </w:r>
          </w:p>
        </w:tc>
        <w:tc>
          <w:tcPr>
            <w:tcW w:type="dxa" w:w="1568"/>
            <w:tcMar>
              <w:top w:w="80" w:type="dxa"/>
              <w:start w:w="100" w:type="dxa"/>
              <w:bottom w:w="80" w:type="dxa"/>
              <w:end w:w="100" w:type="dxa"/>
            </w:tcMar>
          </w:tcPr>
          <w:p>
            <w:r>
              <w:rPr>
                <w:rFonts w:ascii="Times New Roman" w:hAnsi="Times New Roman" w:eastAsia="Times New Roman"/>
                <w:sz w:val="17"/>
              </w:rPr>
              <w:t>1.10</w:t>
            </w:r>
          </w:p>
        </w:tc>
        <w:tc>
          <w:tcPr>
            <w:tcW w:type="dxa" w:w="1568"/>
            <w:tcMar>
              <w:top w:w="80" w:type="dxa"/>
              <w:start w:w="100" w:type="dxa"/>
              <w:bottom w:w="80" w:type="dxa"/>
              <w:end w:w="100" w:type="dxa"/>
            </w:tcMar>
          </w:tcPr>
          <w:p>
            <w:r>
              <w:rPr>
                <w:rFonts w:ascii="Times New Roman" w:hAnsi="Times New Roman" w:eastAsia="Times New Roman"/>
                <w:sz w:val="17"/>
              </w:rPr>
              <w:t>A/B: Gerekli bölüm sonucu ve geçiş</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Kısalt; 2. bölüme bağla</w:t>
            </w:r>
          </w:p>
        </w:tc>
        <w:tc>
          <w:tcPr>
            <w:tcW w:type="dxa" w:w="1568"/>
            <w:tcMar>
              <w:top w:w="80" w:type="dxa"/>
              <w:start w:w="100" w:type="dxa"/>
              <w:bottom w:w="80" w:type="dxa"/>
              <w:end w:w="100" w:type="dxa"/>
            </w:tcMar>
          </w:tcPr>
          <w:p>
            <w:r>
              <w:rPr>
                <w:rFonts w:ascii="Times New Roman" w:hAnsi="Times New Roman" w:eastAsia="Times New Roman"/>
                <w:sz w:val="17"/>
              </w:rPr>
              <w:t>“Bu yazılı ölçünün sözlü aktarım içindeki yerini...”</w:t>
            </w:r>
          </w:p>
        </w:tc>
      </w:tr>
      <w:tr>
        <w:tc>
          <w:tcPr>
            <w:tcW w:type="dxa" w:w="1568"/>
            <w:tcMar>
              <w:top w:w="80" w:type="dxa"/>
              <w:start w:w="100" w:type="dxa"/>
              <w:bottom w:w="80" w:type="dxa"/>
              <w:end w:w="100" w:type="dxa"/>
            </w:tcMar>
          </w:tcPr>
          <w:p>
            <w:r>
              <w:rPr>
                <w:rFonts w:ascii="Times New Roman" w:hAnsi="Times New Roman" w:eastAsia="Times New Roman"/>
                <w:sz w:val="17"/>
              </w:rPr>
              <w:t>250</w:t>
            </w:r>
          </w:p>
        </w:tc>
        <w:tc>
          <w:tcPr>
            <w:tcW w:type="dxa" w:w="1568"/>
            <w:tcMar>
              <w:top w:w="80" w:type="dxa"/>
              <w:start w:w="100" w:type="dxa"/>
              <w:bottom w:w="80" w:type="dxa"/>
              <w:end w:w="100" w:type="dxa"/>
            </w:tcMar>
          </w:tcPr>
          <w:p>
            <w:r>
              <w:rPr>
                <w:rFonts w:ascii="Times New Roman" w:hAnsi="Times New Roman" w:eastAsia="Times New Roman"/>
                <w:sz w:val="17"/>
              </w:rPr>
              <w:t>2.2.3</w:t>
            </w:r>
          </w:p>
        </w:tc>
        <w:tc>
          <w:tcPr>
            <w:tcW w:type="dxa" w:w="1568"/>
            <w:tcMar>
              <w:top w:w="80" w:type="dxa"/>
              <w:start w:w="100" w:type="dxa"/>
              <w:bottom w:w="80" w:type="dxa"/>
              <w:end w:w="100" w:type="dxa"/>
            </w:tcMar>
          </w:tcPr>
          <w:p>
            <w:r>
              <w:rPr>
                <w:rFonts w:ascii="Times New Roman" w:hAnsi="Times New Roman" w:eastAsia="Times New Roman"/>
                <w:sz w:val="17"/>
              </w:rPr>
              <w:t>D/B: Uzun mini-sonuç; geçiş ihtiyacı var</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Yedi harf başlığına köprü yap</w:t>
            </w:r>
          </w:p>
        </w:tc>
        <w:tc>
          <w:tcPr>
            <w:tcW w:type="dxa" w:w="1568"/>
            <w:tcMar>
              <w:top w:w="80" w:type="dxa"/>
              <w:start w:w="100" w:type="dxa"/>
              <w:bottom w:w="80" w:type="dxa"/>
              <w:end w:w="100" w:type="dxa"/>
            </w:tcMar>
          </w:tcPr>
          <w:p>
            <w:r>
              <w:rPr>
                <w:rFonts w:ascii="Times New Roman" w:hAnsi="Times New Roman" w:eastAsia="Times New Roman"/>
                <w:sz w:val="17"/>
              </w:rPr>
              <w:t>“Bu aktarım düzeninin yazılı mushafla ilişkisi...”</w:t>
            </w:r>
          </w:p>
        </w:tc>
      </w:tr>
      <w:tr>
        <w:tc>
          <w:tcPr>
            <w:tcW w:type="dxa" w:w="1568"/>
            <w:tcMar>
              <w:top w:w="80" w:type="dxa"/>
              <w:start w:w="100" w:type="dxa"/>
              <w:bottom w:w="80" w:type="dxa"/>
              <w:end w:w="100" w:type="dxa"/>
            </w:tcMar>
          </w:tcPr>
          <w:p>
            <w:r>
              <w:rPr>
                <w:rFonts w:ascii="Times New Roman" w:hAnsi="Times New Roman" w:eastAsia="Times New Roman"/>
                <w:sz w:val="17"/>
              </w:rPr>
              <w:t>260</w:t>
            </w:r>
          </w:p>
        </w:tc>
        <w:tc>
          <w:tcPr>
            <w:tcW w:type="dxa" w:w="1568"/>
            <w:tcMar>
              <w:top w:w="80" w:type="dxa"/>
              <w:start w:w="100" w:type="dxa"/>
              <w:bottom w:w="80" w:type="dxa"/>
              <w:end w:w="100" w:type="dxa"/>
            </w:tcMar>
          </w:tcPr>
          <w:p>
            <w:r>
              <w:rPr>
                <w:rFonts w:ascii="Times New Roman" w:hAnsi="Times New Roman" w:eastAsia="Times New Roman"/>
                <w:sz w:val="17"/>
              </w:rPr>
              <w:t>2.3</w:t>
            </w:r>
          </w:p>
        </w:tc>
        <w:tc>
          <w:tcPr>
            <w:tcW w:type="dxa" w:w="1568"/>
            <w:tcMar>
              <w:top w:w="80" w:type="dxa"/>
              <w:start w:w="100" w:type="dxa"/>
              <w:bottom w:w="80" w:type="dxa"/>
              <w:end w:w="100" w:type="dxa"/>
            </w:tcMar>
          </w:tcPr>
          <w:p>
            <w:r>
              <w:rPr>
                <w:rFonts w:ascii="Times New Roman" w:hAnsi="Times New Roman" w:eastAsia="Times New Roman"/>
                <w:sz w:val="17"/>
              </w:rPr>
              <w:t>A/B: İşlevsel sentez fakat uzun</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Kısalt ve 2.4’e bağla</w:t>
            </w:r>
          </w:p>
        </w:tc>
        <w:tc>
          <w:tcPr>
            <w:tcW w:type="dxa" w:w="1568"/>
            <w:tcMar>
              <w:top w:w="80" w:type="dxa"/>
              <w:start w:w="100" w:type="dxa"/>
              <w:bottom w:w="80" w:type="dxa"/>
              <w:end w:w="100" w:type="dxa"/>
            </w:tcMar>
          </w:tcPr>
          <w:p>
            <w:r>
              <w:rPr>
                <w:rFonts w:ascii="Times New Roman" w:hAnsi="Times New Roman" w:eastAsia="Times New Roman"/>
                <w:sz w:val="17"/>
              </w:rPr>
              <w:t>“Bu farklı görüşler ... ortak başvuru metni...”</w:t>
            </w:r>
          </w:p>
        </w:tc>
      </w:tr>
      <w:tr>
        <w:tc>
          <w:tcPr>
            <w:tcW w:type="dxa" w:w="1568"/>
            <w:tcMar>
              <w:top w:w="80" w:type="dxa"/>
              <w:start w:w="100" w:type="dxa"/>
              <w:bottom w:w="80" w:type="dxa"/>
              <w:end w:w="100" w:type="dxa"/>
            </w:tcMar>
          </w:tcPr>
          <w:p>
            <w:r>
              <w:rPr>
                <w:rFonts w:ascii="Times New Roman" w:hAnsi="Times New Roman" w:eastAsia="Times New Roman"/>
                <w:sz w:val="17"/>
              </w:rPr>
              <w:t>273</w:t>
            </w:r>
          </w:p>
        </w:tc>
        <w:tc>
          <w:tcPr>
            <w:tcW w:type="dxa" w:w="1568"/>
            <w:tcMar>
              <w:top w:w="80" w:type="dxa"/>
              <w:start w:w="100" w:type="dxa"/>
              <w:bottom w:w="80" w:type="dxa"/>
              <w:end w:w="100" w:type="dxa"/>
            </w:tcMar>
          </w:tcPr>
          <w:p>
            <w:r>
              <w:rPr>
                <w:rFonts w:ascii="Times New Roman" w:hAnsi="Times New Roman" w:eastAsia="Times New Roman"/>
                <w:sz w:val="17"/>
              </w:rPr>
              <w:t>2.4</w:t>
            </w:r>
          </w:p>
        </w:tc>
        <w:tc>
          <w:tcPr>
            <w:tcW w:type="dxa" w:w="1568"/>
            <w:tcMar>
              <w:top w:w="80" w:type="dxa"/>
              <w:start w:w="100" w:type="dxa"/>
              <w:bottom w:w="80" w:type="dxa"/>
              <w:end w:w="100" w:type="dxa"/>
            </w:tcMar>
          </w:tcPr>
          <w:p>
            <w:r>
              <w:rPr>
                <w:rFonts w:ascii="Times New Roman" w:hAnsi="Times New Roman" w:eastAsia="Times New Roman"/>
                <w:sz w:val="17"/>
              </w:rPr>
              <w:t>D/E: Tekrar + aşırı güçlü 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Kısalt; 3. bölüme bağla</w:t>
            </w:r>
          </w:p>
        </w:tc>
        <w:tc>
          <w:tcPr>
            <w:tcW w:type="dxa" w:w="1568"/>
            <w:tcMar>
              <w:top w:w="80" w:type="dxa"/>
              <w:start w:w="100" w:type="dxa"/>
              <w:bottom w:w="80" w:type="dxa"/>
              <w:end w:w="100" w:type="dxa"/>
            </w:tcMar>
          </w:tcPr>
          <w:p>
            <w:r>
              <w:rPr>
                <w:rFonts w:ascii="Times New Roman" w:hAnsi="Times New Roman" w:eastAsia="Times New Roman"/>
                <w:sz w:val="17"/>
              </w:rPr>
              <w:t>“Bu genel çerçevenin somut görünümleri...”</w:t>
            </w:r>
          </w:p>
        </w:tc>
      </w:tr>
      <w:tr>
        <w:tc>
          <w:tcPr>
            <w:tcW w:type="dxa" w:w="1568"/>
            <w:tcMar>
              <w:top w:w="80" w:type="dxa"/>
              <w:start w:w="100" w:type="dxa"/>
              <w:bottom w:w="80" w:type="dxa"/>
              <w:end w:w="100" w:type="dxa"/>
            </w:tcMar>
          </w:tcPr>
          <w:p>
            <w:r>
              <w:rPr>
                <w:rFonts w:ascii="Times New Roman" w:hAnsi="Times New Roman" w:eastAsia="Times New Roman"/>
                <w:sz w:val="17"/>
              </w:rPr>
              <w:t>321</w:t>
            </w:r>
          </w:p>
        </w:tc>
        <w:tc>
          <w:tcPr>
            <w:tcW w:type="dxa" w:w="1568"/>
            <w:tcMar>
              <w:top w:w="80" w:type="dxa"/>
              <w:start w:w="100" w:type="dxa"/>
              <w:bottom w:w="80" w:type="dxa"/>
              <w:end w:w="100" w:type="dxa"/>
            </w:tcMar>
          </w:tcPr>
          <w:p>
            <w:r>
              <w:rPr>
                <w:rFonts w:ascii="Times New Roman" w:hAnsi="Times New Roman" w:eastAsia="Times New Roman"/>
                <w:sz w:val="17"/>
              </w:rPr>
              <w:t>3.6</w:t>
            </w:r>
          </w:p>
        </w:tc>
        <w:tc>
          <w:tcPr>
            <w:tcW w:type="dxa" w:w="1568"/>
            <w:tcMar>
              <w:top w:w="80" w:type="dxa"/>
              <w:start w:w="100" w:type="dxa"/>
              <w:bottom w:w="80" w:type="dxa"/>
              <w:end w:w="100" w:type="dxa"/>
            </w:tcMar>
          </w:tcPr>
          <w:p>
            <w:r>
              <w:rPr>
                <w:rFonts w:ascii="Times New Roman" w:hAnsi="Times New Roman" w:eastAsia="Times New Roman"/>
                <w:sz w:val="17"/>
              </w:rPr>
              <w:t>E: Mantıksal hata + 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Üç yaklaşımı doğru say</w:t>
            </w:r>
          </w:p>
        </w:tc>
        <w:tc>
          <w:tcPr>
            <w:tcW w:type="dxa" w:w="1568"/>
            <w:tcMar>
              <w:top w:w="80" w:type="dxa"/>
              <w:start w:w="100" w:type="dxa"/>
              <w:bottom w:w="80" w:type="dxa"/>
              <w:end w:w="100" w:type="dxa"/>
            </w:tcMar>
          </w:tcPr>
          <w:p>
            <w:r>
              <w:rPr>
                <w:rFonts w:ascii="Times New Roman" w:hAnsi="Times New Roman" w:eastAsia="Times New Roman"/>
                <w:sz w:val="17"/>
              </w:rPr>
              <w:t>Önceki rapordaki üçlü formülasyon kullanılmalı.</w:t>
            </w:r>
          </w:p>
        </w:tc>
      </w:tr>
      <w:tr>
        <w:tc>
          <w:tcPr>
            <w:tcW w:type="dxa" w:w="1568"/>
            <w:tcMar>
              <w:top w:w="80" w:type="dxa"/>
              <w:start w:w="100" w:type="dxa"/>
              <w:bottom w:w="80" w:type="dxa"/>
              <w:end w:w="100" w:type="dxa"/>
            </w:tcMar>
          </w:tcPr>
          <w:p>
            <w:r>
              <w:rPr>
                <w:rFonts w:ascii="Times New Roman" w:hAnsi="Times New Roman" w:eastAsia="Times New Roman"/>
                <w:sz w:val="17"/>
              </w:rPr>
              <w:t>337</w:t>
            </w:r>
          </w:p>
        </w:tc>
        <w:tc>
          <w:tcPr>
            <w:tcW w:type="dxa" w:w="1568"/>
            <w:tcMar>
              <w:top w:w="80" w:type="dxa"/>
              <w:start w:w="100" w:type="dxa"/>
              <w:bottom w:w="80" w:type="dxa"/>
              <w:end w:w="100" w:type="dxa"/>
            </w:tcMar>
          </w:tcPr>
          <w:p>
            <w:r>
              <w:rPr>
                <w:rFonts w:ascii="Times New Roman" w:hAnsi="Times New Roman" w:eastAsia="Times New Roman"/>
                <w:sz w:val="17"/>
              </w:rPr>
              <w:t>3.8</w:t>
            </w:r>
          </w:p>
        </w:tc>
        <w:tc>
          <w:tcPr>
            <w:tcW w:type="dxa" w:w="1568"/>
            <w:tcMar>
              <w:top w:w="80" w:type="dxa"/>
              <w:start w:w="100" w:type="dxa"/>
              <w:bottom w:w="80" w:type="dxa"/>
              <w:end w:w="100" w:type="dxa"/>
            </w:tcMar>
          </w:tcPr>
          <w:p>
            <w:r>
              <w:rPr>
                <w:rFonts w:ascii="Times New Roman" w:hAnsi="Times New Roman" w:eastAsia="Times New Roman"/>
                <w:sz w:val="17"/>
              </w:rPr>
              <w:t>D: Normatif mini-sonuç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Kısalt ve görüş sahibini belirginleştir</w:t>
            </w:r>
          </w:p>
        </w:tc>
        <w:tc>
          <w:tcPr>
            <w:tcW w:type="dxa" w:w="1568"/>
            <w:tcMar>
              <w:top w:w="80" w:type="dxa"/>
              <w:start w:w="100" w:type="dxa"/>
              <w:bottom w:w="80" w:type="dxa"/>
              <w:end w:w="100" w:type="dxa"/>
            </w:tcMar>
          </w:tcPr>
          <w:p>
            <w:r>
              <w:rPr>
                <w:rFonts w:ascii="Times New Roman" w:hAnsi="Times New Roman" w:eastAsia="Times New Roman"/>
                <w:sz w:val="17"/>
              </w:rPr>
              <w:t>“Bu değerlendirmeler, bazı müelliflerin...”</w:t>
            </w:r>
          </w:p>
        </w:tc>
      </w:tr>
      <w:tr>
        <w:tc>
          <w:tcPr>
            <w:tcW w:type="dxa" w:w="1568"/>
            <w:tcMar>
              <w:top w:w="80" w:type="dxa"/>
              <w:start w:w="100" w:type="dxa"/>
              <w:bottom w:w="80" w:type="dxa"/>
              <w:end w:w="100" w:type="dxa"/>
            </w:tcMar>
          </w:tcPr>
          <w:p>
            <w:r>
              <w:rPr>
                <w:rFonts w:ascii="Times New Roman" w:hAnsi="Times New Roman" w:eastAsia="Times New Roman"/>
                <w:sz w:val="17"/>
              </w:rPr>
              <w:t>406</w:t>
            </w:r>
          </w:p>
        </w:tc>
        <w:tc>
          <w:tcPr>
            <w:tcW w:type="dxa" w:w="1568"/>
            <w:tcMar>
              <w:top w:w="80" w:type="dxa"/>
              <w:start w:w="100" w:type="dxa"/>
              <w:bottom w:w="80" w:type="dxa"/>
              <w:end w:w="100" w:type="dxa"/>
            </w:tcMar>
          </w:tcPr>
          <w:p>
            <w:r>
              <w:rPr>
                <w:rFonts w:ascii="Times New Roman" w:hAnsi="Times New Roman" w:eastAsia="Times New Roman"/>
                <w:sz w:val="17"/>
              </w:rPr>
              <w:t>4.2</w:t>
            </w:r>
          </w:p>
        </w:tc>
        <w:tc>
          <w:tcPr>
            <w:tcW w:type="dxa" w:w="1568"/>
            <w:tcMar>
              <w:top w:w="80" w:type="dxa"/>
              <w:start w:w="100" w:type="dxa"/>
              <w:bottom w:w="80" w:type="dxa"/>
              <w:end w:w="100" w:type="dxa"/>
            </w:tcMar>
          </w:tcPr>
          <w:p>
            <w:r>
              <w:rPr>
                <w:rFonts w:ascii="Times New Roman" w:hAnsi="Times New Roman" w:eastAsia="Times New Roman"/>
                <w:sz w:val="17"/>
              </w:rPr>
              <w:t>D/E: İkinci sonuç + retorik genelleme</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Tarihsel tanıklık/normatif otorite ayrımına dönüştür</w:t>
            </w:r>
          </w:p>
        </w:tc>
        <w:tc>
          <w:tcPr>
            <w:tcW w:type="dxa" w:w="1568"/>
            <w:tcMar>
              <w:top w:w="80" w:type="dxa"/>
              <w:start w:w="100" w:type="dxa"/>
              <w:bottom w:w="80" w:type="dxa"/>
              <w:end w:w="100" w:type="dxa"/>
            </w:tcMar>
          </w:tcPr>
          <w:p>
            <w:r>
              <w:rPr>
                <w:rFonts w:ascii="Times New Roman" w:hAnsi="Times New Roman" w:eastAsia="Times New Roman"/>
                <w:sz w:val="17"/>
              </w:rPr>
              <w:t>“Sahâbe mushaflarının dolaşımdan çıkarılmasına ilişkin rivâyetler...”</w:t>
            </w:r>
          </w:p>
        </w:tc>
      </w:tr>
    </w:tbl>
    <w:p>
      <w:r>
        <w:t>“Bütün bu veriler...” ile başlayan/donan dört kullanım da ayrıca önemlidir: 1.1’deki paragraf (56) daha önce verilmiş sentezi tekrar eder; 4.3’teki (415) işlevsel bir sentez olmakla birlikte üçlü sonuç yapısı kısaltılabilir; 4.6’daki (454) hemen ardından gelen 455 ile çift kapanış oluşturur; 4.7’deki (471) Türkiye örneğinden önce erken sonuç işlevi görür. Bu dört kullanımdan 56, 454 ve 471 doğrudan müdahale gerektirir; 415 korunabilir fakat kısaltılmalıdır.</w:t>
      </w:r>
    </w:p>
    <w:p>
      <w:pPr>
        <w:pStyle w:val="Heading1"/>
        <w:keepNext/>
      </w:pPr>
      <w:r>
        <w:t>12. Formülaik ve Yapay Zekâ Üretimi İzlenimi Verebilecek Anlatım Örüntüleri</w:t>
      </w:r>
    </w:p>
    <w:p>
      <w:r>
        <w:t>Buradaki sınıflandırma metnin kökeni hakkında hüküm değildir. Sorun, belirli kelimelerin varlığından çok aynı paragraf işlevlerinin ve sözdizimlerinin kitap boyunca öngörülebilir biçimde tekrarlanmasıdır.</w:t>
      </w:r>
    </w:p>
    <w:p>
      <w:pPr>
        <w:pStyle w:val="Heading2"/>
        <w:keepNext/>
      </w:pPr>
      <w:r>
        <w:t>A. Yüksek öncelikli örüntüler</w:t>
      </w:r>
    </w:p>
    <w:p>
      <w:r>
        <w:t>Alt başlıkların örneklerden sonra mutlaka bir “genel sonuç” paragrafıyla kapanması; aynı tezin “yalnız ... değil, aynı zamanda ...”, “bu durum göstermektedir”, “böylece”, “dolayısıyla” biçimleriyle art arda yeniden kurulması; delil dizisi tamamlanmadan “bütün bu veriler” türü sentezler verilmesi; “resm”in fail gibi özneleştirildiği mekanik sonuç cümleleri. En belirgin kümeler 1.7, 1.9–1.10, 2.4, 3.4–3.12 ve 4.1–4.7’dedir.</w:t>
      </w:r>
    </w:p>
    <w:p>
      <w:pPr>
        <w:pStyle w:val="Heading2"/>
        <w:keepNext/>
      </w:pPr>
      <w:r>
        <w:t>B. Orta öncelikli örüntüler</w:t>
      </w:r>
    </w:p>
    <w:p>
      <w:r>
        <w:t>Paragrafların “Bu çerçevede / Bu noktada / Nitekim” ile başlayıp “göstermektedir / ortaya koymaktadır / anlaşılmaktadır” ile bitmesi; aynı başlık içinde “sadece ... değil” karşıtlığının birkaç kez tekrarlanması; soyut isimlerin (süreç, çerçeve, yaklaşım, işlev, ilişki) somut öznenin yerini alması.</w:t>
      </w:r>
    </w:p>
    <w:p>
      <w:pPr>
        <w:pStyle w:val="Heading2"/>
        <w:keepNext/>
      </w:pPr>
      <w:r>
        <w:t>C. Düşük öncelikli örüntüler</w:t>
      </w:r>
    </w:p>
    <w:p>
      <w:r>
        <w:t>Tek başına doğal olan “Bununla birlikte”, “Nitekim”, “Dolayısıyla” ve -maktadır/-mektedir kullanımlarının yakın paragraflarda kümelenmesi. Bunlar topluca silinmemeli; yalnız aynı işlevi tekrar eden yerlerde sadeleştirilmelidir.</w:t>
      </w:r>
    </w:p>
    <w:p>
      <w:pPr>
        <w:pStyle w:val="Heading2"/>
        <w:keepNext/>
      </w:pPr>
      <w:r>
        <w:t>“Açıkça ortaya koymaktadır” kalıbının bütün kullanımları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AF7"/>
          </w:tcPr>
          <w:p>
            <w:r>
              <w:rPr>
                <w:rFonts w:ascii="Times New Roman" w:hAnsi="Times New Roman" w:eastAsia="Times New Roman"/>
                <w:sz w:val="17"/>
              </w:rPr>
              <w:t>Paragraf</w:t>
            </w:r>
          </w:p>
        </w:tc>
        <w:tc>
          <w:tcPr>
            <w:tcW w:type="dxa" w:w="2351"/>
            <w:shd w:fill="D9EAF7"/>
          </w:tcPr>
          <w:p>
            <w:r>
              <w:rPr>
                <w:rFonts w:ascii="Times New Roman" w:hAnsi="Times New Roman" w:eastAsia="Times New Roman"/>
                <w:sz w:val="17"/>
              </w:rPr>
              <w:t>Yer</w:t>
            </w:r>
          </w:p>
        </w:tc>
        <w:tc>
          <w:tcPr>
            <w:tcW w:type="dxa" w:w="2351"/>
            <w:shd w:fill="D9EAF7"/>
          </w:tcPr>
          <w:p>
            <w:r>
              <w:rPr>
                <w:rFonts w:ascii="Times New Roman" w:hAnsi="Times New Roman" w:eastAsia="Times New Roman"/>
                <w:sz w:val="17"/>
              </w:rPr>
              <w:t>Birebir bağlam (kısaltılmış)</w:t>
            </w:r>
          </w:p>
        </w:tc>
        <w:tc>
          <w:tcPr>
            <w:tcW w:type="dxa" w:w="2351"/>
            <w:shd w:fill="D9EAF7"/>
          </w:tcPr>
          <w:p>
            <w:r>
              <w:rPr>
                <w:rFonts w:ascii="Times New Roman" w:hAnsi="Times New Roman" w:eastAsia="Times New Roman"/>
                <w:sz w:val="17"/>
              </w:rPr>
              <w:t>Öneri</w:t>
            </w:r>
          </w:p>
        </w:tc>
      </w:tr>
      <w:tr>
        <w:tc>
          <w:tcPr>
            <w:tcW w:type="dxa" w:w="2351"/>
            <w:tcMar>
              <w:top w:w="80" w:type="dxa"/>
              <w:start w:w="100" w:type="dxa"/>
              <w:bottom w:w="80" w:type="dxa"/>
              <w:end w:w="100" w:type="dxa"/>
            </w:tcMar>
          </w:tcPr>
          <w:p>
            <w:r>
              <w:rPr>
                <w:rFonts w:ascii="Times New Roman" w:hAnsi="Times New Roman" w:eastAsia="Times New Roman"/>
                <w:sz w:val="17"/>
              </w:rPr>
              <w:t>62</w:t>
            </w:r>
          </w:p>
        </w:tc>
        <w:tc>
          <w:tcPr>
            <w:tcW w:type="dxa" w:w="2351"/>
            <w:tcMar>
              <w:top w:w="80" w:type="dxa"/>
              <w:start w:w="100" w:type="dxa"/>
              <w:bottom w:w="80" w:type="dxa"/>
              <w:end w:w="100" w:type="dxa"/>
            </w:tcMar>
          </w:tcPr>
          <w:p>
            <w:r>
              <w:rPr>
                <w:rFonts w:ascii="Times New Roman" w:hAnsi="Times New Roman" w:eastAsia="Times New Roman"/>
                <w:sz w:val="17"/>
              </w:rPr>
              <w:t>1.2</w:t>
            </w:r>
          </w:p>
        </w:tc>
        <w:tc>
          <w:tcPr>
            <w:tcW w:type="dxa" w:w="2351"/>
            <w:tcMar>
              <w:top w:w="80" w:type="dxa"/>
              <w:start w:w="100" w:type="dxa"/>
              <w:bottom w:w="80" w:type="dxa"/>
              <w:end w:w="100" w:type="dxa"/>
            </w:tcMar>
          </w:tcPr>
          <w:p>
            <w:r>
              <w:rPr>
                <w:rFonts w:ascii="Times New Roman" w:hAnsi="Times New Roman" w:eastAsia="Times New Roman"/>
                <w:sz w:val="17"/>
              </w:rPr>
              <w:t>Medine dönemine gelindiğinde ise durum daha farklı bir görünüm arz etmiştir. Bu döneme ilişkin rivâyetler, vahyin yazıya geçirilmesi hususunda çok daha sistemli ve titiz bir uygulamanın bulunduğunu göstermektedir. Nitekim vahiy geldiğinde…</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315</w:t>
            </w:r>
          </w:p>
        </w:tc>
        <w:tc>
          <w:tcPr>
            <w:tcW w:type="dxa" w:w="2351"/>
            <w:tcMar>
              <w:top w:w="80" w:type="dxa"/>
              <w:start w:w="100" w:type="dxa"/>
              <w:bottom w:w="80" w:type="dxa"/>
              <w:end w:w="100" w:type="dxa"/>
            </w:tcMar>
          </w:tcPr>
          <w:p>
            <w:r>
              <w:rPr>
                <w:rFonts w:ascii="Times New Roman" w:hAnsi="Times New Roman" w:eastAsia="Times New Roman"/>
                <w:sz w:val="17"/>
              </w:rPr>
              <w:t>3.6</w:t>
            </w:r>
          </w:p>
        </w:tc>
        <w:tc>
          <w:tcPr>
            <w:tcW w:type="dxa" w:w="2351"/>
            <w:tcMar>
              <w:top w:w="80" w:type="dxa"/>
              <w:start w:w="100" w:type="dxa"/>
              <w:bottom w:w="80" w:type="dxa"/>
              <w:end w:w="100" w:type="dxa"/>
            </w:tcMar>
          </w:tcPr>
          <w:p>
            <w:r>
              <w:rPr>
                <w:rFonts w:ascii="Times New Roman" w:hAnsi="Times New Roman" w:eastAsia="Times New Roman"/>
                <w:sz w:val="17"/>
              </w:rPr>
              <w:t>Resme bağlılık ve onu esas alma tavrı sadece kırâat ve tecvid âlimleriyle sınırlı kalmamış, bu durum erken dönem nahiv âlimlerinin yaklaşımında da hissedilmiştir. Onlar mushaf hattını sıradan bir yazım biçimi olarak görmemiş; onu kimi…</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363</w:t>
            </w:r>
          </w:p>
        </w:tc>
        <w:tc>
          <w:tcPr>
            <w:tcW w:type="dxa" w:w="2351"/>
            <w:tcMar>
              <w:top w:w="80" w:type="dxa"/>
              <w:start w:w="100" w:type="dxa"/>
              <w:bottom w:w="80" w:type="dxa"/>
              <w:end w:w="100" w:type="dxa"/>
            </w:tcMar>
          </w:tcPr>
          <w:p>
            <w:r>
              <w:rPr>
                <w:rFonts w:ascii="Times New Roman" w:hAnsi="Times New Roman" w:eastAsia="Times New Roman"/>
                <w:sz w:val="17"/>
              </w:rPr>
              <w:t>3.11</w:t>
            </w:r>
          </w:p>
        </w:tc>
        <w:tc>
          <w:tcPr>
            <w:tcW w:type="dxa" w:w="2351"/>
            <w:tcMar>
              <w:top w:w="80" w:type="dxa"/>
              <w:start w:w="100" w:type="dxa"/>
              <w:bottom w:w="80" w:type="dxa"/>
              <w:end w:w="100" w:type="dxa"/>
            </w:tcMar>
          </w:tcPr>
          <w:p>
            <w:r>
              <w:rPr>
                <w:rFonts w:ascii="Times New Roman" w:hAnsi="Times New Roman" w:eastAsia="Times New Roman"/>
                <w:sz w:val="17"/>
              </w:rPr>
              <w:t>Bu tespit mushaf resminin niçin yalnızca bir imlâ meselesi sayılamayacağını açıkça ortaya koymaktadır. Çünkü burada korunmak istenen sadece bir yazı alışkanlığı olmayıp; o yazı etrafında teşekkül etmiş bir ilmî gelenektir. Nitekim resm-i…</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384</w:t>
            </w:r>
          </w:p>
        </w:tc>
        <w:tc>
          <w:tcPr>
            <w:tcW w:type="dxa" w:w="2351"/>
            <w:tcMar>
              <w:top w:w="80" w:type="dxa"/>
              <w:start w:w="100" w:type="dxa"/>
              <w:bottom w:w="80" w:type="dxa"/>
              <w:end w:w="100" w:type="dxa"/>
            </w:tcMar>
          </w:tcPr>
          <w:p>
            <w:r>
              <w:rPr>
                <w:rFonts w:ascii="Times New Roman" w:hAnsi="Times New Roman" w:eastAsia="Times New Roman"/>
                <w:sz w:val="17"/>
              </w:rPr>
              <w:t>4.1</w:t>
            </w:r>
          </w:p>
        </w:tc>
        <w:tc>
          <w:tcPr>
            <w:tcW w:type="dxa" w:w="2351"/>
            <w:tcMar>
              <w:top w:w="80" w:type="dxa"/>
              <w:start w:w="100" w:type="dxa"/>
              <w:bottom w:w="80" w:type="dxa"/>
              <w:end w:w="100" w:type="dxa"/>
            </w:tcMar>
          </w:tcPr>
          <w:p>
            <w:r>
              <w:rPr>
                <w:rFonts w:ascii="Times New Roman" w:hAnsi="Times New Roman" w:eastAsia="Times New Roman"/>
                <w:sz w:val="17"/>
              </w:rPr>
              <w:t>Kırâat vecihlerinin naklinde aslî dayanak, yazılı metinden önce telakki ve müşâfehedir. Zira kırâat, sonraki neslin önceki nesilden aldığı ve uygulayarak sürdürdüğü ittiba edilen bir sünnet olarak anlaşılmıştır. Bu bağlamda Zeyd b.…</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386</w:t>
            </w:r>
          </w:p>
        </w:tc>
        <w:tc>
          <w:tcPr>
            <w:tcW w:type="dxa" w:w="2351"/>
            <w:tcMar>
              <w:top w:w="80" w:type="dxa"/>
              <w:start w:w="100" w:type="dxa"/>
              <w:bottom w:w="80" w:type="dxa"/>
              <w:end w:w="100" w:type="dxa"/>
            </w:tcMar>
          </w:tcPr>
          <w:p>
            <w:r>
              <w:rPr>
                <w:rFonts w:ascii="Times New Roman" w:hAnsi="Times New Roman" w:eastAsia="Times New Roman"/>
                <w:sz w:val="17"/>
              </w:rPr>
              <w:t>4.1</w:t>
            </w:r>
          </w:p>
        </w:tc>
        <w:tc>
          <w:tcPr>
            <w:tcW w:type="dxa" w:w="2351"/>
            <w:tcMar>
              <w:top w:w="80" w:type="dxa"/>
              <w:start w:w="100" w:type="dxa"/>
              <w:bottom w:w="80" w:type="dxa"/>
              <w:end w:w="100" w:type="dxa"/>
            </w:tcMar>
          </w:tcPr>
          <w:p>
            <w:r>
              <w:rPr>
                <w:rFonts w:ascii="Times New Roman" w:hAnsi="Times New Roman" w:eastAsia="Times New Roman"/>
                <w:sz w:val="17"/>
              </w:rPr>
              <w:t>Osmânî resmin diğer temel işlevi, tevâtüren sabit olan kırâatlerle âhâd rivâyetleri birbirinden ayıran bağlayıcı bir ölçü oluşturmasıdır. Kırâat usûlünde mushaf hattına uygunluk, kabul edilecek okuyuşun şartlarından biri sayıldığından,…</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403</w:t>
            </w:r>
          </w:p>
        </w:tc>
        <w:tc>
          <w:tcPr>
            <w:tcW w:type="dxa" w:w="2351"/>
            <w:tcMar>
              <w:top w:w="80" w:type="dxa"/>
              <w:start w:w="100" w:type="dxa"/>
              <w:bottom w:w="80" w:type="dxa"/>
              <w:end w:w="100" w:type="dxa"/>
            </w:tcMar>
          </w:tcPr>
          <w:p>
            <w:r>
              <w:rPr>
                <w:rFonts w:ascii="Times New Roman" w:hAnsi="Times New Roman" w:eastAsia="Times New Roman"/>
                <w:sz w:val="17"/>
              </w:rPr>
              <w:t>4.2</w:t>
            </w:r>
          </w:p>
        </w:tc>
        <w:tc>
          <w:tcPr>
            <w:tcW w:type="dxa" w:w="2351"/>
            <w:tcMar>
              <w:top w:w="80" w:type="dxa"/>
              <w:start w:w="100" w:type="dxa"/>
              <w:bottom w:w="80" w:type="dxa"/>
              <w:end w:w="100" w:type="dxa"/>
            </w:tcMar>
          </w:tcPr>
          <w:p>
            <w:r>
              <w:rPr>
                <w:rFonts w:ascii="Times New Roman" w:hAnsi="Times New Roman" w:eastAsia="Times New Roman"/>
                <w:sz w:val="17"/>
              </w:rPr>
              <w:t>Bu siyasetin mahiyeti, yalnız yeni mushaflar göndermekten ibaret değildir. Eğer farklı sahâbî mushafları dolaşımda kalmaya devam etseydi, yeni gönderilen imam mushafların ümmet üzerinde bağlayıcı ve birleştirici bir zemin oluşturması…</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428</w:t>
            </w:r>
          </w:p>
        </w:tc>
        <w:tc>
          <w:tcPr>
            <w:tcW w:type="dxa" w:w="2351"/>
            <w:tcMar>
              <w:top w:w="80" w:type="dxa"/>
              <w:start w:w="100" w:type="dxa"/>
              <w:bottom w:w="80" w:type="dxa"/>
              <w:end w:w="100" w:type="dxa"/>
            </w:tcMar>
          </w:tcPr>
          <w:p>
            <w:r>
              <w:rPr>
                <w:rFonts w:ascii="Times New Roman" w:hAnsi="Times New Roman" w:eastAsia="Times New Roman"/>
                <w:sz w:val="17"/>
              </w:rPr>
              <w:t>4.4</w:t>
            </w:r>
          </w:p>
        </w:tc>
        <w:tc>
          <w:tcPr>
            <w:tcW w:type="dxa" w:w="2351"/>
            <w:tcMar>
              <w:top w:w="80" w:type="dxa"/>
              <w:start w:w="100" w:type="dxa"/>
              <w:bottom w:w="80" w:type="dxa"/>
              <w:end w:w="100" w:type="dxa"/>
            </w:tcMar>
          </w:tcPr>
          <w:p>
            <w:r>
              <w:rPr>
                <w:rFonts w:ascii="Times New Roman" w:hAnsi="Times New Roman" w:eastAsia="Times New Roman"/>
                <w:sz w:val="17"/>
              </w:rPr>
              <w:t>İbnü’l-Cezerî’nin değerlendirmesi, meseleyi daha sistemli bir çerçeve içinde ortaya koymaktadır. Ona göre ehl-i edâ ve kırâat imamları, ihtiyaç, imtihan ve zaruret hâllerinde mushaf resmine rivâyetin gerekli olduğu hususunda ittifak…</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bl>
    <w:p>
      <w:pPr>
        <w:pStyle w:val="Heading1"/>
        <w:keepNext/>
      </w:pPr>
      <w:r>
        <w:t>13. Tekrarlanan Kalıpların Sıklık Analizi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4E79"/>
          </w:tcPr>
          <w:p>
            <w:r>
              <w:rPr>
                <w:rFonts w:ascii="Times New Roman" w:hAnsi="Times New Roman" w:eastAsia="Times New Roman"/>
                <w:b/>
                <w:color w:val="FFFFFF"/>
                <w:sz w:val="17"/>
              </w:rPr>
              <w:t>İfade</w:t>
            </w:r>
          </w:p>
        </w:tc>
        <w:tc>
          <w:tcPr>
            <w:tcW w:type="dxa" w:w="1881"/>
            <w:shd w:fill="1F4E79"/>
          </w:tcPr>
          <w:p>
            <w:r>
              <w:rPr>
                <w:rFonts w:ascii="Times New Roman" w:hAnsi="Times New Roman" w:eastAsia="Times New Roman"/>
                <w:b/>
                <w:color w:val="FFFFFF"/>
                <w:sz w:val="17"/>
              </w:rPr>
              <w:t>Toplam</w:t>
            </w:r>
          </w:p>
        </w:tc>
        <w:tc>
          <w:tcPr>
            <w:tcW w:type="dxa" w:w="1881"/>
            <w:shd w:fill="1F4E79"/>
          </w:tcPr>
          <w:p>
            <w:r>
              <w:rPr>
                <w:rFonts w:ascii="Times New Roman" w:hAnsi="Times New Roman" w:eastAsia="Times New Roman"/>
                <w:b/>
                <w:color w:val="FFFFFF"/>
                <w:sz w:val="17"/>
              </w:rPr>
              <w:t>Paragraf başı</w:t>
            </w:r>
          </w:p>
        </w:tc>
        <w:tc>
          <w:tcPr>
            <w:tcW w:type="dxa" w:w="1881"/>
            <w:shd w:fill="1F4E79"/>
          </w:tcPr>
          <w:p>
            <w:r>
              <w:rPr>
                <w:rFonts w:ascii="Times New Roman" w:hAnsi="Times New Roman" w:eastAsia="Times New Roman"/>
                <w:b/>
                <w:color w:val="FFFFFF"/>
                <w:sz w:val="17"/>
              </w:rPr>
              <w:t>Sorunlu kullanım sayısı</w:t>
            </w:r>
          </w:p>
        </w:tc>
        <w:tc>
          <w:tcPr>
            <w:tcW w:type="dxa" w:w="1881"/>
            <w:shd w:fill="1F4E79"/>
          </w:tcPr>
          <w:p>
            <w:r>
              <w:rPr>
                <w:rFonts w:ascii="Times New Roman" w:hAnsi="Times New Roman" w:eastAsia="Times New Roman"/>
                <w:b/>
                <w:color w:val="FFFFFF"/>
                <w:sz w:val="17"/>
              </w:rPr>
              <w:t>Değerlendirme</w:t>
            </w:r>
          </w:p>
        </w:tc>
      </w:tr>
      <w:tr>
        <w:tc>
          <w:tcPr>
            <w:tcW w:type="dxa" w:w="1881"/>
            <w:tcMar>
              <w:top w:w="80" w:type="dxa"/>
              <w:start w:w="100" w:type="dxa"/>
              <w:bottom w:w="80" w:type="dxa"/>
              <w:end w:w="100" w:type="dxa"/>
            </w:tcMar>
          </w:tcPr>
          <w:p>
            <w:r>
              <w:rPr>
                <w:rFonts w:ascii="Times New Roman" w:hAnsi="Times New Roman" w:eastAsia="Times New Roman"/>
                <w:sz w:val="17"/>
              </w:rPr>
              <w:t>Sonuç olarak</w:t>
            </w:r>
          </w:p>
        </w:tc>
        <w:tc>
          <w:tcPr>
            <w:tcW w:type="dxa" w:w="1881"/>
            <w:tcMar>
              <w:top w:w="80" w:type="dxa"/>
              <w:start w:w="100" w:type="dxa"/>
              <w:bottom w:w="80" w:type="dxa"/>
              <w:end w:w="100" w:type="dxa"/>
            </w:tcMar>
          </w:tcPr>
          <w:p>
            <w:r>
              <w:rPr>
                <w:rFonts w:ascii="Times New Roman" w:hAnsi="Times New Roman" w:eastAsia="Times New Roman"/>
                <w:sz w:val="17"/>
              </w:rPr>
              <w:t>14</w:t>
            </w:r>
          </w:p>
        </w:tc>
        <w:tc>
          <w:tcPr>
            <w:tcW w:type="dxa" w:w="1881"/>
            <w:tcMar>
              <w:top w:w="80" w:type="dxa"/>
              <w:start w:w="100" w:type="dxa"/>
              <w:bottom w:w="80" w:type="dxa"/>
              <w:end w:w="100" w:type="dxa"/>
            </w:tcMar>
          </w:tcPr>
          <w:p>
            <w:r>
              <w:rPr>
                <w:rFonts w:ascii="Times New Roman" w:hAnsi="Times New Roman" w:eastAsia="Times New Roman"/>
                <w:sz w:val="17"/>
              </w:rPr>
              <w:t>13</w:t>
            </w:r>
          </w:p>
        </w:tc>
        <w:tc>
          <w:tcPr>
            <w:tcW w:type="dxa" w:w="1881"/>
            <w:tcMar>
              <w:top w:w="80" w:type="dxa"/>
              <w:start w:w="100" w:type="dxa"/>
              <w:bottom w:w="80" w:type="dxa"/>
              <w:end w:w="100" w:type="dxa"/>
            </w:tcMar>
          </w:tcPr>
          <w:p>
            <w:r>
              <w:rPr>
                <w:rFonts w:ascii="Times New Roman" w:hAnsi="Times New Roman" w:eastAsia="Times New Roman"/>
                <w:sz w:val="17"/>
              </w:rPr>
              <w:t>11</w:t>
            </w:r>
          </w:p>
        </w:tc>
        <w:tc>
          <w:tcPr>
            <w:tcW w:type="dxa" w:w="1881"/>
            <w:tcMar>
              <w:top w:w="80" w:type="dxa"/>
              <w:start w:w="100" w:type="dxa"/>
              <w:bottom w:w="80" w:type="dxa"/>
              <w:end w:w="100" w:type="dxa"/>
            </w:tcMar>
          </w:tcPr>
          <w:p>
            <w:r>
              <w:rPr>
                <w:rFonts w:ascii="Times New Roman" w:hAnsi="Times New Roman" w:eastAsia="Times New Roman"/>
                <w:sz w:val="17"/>
              </w:rPr>
              <w:t>14 kullanımın 11’i güçlü/orta müdahale gerektiriyor; 3’ü gerçek sentez/geçiş işlevi görüyor.</w:t>
            </w:r>
          </w:p>
        </w:tc>
      </w:tr>
      <w:tr>
        <w:tc>
          <w:tcPr>
            <w:tcW w:type="dxa" w:w="1881"/>
            <w:tcMar>
              <w:top w:w="80" w:type="dxa"/>
              <w:start w:w="100" w:type="dxa"/>
              <w:bottom w:w="80" w:type="dxa"/>
              <w:end w:w="100" w:type="dxa"/>
            </w:tcMar>
          </w:tcPr>
          <w:p>
            <w:r>
              <w:rPr>
                <w:rFonts w:ascii="Times New Roman" w:hAnsi="Times New Roman" w:eastAsia="Times New Roman"/>
                <w:sz w:val="17"/>
              </w:rPr>
              <w:t>Bütün bu veriler</w:t>
            </w:r>
          </w:p>
        </w:tc>
        <w:tc>
          <w:tcPr>
            <w:tcW w:type="dxa" w:w="1881"/>
            <w:tcMar>
              <w:top w:w="80" w:type="dxa"/>
              <w:start w:w="100" w:type="dxa"/>
              <w:bottom w:w="80" w:type="dxa"/>
              <w:end w:w="100" w:type="dxa"/>
            </w:tcMar>
          </w:tcPr>
          <w:p>
            <w:r>
              <w:rPr>
                <w:rFonts w:ascii="Times New Roman" w:hAnsi="Times New Roman" w:eastAsia="Times New Roman"/>
                <w:sz w:val="17"/>
              </w:rPr>
              <w:t>4</w:t>
            </w:r>
          </w:p>
        </w:tc>
        <w:tc>
          <w:tcPr>
            <w:tcW w:type="dxa" w:w="1881"/>
            <w:tcMar>
              <w:top w:w="80" w:type="dxa"/>
              <w:start w:w="100" w:type="dxa"/>
              <w:bottom w:w="80" w:type="dxa"/>
              <w:end w:w="100" w:type="dxa"/>
            </w:tcMar>
          </w:tcPr>
          <w:p>
            <w:r>
              <w:rPr>
                <w:rFonts w:ascii="Times New Roman" w:hAnsi="Times New Roman" w:eastAsia="Times New Roman"/>
                <w:sz w:val="17"/>
              </w:rPr>
              <w:t>4</w:t>
            </w:r>
          </w:p>
        </w:tc>
        <w:tc>
          <w:tcPr>
            <w:tcW w:type="dxa" w:w="1881"/>
            <w:tcMar>
              <w:top w:w="80" w:type="dxa"/>
              <w:start w:w="100" w:type="dxa"/>
              <w:bottom w:w="80" w:type="dxa"/>
              <w:end w:w="100" w:type="dxa"/>
            </w:tcMar>
          </w:tcPr>
          <w:p>
            <w:r>
              <w:rPr>
                <w:rFonts w:ascii="Times New Roman" w:hAnsi="Times New Roman" w:eastAsia="Times New Roman"/>
                <w:sz w:val="17"/>
              </w:rPr>
              <w:t>3</w:t>
            </w:r>
          </w:p>
        </w:tc>
        <w:tc>
          <w:tcPr>
            <w:tcW w:type="dxa" w:w="1881"/>
            <w:tcMar>
              <w:top w:w="80" w:type="dxa"/>
              <w:start w:w="100" w:type="dxa"/>
              <w:bottom w:w="80" w:type="dxa"/>
              <w:end w:w="100" w:type="dxa"/>
            </w:tcMar>
          </w:tcPr>
          <w:p>
            <w:r>
              <w:rPr>
                <w:rFonts w:ascii="Times New Roman" w:hAnsi="Times New Roman" w:eastAsia="Times New Roman"/>
                <w:sz w:val="17"/>
              </w:rPr>
              <w:t>4 kullanımın 3’ü tekrar/erken sonuç; 1’i kısaltılabilir sentez.</w:t>
            </w:r>
          </w:p>
        </w:tc>
      </w:tr>
      <w:tr>
        <w:tc>
          <w:tcPr>
            <w:tcW w:type="dxa" w:w="1881"/>
            <w:tcMar>
              <w:top w:w="80" w:type="dxa"/>
              <w:start w:w="100" w:type="dxa"/>
              <w:bottom w:w="80" w:type="dxa"/>
              <w:end w:w="100" w:type="dxa"/>
            </w:tcMar>
          </w:tcPr>
          <w:p>
            <w:r>
              <w:rPr>
                <w:rFonts w:ascii="Times New Roman" w:hAnsi="Times New Roman" w:eastAsia="Times New Roman"/>
                <w:sz w:val="17"/>
              </w:rPr>
              <w:t>Bu bağlamda</w:t>
            </w:r>
          </w:p>
        </w:tc>
        <w:tc>
          <w:tcPr>
            <w:tcW w:type="dxa" w:w="1881"/>
            <w:tcMar>
              <w:top w:w="80" w:type="dxa"/>
              <w:start w:w="100" w:type="dxa"/>
              <w:bottom w:w="80" w:type="dxa"/>
              <w:end w:w="100" w:type="dxa"/>
            </w:tcMar>
          </w:tcPr>
          <w:p>
            <w:r>
              <w:rPr>
                <w:rFonts w:ascii="Times New Roman" w:hAnsi="Times New Roman" w:eastAsia="Times New Roman"/>
                <w:sz w:val="17"/>
              </w:rPr>
              <w:t>20</w:t>
            </w:r>
          </w:p>
        </w:tc>
        <w:tc>
          <w:tcPr>
            <w:tcW w:type="dxa" w:w="1881"/>
            <w:tcMar>
              <w:top w:w="80" w:type="dxa"/>
              <w:start w:w="100" w:type="dxa"/>
              <w:bottom w:w="80" w:type="dxa"/>
              <w:end w:w="100" w:type="dxa"/>
            </w:tcMar>
          </w:tcPr>
          <w:p>
            <w:r>
              <w:rPr>
                <w:rFonts w:ascii="Times New Roman" w:hAnsi="Times New Roman" w:eastAsia="Times New Roman"/>
                <w:sz w:val="17"/>
              </w:rPr>
              <w:t>1</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Tek başına sorun değil; yakın kullanımlarda bağın gerçekten mantıksal olup olmadığı kontrol edilmeli.</w:t>
            </w:r>
          </w:p>
        </w:tc>
      </w:tr>
      <w:tr>
        <w:tc>
          <w:tcPr>
            <w:tcW w:type="dxa" w:w="1881"/>
            <w:tcMar>
              <w:top w:w="80" w:type="dxa"/>
              <w:start w:w="100" w:type="dxa"/>
              <w:bottom w:w="80" w:type="dxa"/>
              <w:end w:w="100" w:type="dxa"/>
            </w:tcMar>
          </w:tcPr>
          <w:p>
            <w:r>
              <w:rPr>
                <w:rFonts w:ascii="Times New Roman" w:hAnsi="Times New Roman" w:eastAsia="Times New Roman"/>
                <w:sz w:val="17"/>
              </w:rPr>
              <w:t>Bu çerçevede</w:t>
            </w:r>
          </w:p>
        </w:tc>
        <w:tc>
          <w:tcPr>
            <w:tcW w:type="dxa" w:w="1881"/>
            <w:tcMar>
              <w:top w:w="80" w:type="dxa"/>
              <w:start w:w="100" w:type="dxa"/>
              <w:bottom w:w="80" w:type="dxa"/>
              <w:end w:w="100" w:type="dxa"/>
            </w:tcMar>
          </w:tcPr>
          <w:p>
            <w:r>
              <w:rPr>
                <w:rFonts w:ascii="Times New Roman" w:hAnsi="Times New Roman" w:eastAsia="Times New Roman"/>
                <w:sz w:val="17"/>
              </w:rPr>
              <w:t>31</w:t>
            </w:r>
          </w:p>
        </w:tc>
        <w:tc>
          <w:tcPr>
            <w:tcW w:type="dxa" w:w="1881"/>
            <w:tcMar>
              <w:top w:w="80" w:type="dxa"/>
              <w:start w:w="100" w:type="dxa"/>
              <w:bottom w:w="80" w:type="dxa"/>
              <w:end w:w="100" w:type="dxa"/>
            </w:tcMar>
          </w:tcPr>
          <w:p>
            <w:r>
              <w:rPr>
                <w:rFonts w:ascii="Times New Roman" w:hAnsi="Times New Roman" w:eastAsia="Times New Roman"/>
                <w:sz w:val="17"/>
              </w:rPr>
              <w:t>10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31 kullanım ve 10 paragraf açılışı mekanikleşme riski yaratıyor.</w:t>
            </w:r>
          </w:p>
        </w:tc>
      </w:tr>
      <w:tr>
        <w:tc>
          <w:tcPr>
            <w:tcW w:type="dxa" w:w="1881"/>
            <w:tcMar>
              <w:top w:w="80" w:type="dxa"/>
              <w:start w:w="100" w:type="dxa"/>
              <w:bottom w:w="80" w:type="dxa"/>
              <w:end w:w="100" w:type="dxa"/>
            </w:tcMar>
          </w:tcPr>
          <w:p>
            <w:r>
              <w:rPr>
                <w:rFonts w:ascii="Times New Roman" w:hAnsi="Times New Roman" w:eastAsia="Times New Roman"/>
                <w:sz w:val="17"/>
              </w:rPr>
              <w:t>Bu noktada</w:t>
            </w:r>
          </w:p>
        </w:tc>
        <w:tc>
          <w:tcPr>
            <w:tcW w:type="dxa" w:w="1881"/>
            <w:tcMar>
              <w:top w:w="80" w:type="dxa"/>
              <w:start w:w="100" w:type="dxa"/>
              <w:bottom w:w="80" w:type="dxa"/>
              <w:end w:w="100" w:type="dxa"/>
            </w:tcMar>
          </w:tcPr>
          <w:p>
            <w:r>
              <w:rPr>
                <w:rFonts w:ascii="Times New Roman" w:hAnsi="Times New Roman" w:eastAsia="Times New Roman"/>
                <w:sz w:val="17"/>
              </w:rPr>
              <w:t>11</w:t>
            </w:r>
          </w:p>
        </w:tc>
        <w:tc>
          <w:tcPr>
            <w:tcW w:type="dxa" w:w="1881"/>
            <w:tcMar>
              <w:top w:w="80" w:type="dxa"/>
              <w:start w:w="100" w:type="dxa"/>
              <w:bottom w:w="80" w:type="dxa"/>
              <w:end w:w="100" w:type="dxa"/>
            </w:tcMar>
          </w:tcPr>
          <w:p>
            <w:r>
              <w:rPr>
                <w:rFonts w:ascii="Times New Roman" w:hAnsi="Times New Roman" w:eastAsia="Times New Roman"/>
                <w:sz w:val="17"/>
              </w:rPr>
              <w:t>4</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Özellikle 1.4 ve 4.3’te yeni argüman başlatmak için kullanılıyor; bazılarında sıralama sorunu var.</w:t>
            </w:r>
          </w:p>
        </w:tc>
      </w:tr>
      <w:tr>
        <w:tc>
          <w:tcPr>
            <w:tcW w:type="dxa" w:w="1881"/>
            <w:tcMar>
              <w:top w:w="80" w:type="dxa"/>
              <w:start w:w="100" w:type="dxa"/>
              <w:bottom w:w="80" w:type="dxa"/>
              <w:end w:w="100" w:type="dxa"/>
            </w:tcMar>
          </w:tcPr>
          <w:p>
            <w:r>
              <w:rPr>
                <w:rFonts w:ascii="Times New Roman" w:hAnsi="Times New Roman" w:eastAsia="Times New Roman"/>
                <w:sz w:val="17"/>
              </w:rPr>
              <w:t>Bu yönüyle</w:t>
            </w:r>
          </w:p>
        </w:tc>
        <w:tc>
          <w:tcPr>
            <w:tcW w:type="dxa" w:w="1881"/>
            <w:tcMar>
              <w:top w:w="80" w:type="dxa"/>
              <w:start w:w="100" w:type="dxa"/>
              <w:bottom w:w="80" w:type="dxa"/>
              <w:end w:w="100" w:type="dxa"/>
            </w:tcMar>
          </w:tcPr>
          <w:p>
            <w:r>
              <w:rPr>
                <w:rFonts w:ascii="Times New Roman" w:hAnsi="Times New Roman" w:eastAsia="Times New Roman"/>
                <w:sz w:val="17"/>
              </w:rPr>
              <w:t>11</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Orta sıklık; soyut değerlendirme cümlelerinde kümeleniyor.</w:t>
            </w:r>
          </w:p>
        </w:tc>
      </w:tr>
      <w:tr>
        <w:tc>
          <w:tcPr>
            <w:tcW w:type="dxa" w:w="1881"/>
            <w:tcMar>
              <w:top w:w="80" w:type="dxa"/>
              <w:start w:w="100" w:type="dxa"/>
              <w:bottom w:w="80" w:type="dxa"/>
              <w:end w:w="100" w:type="dxa"/>
            </w:tcMar>
          </w:tcPr>
          <w:p>
            <w:r>
              <w:rPr>
                <w:rFonts w:ascii="Times New Roman" w:hAnsi="Times New Roman" w:eastAsia="Times New Roman"/>
                <w:sz w:val="17"/>
              </w:rPr>
              <w:t>Bununla birlikte</w:t>
            </w:r>
          </w:p>
        </w:tc>
        <w:tc>
          <w:tcPr>
            <w:tcW w:type="dxa" w:w="1881"/>
            <w:tcMar>
              <w:top w:w="80" w:type="dxa"/>
              <w:start w:w="100" w:type="dxa"/>
              <w:bottom w:w="80" w:type="dxa"/>
              <w:end w:w="100" w:type="dxa"/>
            </w:tcMar>
          </w:tcPr>
          <w:p>
            <w:r>
              <w:rPr>
                <w:rFonts w:ascii="Times New Roman" w:hAnsi="Times New Roman" w:eastAsia="Times New Roman"/>
                <w:sz w:val="17"/>
              </w:rPr>
              <w:t>32</w:t>
            </w:r>
          </w:p>
        </w:tc>
        <w:tc>
          <w:tcPr>
            <w:tcW w:type="dxa" w:w="1881"/>
            <w:tcMar>
              <w:top w:w="80" w:type="dxa"/>
              <w:start w:w="100" w:type="dxa"/>
              <w:bottom w:w="80" w:type="dxa"/>
              <w:end w:w="100" w:type="dxa"/>
            </w:tcMar>
          </w:tcPr>
          <w:p>
            <w:r>
              <w:rPr>
                <w:rFonts w:ascii="Times New Roman" w:hAnsi="Times New Roman" w:eastAsia="Times New Roman"/>
                <w:sz w:val="17"/>
              </w:rPr>
              <w:t>3</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Çoğu işlevsel; toplu değişiklik gereksiz.</w:t>
            </w:r>
          </w:p>
        </w:tc>
      </w:tr>
      <w:tr>
        <w:tc>
          <w:tcPr>
            <w:tcW w:type="dxa" w:w="1881"/>
            <w:tcMar>
              <w:top w:w="80" w:type="dxa"/>
              <w:start w:w="100" w:type="dxa"/>
              <w:bottom w:w="80" w:type="dxa"/>
              <w:end w:w="100" w:type="dxa"/>
            </w:tcMar>
          </w:tcPr>
          <w:p>
            <w:r>
              <w:rPr>
                <w:rFonts w:ascii="Times New Roman" w:hAnsi="Times New Roman" w:eastAsia="Times New Roman"/>
                <w:sz w:val="17"/>
              </w:rPr>
              <w:t>Nitekim</w:t>
            </w:r>
          </w:p>
        </w:tc>
        <w:tc>
          <w:tcPr>
            <w:tcW w:type="dxa" w:w="1881"/>
            <w:tcMar>
              <w:top w:w="80" w:type="dxa"/>
              <w:start w:w="100" w:type="dxa"/>
              <w:bottom w:w="80" w:type="dxa"/>
              <w:end w:w="100" w:type="dxa"/>
            </w:tcMar>
          </w:tcPr>
          <w:p>
            <w:r>
              <w:rPr>
                <w:rFonts w:ascii="Times New Roman" w:hAnsi="Times New Roman" w:eastAsia="Times New Roman"/>
                <w:sz w:val="17"/>
              </w:rPr>
              <w:t>91</w:t>
            </w:r>
          </w:p>
        </w:tc>
        <w:tc>
          <w:tcPr>
            <w:tcW w:type="dxa" w:w="1881"/>
            <w:tcMar>
              <w:top w:w="80" w:type="dxa"/>
              <w:start w:w="100" w:type="dxa"/>
              <w:bottom w:w="80" w:type="dxa"/>
              <w:end w:w="100" w:type="dxa"/>
            </w:tcMar>
          </w:tcPr>
          <w:p>
            <w:r>
              <w:rPr>
                <w:rFonts w:ascii="Times New Roman" w:hAnsi="Times New Roman" w:eastAsia="Times New Roman"/>
                <w:sz w:val="17"/>
              </w:rPr>
              <w:t>11</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91 kullanım yüksek sıklık; özellikle örnek girişlerinde otomatik bağlaç hâline gelmiş.</w:t>
            </w:r>
          </w:p>
        </w:tc>
      </w:tr>
      <w:tr>
        <w:tc>
          <w:tcPr>
            <w:tcW w:type="dxa" w:w="1881"/>
            <w:tcMar>
              <w:top w:w="80" w:type="dxa"/>
              <w:start w:w="100" w:type="dxa"/>
              <w:bottom w:w="80" w:type="dxa"/>
              <w:end w:w="100" w:type="dxa"/>
            </w:tcMar>
          </w:tcPr>
          <w:p>
            <w:r>
              <w:rPr>
                <w:rFonts w:ascii="Times New Roman" w:hAnsi="Times New Roman" w:eastAsia="Times New Roman"/>
                <w:sz w:val="17"/>
              </w:rPr>
              <w:t>Dolayısıyla</w:t>
            </w:r>
          </w:p>
        </w:tc>
        <w:tc>
          <w:tcPr>
            <w:tcW w:type="dxa" w:w="1881"/>
            <w:tcMar>
              <w:top w:w="80" w:type="dxa"/>
              <w:start w:w="100" w:type="dxa"/>
              <w:bottom w:w="80" w:type="dxa"/>
              <w:end w:w="100" w:type="dxa"/>
            </w:tcMar>
          </w:tcPr>
          <w:p>
            <w:r>
              <w:rPr>
                <w:rFonts w:ascii="Times New Roman" w:hAnsi="Times New Roman" w:eastAsia="Times New Roman"/>
                <w:sz w:val="17"/>
              </w:rPr>
              <w:t>54</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54 kullanım; sonuç ilişkisi gerçekten kurulmadığında kaldırılmalı.</w:t>
            </w:r>
          </w:p>
        </w:tc>
      </w:tr>
      <w:tr>
        <w:tc>
          <w:tcPr>
            <w:tcW w:type="dxa" w:w="1881"/>
            <w:tcMar>
              <w:top w:w="80" w:type="dxa"/>
              <w:start w:w="100" w:type="dxa"/>
              <w:bottom w:w="80" w:type="dxa"/>
              <w:end w:w="100" w:type="dxa"/>
            </w:tcMar>
          </w:tcPr>
          <w:p>
            <w:r>
              <w:rPr>
                <w:rFonts w:ascii="Times New Roman" w:hAnsi="Times New Roman" w:eastAsia="Times New Roman"/>
                <w:sz w:val="17"/>
              </w:rPr>
              <w:t>Böylece</w:t>
            </w:r>
          </w:p>
        </w:tc>
        <w:tc>
          <w:tcPr>
            <w:tcW w:type="dxa" w:w="1881"/>
            <w:tcMar>
              <w:top w:w="80" w:type="dxa"/>
              <w:start w:w="100" w:type="dxa"/>
              <w:bottom w:w="80" w:type="dxa"/>
              <w:end w:w="100" w:type="dxa"/>
            </w:tcMar>
          </w:tcPr>
          <w:p>
            <w:r>
              <w:rPr>
                <w:rFonts w:ascii="Times New Roman" w:hAnsi="Times New Roman" w:eastAsia="Times New Roman"/>
                <w:sz w:val="17"/>
              </w:rPr>
              <w:t>86</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86 kullanım; resme nedensel/fail rolü yükleyen cümlelerle birlikte dikkatle incelenmeli.</w:t>
            </w:r>
          </w:p>
        </w:tc>
      </w:tr>
      <w:tr>
        <w:tc>
          <w:tcPr>
            <w:tcW w:type="dxa" w:w="1881"/>
            <w:tcMar>
              <w:top w:w="80" w:type="dxa"/>
              <w:start w:w="100" w:type="dxa"/>
              <w:bottom w:w="80" w:type="dxa"/>
              <w:end w:w="100" w:type="dxa"/>
            </w:tcMar>
          </w:tcPr>
          <w:p>
            <w:r>
              <w:rPr>
                <w:rFonts w:ascii="Times New Roman" w:hAnsi="Times New Roman" w:eastAsia="Times New Roman"/>
                <w:sz w:val="17"/>
              </w:rPr>
              <w:t>Söz konusu</w:t>
            </w:r>
          </w:p>
        </w:tc>
        <w:tc>
          <w:tcPr>
            <w:tcW w:type="dxa" w:w="1881"/>
            <w:tcMar>
              <w:top w:w="80" w:type="dxa"/>
              <w:start w:w="100" w:type="dxa"/>
              <w:bottom w:w="80" w:type="dxa"/>
              <w:end w:w="100" w:type="dxa"/>
            </w:tcMar>
          </w:tcPr>
          <w:p>
            <w:r>
              <w:rPr>
                <w:rFonts w:ascii="Times New Roman" w:hAnsi="Times New Roman" w:eastAsia="Times New Roman"/>
                <w:sz w:val="17"/>
              </w:rPr>
              <w:t>35</w:t>
            </w:r>
          </w:p>
        </w:tc>
        <w:tc>
          <w:tcPr>
            <w:tcW w:type="dxa" w:w="1881"/>
            <w:tcMar>
              <w:top w:w="80" w:type="dxa"/>
              <w:start w:w="100" w:type="dxa"/>
              <w:bottom w:w="80" w:type="dxa"/>
              <w:end w:w="100" w:type="dxa"/>
            </w:tcMar>
          </w:tcPr>
          <w:p>
            <w:r>
              <w:rPr>
                <w:rFonts w:ascii="Times New Roman" w:hAnsi="Times New Roman" w:eastAsia="Times New Roman"/>
                <w:sz w:val="17"/>
              </w:rPr>
              <w:t>2</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35 kullanım; daha somut özne mümkün olan yerlerde azaltılabilir.</w:t>
            </w:r>
          </w:p>
        </w:tc>
      </w:tr>
      <w:tr>
        <w:tc>
          <w:tcPr>
            <w:tcW w:type="dxa" w:w="1881"/>
            <w:tcMar>
              <w:top w:w="80" w:type="dxa"/>
              <w:start w:w="100" w:type="dxa"/>
              <w:bottom w:w="80" w:type="dxa"/>
              <w:end w:w="100" w:type="dxa"/>
            </w:tcMar>
          </w:tcPr>
          <w:p>
            <w:r>
              <w:rPr>
                <w:rFonts w:ascii="Times New Roman" w:hAnsi="Times New Roman" w:eastAsia="Times New Roman"/>
                <w:sz w:val="17"/>
              </w:rPr>
              <w:t>göstermektedir</w:t>
            </w:r>
          </w:p>
        </w:tc>
        <w:tc>
          <w:tcPr>
            <w:tcW w:type="dxa" w:w="1881"/>
            <w:tcMar>
              <w:top w:w="80" w:type="dxa"/>
              <w:start w:w="100" w:type="dxa"/>
              <w:bottom w:w="80" w:type="dxa"/>
              <w:end w:w="100" w:type="dxa"/>
            </w:tcMar>
          </w:tcPr>
          <w:p>
            <w:r>
              <w:rPr>
                <w:rFonts w:ascii="Times New Roman" w:hAnsi="Times New Roman" w:eastAsia="Times New Roman"/>
                <w:sz w:val="17"/>
              </w:rPr>
              <w:t>120</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120 kullanım; kitap genelindeki en belirgin mekanik kapanış fiili.</w:t>
            </w:r>
          </w:p>
        </w:tc>
      </w:tr>
      <w:tr>
        <w:tc>
          <w:tcPr>
            <w:tcW w:type="dxa" w:w="1881"/>
            <w:tcMar>
              <w:top w:w="80" w:type="dxa"/>
              <w:start w:w="100" w:type="dxa"/>
              <w:bottom w:w="80" w:type="dxa"/>
              <w:end w:w="100" w:type="dxa"/>
            </w:tcMar>
          </w:tcPr>
          <w:p>
            <w:r>
              <w:rPr>
                <w:rFonts w:ascii="Times New Roman" w:hAnsi="Times New Roman" w:eastAsia="Times New Roman"/>
                <w:sz w:val="17"/>
              </w:rPr>
              <w:t>ortaya koymaktadır</w:t>
            </w:r>
          </w:p>
        </w:tc>
        <w:tc>
          <w:tcPr>
            <w:tcW w:type="dxa" w:w="1881"/>
            <w:tcMar>
              <w:top w:w="80" w:type="dxa"/>
              <w:start w:w="100" w:type="dxa"/>
              <w:bottom w:w="80" w:type="dxa"/>
              <w:end w:w="100" w:type="dxa"/>
            </w:tcMar>
          </w:tcPr>
          <w:p>
            <w:r>
              <w:rPr>
                <w:rFonts w:ascii="Times New Roman" w:hAnsi="Times New Roman" w:eastAsia="Times New Roman"/>
                <w:sz w:val="17"/>
              </w:rPr>
              <w:t>42</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42 kullanım; özellikle “açıkça” ile birleştiğinde kesinlik artıyor.</w:t>
            </w:r>
          </w:p>
        </w:tc>
      </w:tr>
      <w:tr>
        <w:tc>
          <w:tcPr>
            <w:tcW w:type="dxa" w:w="1881"/>
            <w:tcMar>
              <w:top w:w="80" w:type="dxa"/>
              <w:start w:w="100" w:type="dxa"/>
              <w:bottom w:w="80" w:type="dxa"/>
              <w:end w:w="100" w:type="dxa"/>
            </w:tcMar>
          </w:tcPr>
          <w:p>
            <w:r>
              <w:rPr>
                <w:rFonts w:ascii="Times New Roman" w:hAnsi="Times New Roman" w:eastAsia="Times New Roman"/>
                <w:sz w:val="17"/>
              </w:rPr>
              <w:t>anlaşılmaktadır</w:t>
            </w:r>
          </w:p>
        </w:tc>
        <w:tc>
          <w:tcPr>
            <w:tcW w:type="dxa" w:w="1881"/>
            <w:tcMar>
              <w:top w:w="80" w:type="dxa"/>
              <w:start w:w="100" w:type="dxa"/>
              <w:bottom w:w="80" w:type="dxa"/>
              <w:end w:w="100" w:type="dxa"/>
            </w:tcMar>
          </w:tcPr>
          <w:p>
            <w:r>
              <w:rPr>
                <w:rFonts w:ascii="Times New Roman" w:hAnsi="Times New Roman" w:eastAsia="Times New Roman"/>
                <w:sz w:val="17"/>
              </w:rPr>
              <w:t>29</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29 kullanım; çıkarımın öznesini belirsizleştirdiği yerlerde somutlaştırılmalı.</w:t>
            </w:r>
          </w:p>
        </w:tc>
      </w:tr>
      <w:tr>
        <w:tc>
          <w:tcPr>
            <w:tcW w:type="dxa" w:w="1881"/>
            <w:tcMar>
              <w:top w:w="80" w:type="dxa"/>
              <w:start w:w="100" w:type="dxa"/>
              <w:bottom w:w="80" w:type="dxa"/>
              <w:end w:w="100" w:type="dxa"/>
            </w:tcMar>
          </w:tcPr>
          <w:p>
            <w:r>
              <w:rPr>
                <w:rFonts w:ascii="Times New Roman" w:hAnsi="Times New Roman" w:eastAsia="Times New Roman"/>
                <w:sz w:val="17"/>
              </w:rPr>
              <w:t>görülmektedir</w:t>
            </w:r>
          </w:p>
        </w:tc>
        <w:tc>
          <w:tcPr>
            <w:tcW w:type="dxa" w:w="1881"/>
            <w:tcMar>
              <w:top w:w="80" w:type="dxa"/>
              <w:start w:w="100" w:type="dxa"/>
              <w:bottom w:w="80" w:type="dxa"/>
              <w:end w:w="100" w:type="dxa"/>
            </w:tcMar>
          </w:tcPr>
          <w:p>
            <w:r>
              <w:rPr>
                <w:rFonts w:ascii="Times New Roman" w:hAnsi="Times New Roman" w:eastAsia="Times New Roman"/>
                <w:sz w:val="17"/>
              </w:rPr>
              <w:t>31</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31 kullanım; çoğu akademik olarak doğal, fakat kümelenen yerlerde çeşitlendirilebilir.</w:t>
            </w:r>
          </w:p>
        </w:tc>
      </w:tr>
      <w:tr>
        <w:tc>
          <w:tcPr>
            <w:tcW w:type="dxa" w:w="1881"/>
            <w:tcMar>
              <w:top w:w="80" w:type="dxa"/>
              <w:start w:w="100" w:type="dxa"/>
              <w:bottom w:w="80" w:type="dxa"/>
              <w:end w:w="100" w:type="dxa"/>
            </w:tcMar>
          </w:tcPr>
          <w:p>
            <w:r>
              <w:rPr>
                <w:rFonts w:ascii="Times New Roman" w:hAnsi="Times New Roman" w:eastAsia="Times New Roman"/>
                <w:sz w:val="17"/>
              </w:rPr>
              <w:t>değerlendirilmektedir</w:t>
            </w:r>
          </w:p>
        </w:tc>
        <w:tc>
          <w:tcPr>
            <w:tcW w:type="dxa" w:w="1881"/>
            <w:tcMar>
              <w:top w:w="80" w:type="dxa"/>
              <w:start w:w="100" w:type="dxa"/>
              <w:bottom w:w="80" w:type="dxa"/>
              <w:end w:w="100" w:type="dxa"/>
            </w:tcMar>
          </w:tcPr>
          <w:p>
            <w:r>
              <w:rPr>
                <w:rFonts w:ascii="Times New Roman" w:hAnsi="Times New Roman" w:eastAsia="Times New Roman"/>
                <w:sz w:val="17"/>
              </w:rPr>
              <w:t>7</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7 kullanım; düşük sıklık, toplu sorun değil.</w:t>
            </w:r>
          </w:p>
        </w:tc>
      </w:tr>
      <w:tr>
        <w:tc>
          <w:tcPr>
            <w:tcW w:type="dxa" w:w="1881"/>
            <w:tcMar>
              <w:top w:w="80" w:type="dxa"/>
              <w:start w:w="100" w:type="dxa"/>
              <w:bottom w:w="80" w:type="dxa"/>
              <w:end w:w="100" w:type="dxa"/>
            </w:tcMar>
          </w:tcPr>
          <w:p>
            <w:r>
              <w:rPr>
                <w:rFonts w:ascii="Times New Roman" w:hAnsi="Times New Roman" w:eastAsia="Times New Roman"/>
                <w:sz w:val="17"/>
              </w:rPr>
              <w:t>değil</w:t>
            </w:r>
          </w:p>
        </w:tc>
        <w:tc>
          <w:tcPr>
            <w:tcW w:type="dxa" w:w="1881"/>
            <w:tcMar>
              <w:top w:w="80" w:type="dxa"/>
              <w:start w:w="100" w:type="dxa"/>
              <w:bottom w:w="80" w:type="dxa"/>
              <w:end w:w="100" w:type="dxa"/>
            </w:tcMar>
          </w:tcPr>
          <w:p>
            <w:r>
              <w:rPr>
                <w:rFonts w:ascii="Times New Roman" w:hAnsi="Times New Roman" w:eastAsia="Times New Roman"/>
                <w:sz w:val="17"/>
              </w:rPr>
              <w:t>207</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207 dizi-eşleşmesi; her kullanım sorun değil, negatif tanım kümeleri özellikle Giriş, 2. bölüm ve 4. bölümde azaltılmalı.</w:t>
            </w:r>
          </w:p>
        </w:tc>
      </w:tr>
      <w:tr>
        <w:tc>
          <w:tcPr>
            <w:tcW w:type="dxa" w:w="1881"/>
            <w:tcMar>
              <w:top w:w="80" w:type="dxa"/>
              <w:start w:w="100" w:type="dxa"/>
              <w:bottom w:w="80" w:type="dxa"/>
              <w:end w:w="100" w:type="dxa"/>
            </w:tcMar>
          </w:tcPr>
          <w:p>
            <w:r>
              <w:rPr>
                <w:rFonts w:ascii="Times New Roman" w:hAnsi="Times New Roman" w:eastAsia="Times New Roman"/>
                <w:sz w:val="17"/>
              </w:rPr>
              <w:t>değildir</w:t>
            </w:r>
          </w:p>
        </w:tc>
        <w:tc>
          <w:tcPr>
            <w:tcW w:type="dxa" w:w="1881"/>
            <w:tcMar>
              <w:top w:w="80" w:type="dxa"/>
              <w:start w:w="100" w:type="dxa"/>
              <w:bottom w:w="80" w:type="dxa"/>
              <w:end w:w="100" w:type="dxa"/>
            </w:tcMar>
          </w:tcPr>
          <w:p>
            <w:r>
              <w:rPr>
                <w:rFonts w:ascii="Times New Roman" w:hAnsi="Times New Roman" w:eastAsia="Times New Roman"/>
                <w:sz w:val="17"/>
              </w:rPr>
              <w:t>62</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62 kullanım; tanım paragraflarında olumlu tanıma geçilebilecek yerler var.</w:t>
            </w:r>
          </w:p>
        </w:tc>
      </w:tr>
      <w:tr>
        <w:tc>
          <w:tcPr>
            <w:tcW w:type="dxa" w:w="1881"/>
            <w:tcMar>
              <w:top w:w="80" w:type="dxa"/>
              <w:start w:w="100" w:type="dxa"/>
              <w:bottom w:w="80" w:type="dxa"/>
              <w:end w:w="100" w:type="dxa"/>
            </w:tcMar>
          </w:tcPr>
          <w:p>
            <w:r>
              <w:rPr>
                <w:rFonts w:ascii="Times New Roman" w:hAnsi="Times New Roman" w:eastAsia="Times New Roman"/>
                <w:sz w:val="17"/>
              </w:rPr>
              <w:t>klasik</w:t>
            </w:r>
          </w:p>
        </w:tc>
        <w:tc>
          <w:tcPr>
            <w:tcW w:type="dxa" w:w="1881"/>
            <w:tcMar>
              <w:top w:w="80" w:type="dxa"/>
              <w:start w:w="100" w:type="dxa"/>
              <w:bottom w:w="80" w:type="dxa"/>
              <w:end w:w="100" w:type="dxa"/>
            </w:tcMar>
          </w:tcPr>
          <w:p>
            <w:r>
              <w:rPr>
                <w:rFonts w:ascii="Times New Roman" w:hAnsi="Times New Roman" w:eastAsia="Times New Roman"/>
                <w:sz w:val="17"/>
              </w:rPr>
              <w:t>44</w:t>
            </w:r>
          </w:p>
        </w:tc>
        <w:tc>
          <w:tcPr>
            <w:tcW w:type="dxa" w:w="1881"/>
            <w:tcMar>
              <w:top w:w="80" w:type="dxa"/>
              <w:start w:w="100" w:type="dxa"/>
              <w:bottom w:w="80" w:type="dxa"/>
              <w:end w:w="100" w:type="dxa"/>
            </w:tcMar>
          </w:tcPr>
          <w:p>
            <w:r>
              <w:rPr>
                <w:rFonts w:ascii="Times New Roman" w:hAnsi="Times New Roman" w:eastAsia="Times New Roman"/>
                <w:sz w:val="17"/>
              </w:rPr>
              <w:t>1</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44 kullanım; “klasik kaynaklar” yerine mümkün olduğunda kaynak grubu daha kesin adlandırılmalı.</w:t>
            </w:r>
          </w:p>
        </w:tc>
      </w:tr>
      <w:tr>
        <w:tc>
          <w:tcPr>
            <w:tcW w:type="dxa" w:w="1881"/>
            <w:tcMar>
              <w:top w:w="80" w:type="dxa"/>
              <w:start w:w="100" w:type="dxa"/>
              <w:bottom w:w="80" w:type="dxa"/>
              <w:end w:w="100" w:type="dxa"/>
            </w:tcMar>
          </w:tcPr>
          <w:p>
            <w:r>
              <w:rPr>
                <w:rFonts w:ascii="Times New Roman" w:hAnsi="Times New Roman" w:eastAsia="Times New Roman"/>
                <w:sz w:val="17"/>
              </w:rPr>
              <w:t>tarîk</w:t>
            </w:r>
          </w:p>
        </w:tc>
        <w:tc>
          <w:tcPr>
            <w:tcW w:type="dxa" w:w="1881"/>
            <w:tcMar>
              <w:top w:w="80" w:type="dxa"/>
              <w:start w:w="100" w:type="dxa"/>
              <w:bottom w:w="80" w:type="dxa"/>
              <w:end w:w="100" w:type="dxa"/>
            </w:tcMar>
          </w:tcPr>
          <w:p>
            <w:r>
              <w:rPr>
                <w:rFonts w:ascii="Times New Roman" w:hAnsi="Times New Roman" w:eastAsia="Times New Roman"/>
                <w:sz w:val="17"/>
              </w:rPr>
              <w:t>10</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10 kullanım; “tarik” kaçak kullanım tespit edilmedi.</w:t>
            </w:r>
          </w:p>
        </w:tc>
      </w:tr>
      <w:tr>
        <w:tc>
          <w:tcPr>
            <w:tcW w:type="dxa" w:w="1881"/>
            <w:tcMar>
              <w:top w:w="80" w:type="dxa"/>
              <w:start w:w="100" w:type="dxa"/>
              <w:bottom w:w="80" w:type="dxa"/>
              <w:end w:w="100" w:type="dxa"/>
            </w:tcMar>
          </w:tcPr>
          <w:p>
            <w:r>
              <w:rPr>
                <w:rFonts w:ascii="Times New Roman" w:hAnsi="Times New Roman" w:eastAsia="Times New Roman"/>
                <w:sz w:val="17"/>
              </w:rPr>
              <w:t>Kur’ân</w:t>
            </w:r>
          </w:p>
        </w:tc>
        <w:tc>
          <w:tcPr>
            <w:tcW w:type="dxa" w:w="1881"/>
            <w:tcMar>
              <w:top w:w="80" w:type="dxa"/>
              <w:start w:w="100" w:type="dxa"/>
              <w:bottom w:w="80" w:type="dxa"/>
              <w:end w:w="100" w:type="dxa"/>
            </w:tcMar>
          </w:tcPr>
          <w:p>
            <w:r>
              <w:rPr>
                <w:rFonts w:ascii="Times New Roman" w:hAnsi="Times New Roman" w:eastAsia="Times New Roman"/>
                <w:sz w:val="17"/>
              </w:rPr>
              <w:t>8</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Ana metinde 8 kaçak kullanım kaldı; eser adı/doğrudan alıntı ise ayrı değerlendirilmelidir.</w:t>
            </w:r>
          </w:p>
        </w:tc>
      </w:tr>
      <w:tr>
        <w:tc>
          <w:tcPr>
            <w:tcW w:type="dxa" w:w="1881"/>
            <w:tcMar>
              <w:top w:w="80" w:type="dxa"/>
              <w:start w:w="100" w:type="dxa"/>
              <w:bottom w:w="80" w:type="dxa"/>
              <w:end w:w="100" w:type="dxa"/>
            </w:tcMar>
          </w:tcPr>
          <w:p>
            <w:r>
              <w:rPr>
                <w:rFonts w:ascii="Times New Roman" w:hAnsi="Times New Roman" w:eastAsia="Times New Roman"/>
                <w:sz w:val="17"/>
              </w:rPr>
              <w:t>Kur’an</w:t>
            </w:r>
          </w:p>
        </w:tc>
        <w:tc>
          <w:tcPr>
            <w:tcW w:type="dxa" w:w="1881"/>
            <w:tcMar>
              <w:top w:w="80" w:type="dxa"/>
              <w:start w:w="100" w:type="dxa"/>
              <w:bottom w:w="80" w:type="dxa"/>
              <w:end w:w="100" w:type="dxa"/>
            </w:tcMar>
          </w:tcPr>
          <w:p>
            <w:r>
              <w:rPr>
                <w:rFonts w:ascii="Times New Roman" w:hAnsi="Times New Roman" w:eastAsia="Times New Roman"/>
                <w:sz w:val="17"/>
              </w:rPr>
              <w:t>264</w:t>
            </w:r>
          </w:p>
        </w:tc>
        <w:tc>
          <w:tcPr>
            <w:tcW w:type="dxa" w:w="1881"/>
            <w:tcMar>
              <w:top w:w="80" w:type="dxa"/>
              <w:start w:w="100" w:type="dxa"/>
              <w:bottom w:w="80" w:type="dxa"/>
              <w:end w:w="100" w:type="dxa"/>
            </w:tcMar>
          </w:tcPr>
          <w:p>
            <w:r>
              <w:rPr>
                <w:rFonts w:ascii="Times New Roman" w:hAnsi="Times New Roman" w:eastAsia="Times New Roman"/>
                <w:sz w:val="17"/>
              </w:rPr>
              <w:t>12</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264 kullanım; proje tercihinin baskın biçimi.</w:t>
            </w:r>
          </w:p>
        </w:tc>
      </w:tr>
    </w:tbl>
    <w:p>
      <w:r>
        <w:t>Not: “maktadır” ve “mektedir” dizileri gövde metninde sırasıyla 267 ve 415 kez geçmektedir. Bu sayım morfolojik bir dizi sayımıdır; her örneği ayrı bir ek veya hata kabul etmek doğru değildir. Asıl sorun aynı paragrafta art arda edilgen ve soyut yüklemler oluşturmasıdır.</w:t>
      </w:r>
    </w:p>
    <w:p>
      <w:pPr>
        <w:pStyle w:val="Heading1"/>
        <w:keepNext/>
      </w:pPr>
      <w:r>
        <w:t>14. Paragraf Açılış ve Kapanışlarındaki Tekrarlar</w:t>
      </w:r>
    </w:p>
    <w:p>
      <w:r>
        <w:t>Açılışlarda en belirgin örüntü, bağlayıcı sözcüklerin düşünce ilişkisini açıklamak yerine paragrafı mekanik biçimde başlatmasıdır. “Bu çerçevede” 10 paragrafı, “Nitekim” 11 paragrafı, “Bu noktada” 4 paragrafı doğrudan başlatmaktadır. Bu sayılar tek başına hata değildir; ancak özellikle 3. ve 4. bölümlerde ardışık paragrafların aynı retorik ritme girmesine yol açmaktadır.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AF7"/>
          </w:tcPr>
          <w:p>
            <w:r>
              <w:rPr>
                <w:rFonts w:ascii="Times New Roman" w:hAnsi="Times New Roman" w:eastAsia="Times New Roman"/>
                <w:sz w:val="17"/>
              </w:rPr>
              <w:t>Paragraf sonu kalıbı</w:t>
            </w:r>
          </w:p>
        </w:tc>
        <w:tc>
          <w:tcPr>
            <w:tcW w:type="dxa" w:w="3135"/>
            <w:shd w:fill="D9EAF7"/>
          </w:tcPr>
          <w:p>
            <w:r>
              <w:rPr>
                <w:rFonts w:ascii="Times New Roman" w:hAnsi="Times New Roman" w:eastAsia="Times New Roman"/>
                <w:sz w:val="17"/>
              </w:rPr>
              <w:t>Yaklaşık/tespit edilen sayı</w:t>
            </w:r>
          </w:p>
        </w:tc>
        <w:tc>
          <w:tcPr>
            <w:tcW w:type="dxa" w:w="3135"/>
            <w:shd w:fill="D9EAF7"/>
          </w:tcPr>
          <w:p>
            <w:r>
              <w:rPr>
                <w:rFonts w:ascii="Times New Roman" w:hAnsi="Times New Roman" w:eastAsia="Times New Roman"/>
                <w:sz w:val="17"/>
              </w:rPr>
              <w:t>Editoryal karar</w:t>
            </w:r>
          </w:p>
        </w:tc>
      </w:tr>
      <w:tr>
        <w:tc>
          <w:tcPr>
            <w:tcW w:type="dxa" w:w="3135"/>
            <w:tcMar>
              <w:top w:w="80" w:type="dxa"/>
              <w:start w:w="100" w:type="dxa"/>
              <w:bottom w:w="80" w:type="dxa"/>
              <w:end w:w="100" w:type="dxa"/>
            </w:tcMar>
          </w:tcPr>
          <w:p>
            <w:r>
              <w:rPr>
                <w:rFonts w:ascii="Times New Roman" w:hAnsi="Times New Roman" w:eastAsia="Times New Roman"/>
                <w:sz w:val="17"/>
              </w:rPr>
              <w:t>göstermektedir.</w:t>
            </w:r>
          </w:p>
        </w:tc>
        <w:tc>
          <w:tcPr>
            <w:tcW w:type="dxa" w:w="3135"/>
            <w:tcMar>
              <w:top w:w="80" w:type="dxa"/>
              <w:start w:w="100" w:type="dxa"/>
              <w:bottom w:w="80" w:type="dxa"/>
              <w:end w:w="100" w:type="dxa"/>
            </w:tcMar>
          </w:tcPr>
          <w:p>
            <w:r>
              <w:rPr>
                <w:rFonts w:ascii="Times New Roman" w:hAnsi="Times New Roman" w:eastAsia="Times New Roman"/>
                <w:sz w:val="17"/>
              </w:rPr>
              <w:t>33</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r>
        <w:tc>
          <w:tcPr>
            <w:tcW w:type="dxa" w:w="3135"/>
            <w:tcMar>
              <w:top w:w="80" w:type="dxa"/>
              <w:start w:w="100" w:type="dxa"/>
              <w:bottom w:w="80" w:type="dxa"/>
              <w:end w:w="100" w:type="dxa"/>
            </w:tcMar>
          </w:tcPr>
          <w:p>
            <w:r>
              <w:rPr>
                <w:rFonts w:ascii="Times New Roman" w:hAnsi="Times New Roman" w:eastAsia="Times New Roman"/>
                <w:sz w:val="17"/>
              </w:rPr>
              <w:t>ortaya koymaktadır.</w:t>
            </w:r>
          </w:p>
        </w:tc>
        <w:tc>
          <w:tcPr>
            <w:tcW w:type="dxa" w:w="3135"/>
            <w:tcMar>
              <w:top w:w="80" w:type="dxa"/>
              <w:start w:w="100" w:type="dxa"/>
              <w:bottom w:w="80" w:type="dxa"/>
              <w:end w:w="100" w:type="dxa"/>
            </w:tcMar>
          </w:tcPr>
          <w:p>
            <w:r>
              <w:rPr>
                <w:rFonts w:ascii="Times New Roman" w:hAnsi="Times New Roman" w:eastAsia="Times New Roman"/>
                <w:sz w:val="17"/>
              </w:rPr>
              <w:t>11</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r>
        <w:tc>
          <w:tcPr>
            <w:tcW w:type="dxa" w:w="3135"/>
            <w:tcMar>
              <w:top w:w="80" w:type="dxa"/>
              <w:start w:w="100" w:type="dxa"/>
              <w:bottom w:w="80" w:type="dxa"/>
              <w:end w:w="100" w:type="dxa"/>
            </w:tcMar>
          </w:tcPr>
          <w:p>
            <w:r>
              <w:rPr>
                <w:rFonts w:ascii="Times New Roman" w:hAnsi="Times New Roman" w:eastAsia="Times New Roman"/>
                <w:sz w:val="17"/>
              </w:rPr>
              <w:t>anlaşılmaktadır.</w:t>
            </w:r>
          </w:p>
        </w:tc>
        <w:tc>
          <w:tcPr>
            <w:tcW w:type="dxa" w:w="3135"/>
            <w:tcMar>
              <w:top w:w="80" w:type="dxa"/>
              <w:start w:w="100" w:type="dxa"/>
              <w:bottom w:w="80" w:type="dxa"/>
              <w:end w:w="100" w:type="dxa"/>
            </w:tcMar>
          </w:tcPr>
          <w:p>
            <w:r>
              <w:rPr>
                <w:rFonts w:ascii="Times New Roman" w:hAnsi="Times New Roman" w:eastAsia="Times New Roman"/>
                <w:sz w:val="17"/>
              </w:rPr>
              <w:t>8</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r>
        <w:tc>
          <w:tcPr>
            <w:tcW w:type="dxa" w:w="3135"/>
            <w:tcMar>
              <w:top w:w="80" w:type="dxa"/>
              <w:start w:w="100" w:type="dxa"/>
              <w:bottom w:w="80" w:type="dxa"/>
              <w:end w:w="100" w:type="dxa"/>
            </w:tcMar>
          </w:tcPr>
          <w:p>
            <w:r>
              <w:rPr>
                <w:rFonts w:ascii="Times New Roman" w:hAnsi="Times New Roman" w:eastAsia="Times New Roman"/>
                <w:sz w:val="17"/>
              </w:rPr>
              <w:t>görülmektedir.</w:t>
            </w:r>
          </w:p>
        </w:tc>
        <w:tc>
          <w:tcPr>
            <w:tcW w:type="dxa" w:w="3135"/>
            <w:tcMar>
              <w:top w:w="80" w:type="dxa"/>
              <w:start w:w="100" w:type="dxa"/>
              <w:bottom w:w="80" w:type="dxa"/>
              <w:end w:w="100" w:type="dxa"/>
            </w:tcMar>
          </w:tcPr>
          <w:p>
            <w:r>
              <w:rPr>
                <w:rFonts w:ascii="Times New Roman" w:hAnsi="Times New Roman" w:eastAsia="Times New Roman"/>
                <w:sz w:val="17"/>
              </w:rPr>
              <w:t>5</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r>
        <w:tc>
          <w:tcPr>
            <w:tcW w:type="dxa" w:w="3135"/>
            <w:tcMar>
              <w:top w:w="80" w:type="dxa"/>
              <w:start w:w="100" w:type="dxa"/>
              <w:bottom w:w="80" w:type="dxa"/>
              <w:end w:w="100" w:type="dxa"/>
            </w:tcMar>
          </w:tcPr>
          <w:p>
            <w:r>
              <w:rPr>
                <w:rFonts w:ascii="Times New Roman" w:hAnsi="Times New Roman" w:eastAsia="Times New Roman"/>
                <w:sz w:val="17"/>
              </w:rPr>
              <w:t>değerlendirilmektedir.</w:t>
            </w:r>
          </w:p>
        </w:tc>
        <w:tc>
          <w:tcPr>
            <w:tcW w:type="dxa" w:w="3135"/>
            <w:tcMar>
              <w:top w:w="80" w:type="dxa"/>
              <w:start w:w="100" w:type="dxa"/>
              <w:bottom w:w="80" w:type="dxa"/>
              <w:end w:w="100" w:type="dxa"/>
            </w:tcMar>
          </w:tcPr>
          <w:p>
            <w:r>
              <w:rPr>
                <w:rFonts w:ascii="Times New Roman" w:hAnsi="Times New Roman" w:eastAsia="Times New Roman"/>
                <w:sz w:val="17"/>
              </w:rPr>
              <w:t>4</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r>
        <w:tc>
          <w:tcPr>
            <w:tcW w:type="dxa" w:w="3135"/>
            <w:tcMar>
              <w:top w:w="80" w:type="dxa"/>
              <w:start w:w="100" w:type="dxa"/>
              <w:bottom w:w="80" w:type="dxa"/>
              <w:end w:w="100" w:type="dxa"/>
            </w:tcMar>
          </w:tcPr>
          <w:p>
            <w:r>
              <w:rPr>
                <w:rFonts w:ascii="Times New Roman" w:hAnsi="Times New Roman" w:eastAsia="Times New Roman"/>
                <w:sz w:val="17"/>
              </w:rPr>
              <w:t>önem taşımaktadır.</w:t>
            </w:r>
          </w:p>
        </w:tc>
        <w:tc>
          <w:tcPr>
            <w:tcW w:type="dxa" w:w="3135"/>
            <w:tcMar>
              <w:top w:w="80" w:type="dxa"/>
              <w:start w:w="100" w:type="dxa"/>
              <w:bottom w:w="80" w:type="dxa"/>
              <w:end w:w="100" w:type="dxa"/>
            </w:tcMar>
          </w:tcPr>
          <w:p>
            <w:r>
              <w:rPr>
                <w:rFonts w:ascii="Times New Roman" w:hAnsi="Times New Roman" w:eastAsia="Times New Roman"/>
                <w:sz w:val="17"/>
              </w:rPr>
              <w:t>2</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bl>
    <w:p>
      <w:r>
        <w:t>Özellikle 1.7, 1.9.2, 1.10, 2.4, 3.4–3.12 ve 4.1–4.7’de “örnek + bu durum ... göstermektedir” şablonu bir paragraf kurma alışkanlığı hâline gelmiştir. En doğal çözüm eş anlamlı fiil aramak değil, bazı sonuç cümlelerini tamamen kaldırmak ve örneğin kendi analitik işlevini önceki cümle içinde göstermek olacaktır.</w:t>
      </w:r>
    </w:p>
    <w:p>
      <w:pPr>
        <w:pStyle w:val="Heading1"/>
        <w:keepNext/>
      </w:pPr>
      <w:r>
        <w:t>15. Bölümler Arası Tekrar ve Akış Sorunları</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597"/>
          </w:tcPr>
          <w:p>
            <w:r>
              <w:rPr>
                <w:rFonts w:ascii="Times New Roman" w:hAnsi="Times New Roman" w:eastAsia="Times New Roman"/>
                <w:sz w:val="17"/>
              </w:rPr>
              <w:t>Tekrarlanan tema</w:t>
            </w:r>
          </w:p>
        </w:tc>
        <w:tc>
          <w:tcPr>
            <w:tcW w:type="dxa" w:w="3135"/>
            <w:shd w:fill="2F5597"/>
          </w:tcPr>
          <w:p>
            <w:r>
              <w:rPr>
                <w:rFonts w:ascii="Times New Roman" w:hAnsi="Times New Roman" w:eastAsia="Times New Roman"/>
                <w:sz w:val="17"/>
              </w:rPr>
              <w:t>Yerler</w:t>
            </w:r>
          </w:p>
        </w:tc>
        <w:tc>
          <w:tcPr>
            <w:tcW w:type="dxa" w:w="3135"/>
            <w:shd w:fill="2F5597"/>
          </w:tcPr>
          <w:p>
            <w:r>
              <w:rPr>
                <w:rFonts w:ascii="Times New Roman" w:hAnsi="Times New Roman" w:eastAsia="Times New Roman"/>
                <w:sz w:val="17"/>
              </w:rPr>
              <w:t>Asıl yer / çözüm</w:t>
            </w:r>
          </w:p>
        </w:tc>
      </w:tr>
      <w:tr>
        <w:tc>
          <w:tcPr>
            <w:tcW w:type="dxa" w:w="3135"/>
            <w:tcMar>
              <w:top w:w="80" w:type="dxa"/>
              <w:start w:w="100" w:type="dxa"/>
              <w:bottom w:w="80" w:type="dxa"/>
              <w:end w:w="100" w:type="dxa"/>
            </w:tcMar>
          </w:tcPr>
          <w:p>
            <w:r>
              <w:rPr>
                <w:rFonts w:ascii="Times New Roman" w:hAnsi="Times New Roman" w:eastAsia="Times New Roman"/>
                <w:sz w:val="17"/>
              </w:rPr>
              <w:t>Yazı–söz tamamlayıcılığı</w:t>
            </w:r>
          </w:p>
        </w:tc>
        <w:tc>
          <w:tcPr>
            <w:tcW w:type="dxa" w:w="3135"/>
            <w:tcMar>
              <w:top w:w="80" w:type="dxa"/>
              <w:start w:w="100" w:type="dxa"/>
              <w:bottom w:w="80" w:type="dxa"/>
              <w:end w:w="100" w:type="dxa"/>
            </w:tcMar>
          </w:tcPr>
          <w:p>
            <w:r>
              <w:rPr>
                <w:rFonts w:ascii="Times New Roman" w:hAnsi="Times New Roman" w:eastAsia="Times New Roman"/>
                <w:sz w:val="17"/>
              </w:rPr>
              <w:t>Önsöz, Giriş, 1.2, 2.1–2.2, 3.10, 4.1, Sonuç</w:t>
            </w:r>
          </w:p>
        </w:tc>
        <w:tc>
          <w:tcPr>
            <w:tcW w:type="dxa" w:w="3135"/>
            <w:tcMar>
              <w:top w:w="80" w:type="dxa"/>
              <w:start w:w="100" w:type="dxa"/>
              <w:bottom w:w="80" w:type="dxa"/>
              <w:end w:w="100" w:type="dxa"/>
            </w:tcMar>
          </w:tcPr>
          <w:p>
            <w:r>
              <w:rPr>
                <w:rFonts w:ascii="Times New Roman" w:hAnsi="Times New Roman" w:eastAsia="Times New Roman"/>
                <w:sz w:val="17"/>
              </w:rPr>
              <w:t>Ana tez bir kez güçlü kurulmalı; sonraki bölümlerde yalnız o bölümün özgül sonucu kadar hatırlatılmalı.</w:t>
            </w:r>
          </w:p>
        </w:tc>
      </w:tr>
      <w:tr>
        <w:tc>
          <w:tcPr>
            <w:tcW w:type="dxa" w:w="3135"/>
            <w:tcMar>
              <w:top w:w="80" w:type="dxa"/>
              <w:start w:w="100" w:type="dxa"/>
              <w:bottom w:w="80" w:type="dxa"/>
              <w:end w:w="100" w:type="dxa"/>
            </w:tcMar>
          </w:tcPr>
          <w:p>
            <w:r>
              <w:rPr>
                <w:rFonts w:ascii="Times New Roman" w:hAnsi="Times New Roman" w:eastAsia="Times New Roman"/>
                <w:sz w:val="17"/>
              </w:rPr>
              <w:t>Yedi harf – Osmânî istinsah ilişkisi</w:t>
            </w:r>
          </w:p>
        </w:tc>
        <w:tc>
          <w:tcPr>
            <w:tcW w:type="dxa" w:w="3135"/>
            <w:tcMar>
              <w:top w:w="80" w:type="dxa"/>
              <w:start w:w="100" w:type="dxa"/>
              <w:bottom w:w="80" w:type="dxa"/>
              <w:end w:w="100" w:type="dxa"/>
            </w:tcMar>
          </w:tcPr>
          <w:p>
            <w:r>
              <w:rPr>
                <w:rFonts w:ascii="Times New Roman" w:hAnsi="Times New Roman" w:eastAsia="Times New Roman"/>
                <w:sz w:val="17"/>
              </w:rPr>
              <w:t>Giriş, 1.3, 1.4, 2.3, Sonuç</w:t>
            </w:r>
          </w:p>
        </w:tc>
        <w:tc>
          <w:tcPr>
            <w:tcW w:type="dxa" w:w="3135"/>
            <w:tcMar>
              <w:top w:w="80" w:type="dxa"/>
              <w:start w:w="100" w:type="dxa"/>
              <w:bottom w:w="80" w:type="dxa"/>
              <w:end w:w="100" w:type="dxa"/>
            </w:tcMar>
          </w:tcPr>
          <w:p>
            <w:r>
              <w:rPr>
                <w:rFonts w:ascii="Times New Roman" w:hAnsi="Times New Roman" w:eastAsia="Times New Roman"/>
                <w:sz w:val="17"/>
              </w:rPr>
              <w:t>Tarihsel anlatının asıl yeri 1.4; teorik görüş ayrımının asıl yeri 2.3 olmalı. Giriş ve Sonuçta kısa çerçeve yeterli.</w:t>
            </w:r>
          </w:p>
        </w:tc>
      </w:tr>
      <w:tr>
        <w:tc>
          <w:tcPr>
            <w:tcW w:type="dxa" w:w="3135"/>
            <w:tcMar>
              <w:top w:w="80" w:type="dxa"/>
              <w:start w:w="100" w:type="dxa"/>
              <w:bottom w:w="80" w:type="dxa"/>
              <w:end w:w="100" w:type="dxa"/>
            </w:tcMar>
          </w:tcPr>
          <w:p>
            <w:r>
              <w:rPr>
                <w:rFonts w:ascii="Times New Roman" w:hAnsi="Times New Roman" w:eastAsia="Times New Roman"/>
                <w:sz w:val="17"/>
              </w:rPr>
              <w:t>Resm kabul ölçüsüdür, kaynak değildir</w:t>
            </w:r>
          </w:p>
        </w:tc>
        <w:tc>
          <w:tcPr>
            <w:tcW w:type="dxa" w:w="3135"/>
            <w:tcMar>
              <w:top w:w="80" w:type="dxa"/>
              <w:start w:w="100" w:type="dxa"/>
              <w:bottom w:w="80" w:type="dxa"/>
              <w:end w:w="100" w:type="dxa"/>
            </w:tcMar>
          </w:tcPr>
          <w:p>
            <w:r>
              <w:rPr>
                <w:rFonts w:ascii="Times New Roman" w:hAnsi="Times New Roman" w:eastAsia="Times New Roman"/>
                <w:sz w:val="17"/>
              </w:rPr>
              <w:t>Giriş, 1.10, 2.4, 4.1, 4.3, Sonuç</w:t>
            </w:r>
          </w:p>
        </w:tc>
        <w:tc>
          <w:tcPr>
            <w:tcW w:type="dxa" w:w="3135"/>
            <w:tcMar>
              <w:top w:w="80" w:type="dxa"/>
              <w:start w:w="100" w:type="dxa"/>
              <w:bottom w:w="80" w:type="dxa"/>
              <w:end w:w="100" w:type="dxa"/>
            </w:tcMar>
          </w:tcPr>
          <w:p>
            <w:r>
              <w:rPr>
                <w:rFonts w:ascii="Times New Roman" w:hAnsi="Times New Roman" w:eastAsia="Times New Roman"/>
                <w:sz w:val="17"/>
              </w:rPr>
              <w:t>Giriş ve 4.1’de açık formül; diğer yerlerde yeniden tanımlamak yerine somut uygulamaya geç.</w:t>
            </w:r>
          </w:p>
        </w:tc>
      </w:tr>
      <w:tr>
        <w:tc>
          <w:tcPr>
            <w:tcW w:type="dxa" w:w="3135"/>
            <w:tcMar>
              <w:top w:w="80" w:type="dxa"/>
              <w:start w:w="100" w:type="dxa"/>
              <w:bottom w:w="80" w:type="dxa"/>
              <w:end w:w="100" w:type="dxa"/>
            </w:tcMar>
          </w:tcPr>
          <w:p>
            <w:r>
              <w:rPr>
                <w:rFonts w:ascii="Times New Roman" w:hAnsi="Times New Roman" w:eastAsia="Times New Roman"/>
                <w:sz w:val="17"/>
              </w:rPr>
              <w:t>Sahâbe mushaflarının tarihsel değeri / normatif sınırı</w:t>
            </w:r>
          </w:p>
        </w:tc>
        <w:tc>
          <w:tcPr>
            <w:tcW w:type="dxa" w:w="3135"/>
            <w:tcMar>
              <w:top w:w="80" w:type="dxa"/>
              <w:start w:w="100" w:type="dxa"/>
              <w:bottom w:w="80" w:type="dxa"/>
              <w:end w:w="100" w:type="dxa"/>
            </w:tcMar>
          </w:tcPr>
          <w:p>
            <w:r>
              <w:rPr>
                <w:rFonts w:ascii="Times New Roman" w:hAnsi="Times New Roman" w:eastAsia="Times New Roman"/>
                <w:sz w:val="17"/>
              </w:rPr>
              <w:t>1.4, 4.2, Sonuç</w:t>
            </w:r>
          </w:p>
        </w:tc>
        <w:tc>
          <w:tcPr>
            <w:tcW w:type="dxa" w:w="3135"/>
            <w:tcMar>
              <w:top w:w="80" w:type="dxa"/>
              <w:start w:w="100" w:type="dxa"/>
              <w:bottom w:w="80" w:type="dxa"/>
              <w:end w:w="100" w:type="dxa"/>
            </w:tcMar>
          </w:tcPr>
          <w:p>
            <w:r>
              <w:rPr>
                <w:rFonts w:ascii="Times New Roman" w:hAnsi="Times New Roman" w:eastAsia="Times New Roman"/>
                <w:sz w:val="17"/>
              </w:rPr>
              <w:t>1.4 tarihsel süreç; 4.2 analitik değerlendirme; Sonuç tek paragraf. 4.2 içinde aynı ayrımı her örnekten sonra tekrarlama.</w:t>
            </w:r>
          </w:p>
        </w:tc>
      </w:tr>
      <w:tr>
        <w:tc>
          <w:tcPr>
            <w:tcW w:type="dxa" w:w="3135"/>
            <w:tcMar>
              <w:top w:w="80" w:type="dxa"/>
              <w:start w:w="100" w:type="dxa"/>
              <w:bottom w:w="80" w:type="dxa"/>
              <w:end w:w="100" w:type="dxa"/>
            </w:tcMar>
          </w:tcPr>
          <w:p>
            <w:r>
              <w:rPr>
                <w:rFonts w:ascii="Times New Roman" w:hAnsi="Times New Roman" w:eastAsia="Times New Roman"/>
                <w:sz w:val="17"/>
              </w:rPr>
              <w:t>Resme bağlılığın gerekçeleri</w:t>
            </w:r>
          </w:p>
        </w:tc>
        <w:tc>
          <w:tcPr>
            <w:tcW w:type="dxa" w:w="3135"/>
            <w:tcMar>
              <w:top w:w="80" w:type="dxa"/>
              <w:start w:w="100" w:type="dxa"/>
              <w:bottom w:w="80" w:type="dxa"/>
              <w:end w:w="100" w:type="dxa"/>
            </w:tcMar>
          </w:tcPr>
          <w:p>
            <w:r>
              <w:rPr>
                <w:rFonts w:ascii="Times New Roman" w:hAnsi="Times New Roman" w:eastAsia="Times New Roman"/>
                <w:sz w:val="17"/>
              </w:rPr>
              <w:t>1.8, 3.6–3.12, 4.6</w:t>
            </w:r>
          </w:p>
        </w:tc>
        <w:tc>
          <w:tcPr>
            <w:tcW w:type="dxa" w:w="3135"/>
            <w:tcMar>
              <w:top w:w="80" w:type="dxa"/>
              <w:start w:w="100" w:type="dxa"/>
              <w:bottom w:w="80" w:type="dxa"/>
              <w:end w:w="100" w:type="dxa"/>
            </w:tcMar>
          </w:tcPr>
          <w:p>
            <w:r>
              <w:rPr>
                <w:rFonts w:ascii="Times New Roman" w:hAnsi="Times New Roman" w:eastAsia="Times New Roman"/>
                <w:sz w:val="17"/>
              </w:rPr>
              <w:t>1.8 tevkîfîlik; 3.6 normatif/yorum düzeyleri; 3.7–3.12 pratik gerekçeler; 4.6 modern neşir. Başlıkların işlevini bu şekilde ayır.</w:t>
            </w:r>
          </w:p>
        </w:tc>
      </w:tr>
      <w:tr>
        <w:tc>
          <w:tcPr>
            <w:tcW w:type="dxa" w:w="3135"/>
            <w:tcMar>
              <w:top w:w="80" w:type="dxa"/>
              <w:start w:w="100" w:type="dxa"/>
              <w:bottom w:w="80" w:type="dxa"/>
              <w:end w:w="100" w:type="dxa"/>
            </w:tcMar>
          </w:tcPr>
          <w:p>
            <w:r>
              <w:rPr>
                <w:rFonts w:ascii="Times New Roman" w:hAnsi="Times New Roman" w:eastAsia="Times New Roman"/>
                <w:sz w:val="17"/>
              </w:rPr>
              <w:t>Klasik resm kaynakları → modern neşir</w:t>
            </w:r>
          </w:p>
        </w:tc>
        <w:tc>
          <w:tcPr>
            <w:tcW w:type="dxa" w:w="3135"/>
            <w:tcMar>
              <w:top w:w="80" w:type="dxa"/>
              <w:start w:w="100" w:type="dxa"/>
              <w:bottom w:w="80" w:type="dxa"/>
              <w:end w:w="100" w:type="dxa"/>
            </w:tcMar>
          </w:tcPr>
          <w:p>
            <w:r>
              <w:rPr>
                <w:rFonts w:ascii="Times New Roman" w:hAnsi="Times New Roman" w:eastAsia="Times New Roman"/>
                <w:sz w:val="17"/>
              </w:rPr>
              <w:t>3.11–3.12, 4.6–4.7</w:t>
            </w:r>
          </w:p>
        </w:tc>
        <w:tc>
          <w:tcPr>
            <w:tcW w:type="dxa" w:w="3135"/>
            <w:tcMar>
              <w:top w:w="80" w:type="dxa"/>
              <w:start w:w="100" w:type="dxa"/>
              <w:bottom w:w="80" w:type="dxa"/>
              <w:end w:w="100" w:type="dxa"/>
            </w:tcMar>
          </w:tcPr>
          <w:p>
            <w:r>
              <w:rPr>
                <w:rFonts w:ascii="Times New Roman" w:hAnsi="Times New Roman" w:eastAsia="Times New Roman"/>
                <w:sz w:val="17"/>
              </w:rPr>
              <w:t>Modern neşir ayrıntısını 4.6–4.7’de tut; 3. bölümde yalnız gerekçenin kavramsal yönü kalsın.</w:t>
            </w:r>
          </w:p>
        </w:tc>
      </w:tr>
      <w:tr>
        <w:tc>
          <w:tcPr>
            <w:tcW w:type="dxa" w:w="3135"/>
            <w:tcMar>
              <w:top w:w="80" w:type="dxa"/>
              <w:start w:w="100" w:type="dxa"/>
              <w:bottom w:w="80" w:type="dxa"/>
              <w:end w:w="100" w:type="dxa"/>
            </w:tcMar>
          </w:tcPr>
          <w:p>
            <w:r>
              <w:rPr>
                <w:rFonts w:ascii="Times New Roman" w:hAnsi="Times New Roman" w:eastAsia="Times New Roman"/>
                <w:sz w:val="17"/>
              </w:rPr>
              <w:t>Ümmet birliği</w:t>
            </w:r>
          </w:p>
        </w:tc>
        <w:tc>
          <w:tcPr>
            <w:tcW w:type="dxa" w:w="3135"/>
            <w:tcMar>
              <w:top w:w="80" w:type="dxa"/>
              <w:start w:w="100" w:type="dxa"/>
              <w:bottom w:w="80" w:type="dxa"/>
              <w:end w:w="100" w:type="dxa"/>
            </w:tcMar>
          </w:tcPr>
          <w:p>
            <w:r>
              <w:rPr>
                <w:rFonts w:ascii="Times New Roman" w:hAnsi="Times New Roman" w:eastAsia="Times New Roman"/>
                <w:sz w:val="17"/>
              </w:rPr>
              <w:t>1.4, 2.4, 3.12, 4.2, Sonuç</w:t>
            </w:r>
          </w:p>
        </w:tc>
        <w:tc>
          <w:tcPr>
            <w:tcW w:type="dxa" w:w="3135"/>
            <w:tcMar>
              <w:top w:w="80" w:type="dxa"/>
              <w:start w:w="100" w:type="dxa"/>
              <w:bottom w:w="80" w:type="dxa"/>
              <w:end w:w="100" w:type="dxa"/>
            </w:tcMar>
          </w:tcPr>
          <w:p>
            <w:r>
              <w:rPr>
                <w:rFonts w:ascii="Times New Roman" w:hAnsi="Times New Roman" w:eastAsia="Times New Roman"/>
                <w:sz w:val="17"/>
              </w:rPr>
              <w:t>Her yerde aynı normatif slogan gibi kullanılmamalı. 1.4 tarihsel ihtilaf, 3.12 yorum/işlev, 4.2 mushaf otoritesi bağlamında sınırlandırılmalı.</w:t>
            </w:r>
          </w:p>
        </w:tc>
      </w:tr>
    </w:tbl>
    <w:p>
      <w:pPr>
        <w:pStyle w:val="Heading1"/>
        <w:keepNext/>
      </w:pPr>
      <w:r>
        <w:t>16. Önceki Kapsamlı Raporda Bulunmayan Yeni Akış, Geçiş ve Üslup Sorunları</w:t>
      </w:r>
    </w:p>
    <w:p>
      <w:pPr>
        <w:pStyle w:val="ListBullet"/>
      </w:pPr>
      <w:r>
        <w:t>Girişte Dördüncü Bölüm ön izlemesinin yöntem ve kaynak paragraflarından önce gelmesi ve bölüm planının iki kez kurulması.</w:t>
      </w:r>
    </w:p>
    <w:p>
      <w:pPr>
        <w:pStyle w:val="ListBullet"/>
      </w:pPr>
      <w:r>
        <w:t>1.1’de ilk sentez ve İslâm dönemine geçişten sonra yeniden İslâm öncesi kanıtlara dönülmesi.</w:t>
      </w:r>
    </w:p>
    <w:p>
      <w:pPr>
        <w:pStyle w:val="ListBullet"/>
      </w:pPr>
      <w:r>
        <w:t>1.2’de somut rivâyetlerden önce üç genel çerçeve paragrafının art arda gelmesi.</w:t>
      </w:r>
    </w:p>
    <w:p>
      <w:pPr>
        <w:pStyle w:val="ListBullet"/>
      </w:pPr>
      <w:r>
        <w:t>1.3’ün yedi harf/arza-i âhire tartışmasıyla 1.4 ve 2.3’ün alanına taşması.</w:t>
      </w:r>
    </w:p>
    <w:p>
      <w:pPr>
        <w:pStyle w:val="ListBullet"/>
      </w:pPr>
      <w:r>
        <w:t>1.4’te istinsah gerekçeleri anlatıldıktan sonra aynı gerekçelerin “asıl üzerinde durulması gereken” diye yeniden başlatılması.</w:t>
      </w:r>
    </w:p>
    <w:p>
      <w:pPr>
        <w:pStyle w:val="ListBullet"/>
      </w:pPr>
      <w:r>
        <w:t>1.5’te ara sonuç + çağdaş literatür + iki son sentezden oluşan üçlü kapanış yapısı.</w:t>
      </w:r>
    </w:p>
    <w:p>
      <w:pPr>
        <w:pStyle w:val="ListBullet"/>
      </w:pPr>
      <w:r>
        <w:t>1.6’da üç meta-giriş paragrafı ve 1.6.1’den 1.6.2’ye lügat bilgisinin yeniden başlaması.</w:t>
      </w:r>
    </w:p>
    <w:p>
      <w:pPr>
        <w:pStyle w:val="ListBullet"/>
      </w:pPr>
      <w:r>
        <w:t>1.7’de aynı alt başlığın 140, 145 ve 151. paragraflarda üç kez “Sonuç olarak”la kapatılması.</w:t>
      </w:r>
    </w:p>
    <w:p>
      <w:pPr>
        <w:pStyle w:val="ListBullet"/>
      </w:pPr>
      <w:r>
        <w:t>1.9.2’de 199–201 arasında aynı sistem/koruma sonucunun üç ardışık sentezle tekrarlanması.</w:t>
      </w:r>
    </w:p>
    <w:p>
      <w:pPr>
        <w:pStyle w:val="ListBullet"/>
      </w:pPr>
      <w:r>
        <w:t>1.10’da kabul ölçülerinin 205–218 arasında kronolojik hat yerine döngüsel tekrarlarla ilerlemesi.</w:t>
      </w:r>
    </w:p>
    <w:p>
      <w:pPr>
        <w:pStyle w:val="ListBullet"/>
      </w:pPr>
      <w:r>
        <w:t>2.1’in rivâyet ve sened açıklamalarını 2.2’den önce tüketmesi; 2.2.1–2.2.3 açılışlarının aynı negatif tanım kalıbını kullanması.</w:t>
      </w:r>
    </w:p>
    <w:p>
      <w:pPr>
        <w:pStyle w:val="ListBullet"/>
      </w:pPr>
      <w:r>
        <w:t>2.4’ten 3. Bölüme somut resm–lafız–mana incelemesine geçiş köprüsünün eksikliği.</w:t>
      </w:r>
    </w:p>
    <w:p>
      <w:pPr>
        <w:pStyle w:val="ListBullet"/>
      </w:pPr>
      <w:r>
        <w:t>3.3’ün sonunda mana/hikmet alanına kayılarak 3.4’ün işlevinin önceden tüketilmesi.</w:t>
      </w:r>
    </w:p>
    <w:p>
      <w:pPr>
        <w:pStyle w:val="ListBullet"/>
      </w:pPr>
      <w:r>
        <w:t>3.4’te genel sonucun örnek dizisi tamamlanmadan gelmesi; 3.5’te çift sonuç paragrafı.</w:t>
      </w:r>
    </w:p>
    <w:p>
      <w:pPr>
        <w:pStyle w:val="ListBullet"/>
      </w:pPr>
      <w:r>
        <w:t>3.7’deki 327–330. paragrafların içerik bakımından 3.6’daki bağlayıcılık tartışmasına ait olması.</w:t>
      </w:r>
    </w:p>
    <w:p>
      <w:pPr>
        <w:pStyle w:val="ListBullet"/>
      </w:pPr>
      <w:r>
        <w:t>3.12’nin son üç paragrafının ardışık sentezler oluşturması ve 4. Bölüme ana probleme dönüş köprüsünün zayıflığı.</w:t>
      </w:r>
    </w:p>
    <w:p>
      <w:pPr>
        <w:pStyle w:val="ListBullet"/>
      </w:pPr>
      <w:r>
        <w:t>4.1’de ana tezin uygulama örnekleri arasında dört kez yeniden kurulması.</w:t>
      </w:r>
    </w:p>
    <w:p>
      <w:pPr>
        <w:pStyle w:val="ListBullet"/>
      </w:pPr>
      <w:r>
        <w:t>4.4 içinde tercih, tevcîh ve vakıf blokları arasında mikro-geçişlerin görünür olmaması.</w:t>
      </w:r>
    </w:p>
    <w:p>
      <w:pPr>
        <w:pStyle w:val="ListBullet"/>
      </w:pPr>
      <w:r>
        <w:t>4.5’te “Bu çerçevede denilebilir ki” genel hükmünün üçlü tasniften önce sonuç gibi gelmesi.</w:t>
      </w:r>
    </w:p>
    <w:p>
      <w:pPr>
        <w:pStyle w:val="ListBullet"/>
      </w:pPr>
      <w:r>
        <w:t>4.6’da 445, 446, 454 ve 455. paragrafların modern neşir–klasik resm ilişkisini dört kez sonuçlandırması.</w:t>
      </w:r>
    </w:p>
    <w:p>
      <w:pPr>
        <w:pStyle w:val="ListBullet"/>
      </w:pPr>
      <w:r>
        <w:t>4.7’nin gerçek konusuna mevcut 459. paragrafta başlaması; ilk iki paragrafın genel hat tarihine geri dönerek başlık akışını geciktirmesi.</w:t>
      </w:r>
    </w:p>
    <w:p>
      <w:pPr>
        <w:pStyle w:val="ListBullet"/>
      </w:pPr>
      <w:r>
        <w:t>4.7’de 471. paragrafın Türkiye örneğinden önce bölümü erken sonuçlandırması ve 475’te ikinci sonuç oluşması.</w:t>
      </w:r>
    </w:p>
    <w:p>
      <w:pPr>
        <w:pStyle w:val="ListBullet"/>
      </w:pPr>
      <w:r>
        <w:t>Formülaik ifade sıklıklarının sayısal olarak belirlenmesi: “göstermektedir” 120, “Nitekim” 91, “Böylece” 86, “Dolayısıyla” 54, “ortaya koymaktadır” 42 vb.</w:t>
      </w:r>
    </w:p>
    <w:p>
      <w:pPr>
        <w:pStyle w:val="ListBullet"/>
      </w:pPr>
      <w:r>
        <w:t>Sonuç bölümü dışındaki 14 “Sonuç olarak” kullanımının işlevlerine göre A–E sınıflandırması ve 11’inin doğrudan editoryal müdahale gerektirdiğinin belirlenmesi.</w:t>
      </w:r>
    </w:p>
    <w:p>
      <w:r>
        <w:t>Not: Önceki raporda 3.7–3.12’nin yapısal olarak birleştirilmesi, 3.6’daki “üç ana çizgi” hatası ve 4.6–4.7’deki bazı bilimsel/nedensellik sorunları zaten bulunuyordu. Bu raporda bu maddeler “yeni bulgu” sayılmamış; yalnız yeni akış ayrıntıları ayrıca gösterilmiştir.</w:t>
      </w:r>
    </w:p>
    <w:p>
      <w:pPr>
        <w:pStyle w:val="Heading1"/>
        <w:keepNext/>
      </w:pPr>
      <w:r>
        <w:t>17. Doğrudan Uygulanabilecek Öncelikli Düzeltme Planı</w:t>
      </w:r>
    </w:p>
    <w:p>
      <w:pPr>
        <w:pStyle w:val="Heading2"/>
        <w:keepNext/>
      </w:pPr>
      <w:r>
        <w:t>A. Yapısal olarak mutlaka düzeltilmesi gerekenler</w:t>
      </w:r>
    </w:p>
    <w:p>
      <w:pPr>
        <w:pStyle w:val="ListNumber"/>
      </w:pPr>
      <w:r>
        <w:t>Girişin ikinci yarısını problem/tez → kavramlar → kapsam → yöntem/kaynak → katkı → kısa bölüm planı sırasına getir.</w:t>
      </w:r>
    </w:p>
    <w:p>
      <w:pPr>
        <w:pStyle w:val="ListNumber"/>
      </w:pPr>
      <w:r>
        <w:t>1.1’de 49–50’nin erken sentez ve ileri sıçramasını gider.</w:t>
      </w:r>
    </w:p>
    <w:p>
      <w:pPr>
        <w:pStyle w:val="ListNumber"/>
      </w:pPr>
      <w:r>
        <w:t>1.3’te yedi harf/arza ayrıntısını 2.3’e taşı veya tek köprü cümlesine indir.</w:t>
      </w:r>
    </w:p>
    <w:p>
      <w:pPr>
        <w:pStyle w:val="ListNumber"/>
      </w:pPr>
      <w:r>
        <w:t>1.4’te 96–98 tekrar bloğunu önceki paragraflara yedir.</w:t>
      </w:r>
    </w:p>
    <w:p>
      <w:pPr>
        <w:pStyle w:val="ListNumber"/>
      </w:pPr>
      <w:r>
        <w:t>1.5’te 108 ve 115–116 arasındaki çoklu sonuç yapısını tek senteze indir.</w:t>
      </w:r>
    </w:p>
    <w:p>
      <w:pPr>
        <w:pStyle w:val="ListNumber"/>
      </w:pPr>
      <w:r>
        <w:t>1.8’de 158–163’ün geri dönüşünü gider.</w:t>
      </w:r>
    </w:p>
    <w:p>
      <w:pPr>
        <w:pStyle w:val="ListNumber"/>
      </w:pPr>
      <w:r>
        <w:t>1.10’u erken pratik → İbn Mücâhid → İbnü’l-Cezerî → sonraki kabul şeklinde yeniden sırala.</w:t>
      </w:r>
    </w:p>
    <w:p>
      <w:pPr>
        <w:pStyle w:val="ListNumber"/>
      </w:pPr>
      <w:r>
        <w:t>3.6–3.12’de bağlayıcılık ve gerekçe katmanlarını ayır; 327–330’u 3.6’ya taşı.</w:t>
      </w:r>
    </w:p>
    <w:p>
      <w:pPr>
        <w:pStyle w:val="ListNumber"/>
      </w:pPr>
      <w:r>
        <w:t>4.7’yi mevcut 459. paragrafla başlat; 457–458’i taşı/kısalt.</w:t>
      </w:r>
    </w:p>
    <w:p>
      <w:pPr>
        <w:pStyle w:val="ListNumber"/>
      </w:pPr>
      <w:r>
        <w:t>471’i Türkiye örneğine geçişe dönüştür; nihai sentezi gerçek sona bırak.</w:t>
      </w:r>
    </w:p>
    <w:p>
      <w:pPr>
        <w:pStyle w:val="Heading2"/>
        <w:keepNext/>
      </w:pPr>
      <w:r>
        <w:t>B. Güçlü biçimde önerilen geçiş ve tekrar düzeltmeleri</w:t>
      </w:r>
    </w:p>
    <w:p>
      <w:pPr>
        <w:pStyle w:val="ListNumber"/>
      </w:pPr>
      <w:r>
        <w:t>1.5→1.6, 2.4→3, 3.12→4 ve 4.5→4.6 geçişlerini tek cümlelik köprülerle görünür kıl.</w:t>
      </w:r>
    </w:p>
    <w:p>
      <w:pPr>
        <w:pStyle w:val="ListNumber"/>
      </w:pPr>
      <w:r>
        <w:t>2.1 ile 2.2 arasındaki rivâyet/sened tekrarını kaldır.</w:t>
      </w:r>
    </w:p>
    <w:p>
      <w:pPr>
        <w:pStyle w:val="ListNumber"/>
      </w:pPr>
      <w:r>
        <w:t>3.3’teki mana merkezli kısmı 3.4’e taşı.</w:t>
      </w:r>
    </w:p>
    <w:p>
      <w:pPr>
        <w:pStyle w:val="ListNumber"/>
      </w:pPr>
      <w:r>
        <w:t>3.4 ve 3.5’te erken/çift sonuç paragraflarını tek senteze indir.</w:t>
      </w:r>
    </w:p>
    <w:p>
      <w:pPr>
        <w:pStyle w:val="ListNumber"/>
      </w:pPr>
      <w:r>
        <w:t>4.4 içinde tercih, tevcîh ve vakıf için kısa iç geçiş cümleleri kullan.</w:t>
      </w:r>
    </w:p>
    <w:p>
      <w:pPr>
        <w:pStyle w:val="ListNumber"/>
      </w:pPr>
      <w:r>
        <w:t>4.6’daki 445/446 ve 454/455 çift sentezlerini birleştir.</w:t>
      </w:r>
    </w:p>
    <w:p>
      <w:pPr>
        <w:pStyle w:val="Heading2"/>
        <w:keepNext/>
      </w:pPr>
      <w:r>
        <w:t>C. Formülaik anlatımı azaltacak editoryal değişiklikler</w:t>
      </w:r>
    </w:p>
    <w:p>
      <w:pPr>
        <w:pStyle w:val="ListNumber"/>
      </w:pPr>
      <w:r>
        <w:t>Sonuç bölümü dışındaki 14 “Sonuç olarak” kullanımından yalnız gerçek analitik sonuç işlevi taşıyanları koru.</w:t>
      </w:r>
    </w:p>
    <w:p>
      <w:pPr>
        <w:pStyle w:val="ListNumber"/>
      </w:pPr>
      <w:r>
        <w:t>“Bütün bu veriler...” 56, 454 ve 471’i kaldır/dönüştür; 415’i kısalt.</w:t>
      </w:r>
    </w:p>
    <w:p>
      <w:pPr>
        <w:pStyle w:val="ListNumber"/>
      </w:pPr>
      <w:r>
        <w:t>“göstermektedir / ortaya koymaktadır / anlaşılmaktadır” fiillerini eş anlamlılarla mekanik olarak değiştirmek yerine gereksiz sonuç cümlelerini sil.</w:t>
      </w:r>
    </w:p>
    <w:p>
      <w:pPr>
        <w:pStyle w:val="ListNumber"/>
      </w:pPr>
      <w:r>
        <w:t>“Bu çerçevede / Nitekim / Dolayısıyla / Böylece” bağlaçlarını yalnız mantıksal ilişkiyi gerçekten açıkladıkları yerlerde bırak.</w:t>
      </w:r>
    </w:p>
    <w:p>
      <w:pPr>
        <w:pStyle w:val="ListNumber"/>
      </w:pPr>
      <w:r>
        <w:t>Negatif tanım dizilerini özellikle Giriş, 2. bölüm ve 4. bölümde olumlu tanımla dengele.</w:t>
      </w:r>
    </w:p>
    <w:p>
      <w:pPr>
        <w:pStyle w:val="Heading2"/>
        <w:keepNext/>
      </w:pPr>
      <w:r>
        <w:t>D. İsteğe bağlı son üslup cilası</w:t>
      </w:r>
    </w:p>
    <w:p>
      <w:pPr>
        <w:pStyle w:val="ListNumber"/>
      </w:pPr>
      <w:r>
        <w:t>Önsözün son metodoloji cümlelerini kısalt.</w:t>
      </w:r>
    </w:p>
    <w:p>
      <w:pPr>
        <w:pStyle w:val="ListNumber"/>
      </w:pPr>
      <w:r>
        <w:t>Girişte bölüm tanıtımlarını bölüm başına bir cümleye indir.</w:t>
      </w:r>
    </w:p>
    <w:p>
      <w:pPr>
        <w:pStyle w:val="ListNumber"/>
      </w:pPr>
      <w:r>
        <w:t>Sonuçta 480–482 arasındaki “resm tek başına yeterli değildir” uyarısını bir kez söyle.</w:t>
      </w:r>
    </w:p>
    <w:p>
      <w:pPr>
        <w:pStyle w:val="ListNumber"/>
      </w:pPr>
      <w:r>
        <w:t>489’un sonundaki ileri araştırma listesini çıkar veya tek cümleye indir.</w:t>
      </w:r>
    </w:p>
    <w:p>
      <w:pPr>
        <w:pStyle w:val="ListNumber"/>
      </w:pPr>
      <w:r>
        <w:t>“klasik” kelimesini her yerde değil, belirsiz kaldığı yerlerde “resm literatürü / kırâat kaynakları / sonraki müellifler” gibi daha kesin adlarla değiştir.</w:t>
      </w:r>
    </w:p>
    <w:p>
      <w:pPr>
        <w:pStyle w:val="Heading1"/>
        <w:keepNext/>
      </w:pPr>
      <w:r>
        <w:t>18. Nihai Değerlendirme</w:t>
      </w:r>
    </w:p>
    <w:p>
      <w:r>
        <w:t>Bu ikinci tarama, önceki kapsamlı bilimsel denetimin ötesinde belirgin yeni editoryal bulgular ortaya koymuştur. Kitabın ana tezi ve genel dört bölümlü mimarisi korunabilir; sorun, çoğunlukla yeni bölüm eklemekten çok mevcut malzemenin sırasını, paragraf işlevlerini ve kapanış yoğunluğunu düzeltme ihtiyacıdır.</w:t>
      </w:r>
    </w:p>
    <w:p>
      <w:r>
        <w:t>En önemli sonuç şudur: metin birçok yerde bilimsel olarak gerekli ihtiyatı artık ifade ediyor, fakat aynı ihtiyat ve ana tez gereğinden fazla yeniden açıklandığı için anlatım mekanikleşiyor. Bu nedenle son redaksiyon “eş anlamlı kelime bulma” düzeyinde yapılmamalıdır. Özellikle “Sonuç olarak”, “Bütün bu veriler”, “göstermektedir” gibi kalıpları başka kalıplarla değiştirmek tek başına çözüm değildir. Asıl kazanç; gereksiz sonuç cümlelerini çıkarmak, erken sentezleri gerçek sona taşımak, bir sonraki başlığın konusunu önceki başlıkta tüketmemek ve bölüm geçişlerini tek işlevli cümlelerle kurmaktan gelecektir.</w:t>
      </w:r>
    </w:p>
    <w:p>
      <w:r>
        <w:t>Bu akış ve üslup düzeltmeleri, önceki kapsamlı rapordaki bilimsel ve kaynak temelli düzeltmelerden sonra uygulanmalıdır. Bilimsel içerik değişirken paragraf akışının yeniden bozulmaması için en verimli sıra: önce bilimsel/kaynak düzeltmeleri, ardından bu rapordaki yapısal taşıma ve kısaltmalar, son olarak formülaik dil ve cümle düzeyi cilasıdır.</w:t>
      </w:r>
    </w:p>
    <w:p>
      <w:r>
        <w:rPr>
          <w:b/>
        </w:rPr>
        <w:t xml:space="preserve">Editoryal karar: </w:t>
      </w:r>
      <w:r>
        <w:t>Kitap, akış ve yazar sesi bakımından yayımlanabilir düzeye yaklaşmıştır; ancak özellikle 1. Bölümün ikinci yarısı, 3.6–3.12 ve 4.5–4.7’de yapısal kısaltma ve geçiş redaksiyonu tamamlanmadan yalnız kelime/cümle cilasına geçilmesi önerilmez.</w:t>
      </w:r>
    </w:p>
    <w:p/>
    <w:p>
      <w:pPr>
        <w:jc w:val="center"/>
      </w:pPr>
      <w:r>
        <w:rPr>
          <w:i/>
          <w:sz w:val="18"/>
        </w:rPr>
        <w:t>Denetim notu: Bu raporda dış kaynak kullanılmamış; bütün örnekler güncel kitap nüshası, “düzeltilecekler” listesi ve önceki kapsamlı son denetim raporu üzerinden hazırlanmıştır.</w:t>
      </w:r>
    </w:p>
    <w:sectPr w:rsidR="00FC693F" w:rsidRPr="0006063C" w:rsidSect="00034616">
      <w:footerReference w:type="default" r:id="rId9"/>
      <w:pgSz w:w="12240" w:h="15840"/>
      <w:pgMar w:top="1247" w:right="1417" w:bottom="1247" w:left="141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Sayfa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lock">
    <w:name w:val="QuoteBlock"/>
    <w:pPr>
      <w:spacing w:before="60" w:after="120"/>
      <w:ind w:left="397" w:right="227"/>
    </w:pPr>
    <w:rPr>
      <w:rFonts w:ascii="Times New Roman" w:hAnsi="Times New Roman" w:eastAsia="Times New Roman"/>
      <w:i/>
      <w:color w:val="3737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