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ilişkin rivâyetlerde Hz. Peygamber’in vahiy geldiğinde kâtiplerden birini çağırdığı ve âyetleri yazdırdığı aktarılır.</w:t>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w:t>
      </w:r>
      <w:r w:rsidR="00501F1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01F1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AE49D8">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 bu uygulamanın örneklerinden biridir. Rivâyetlerde Medine dönemindeki vahiy kaydı düzenli bir uygulama olarak yer alır.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 döneminde vahiy metinleri farklı malzemeler üzerinde yazılı olarak bulunuyor, ancak iki kapak arasında tek bir derleme hâlinde toplanmış değildi. Zerkeşî’nin Hâris el-Muhâsibî’den aktardığı değerlendirmede de Kur’an’ın nüzûl döneminde yazıya geçirildiği ve kayıtların farklı malzemeler üzerinde dağınık biçimde bulunduğu belirtilir.</w:t>
      </w:r>
      <w:r w:rsidRPr="00F4259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0B58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014370">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“İki şahit” ifadesi farklı şekillerde yorumlanmıştır. Bir görüş, yazılı malzemenin hafızadaki aktarım ile birlikte doğrulanmasını esas alır ve Huzeyme b. Sâbit rivâyetini bu yönde değerlendirir. Başka bir görüş ise iki kişinin şahitliğini öne çıkarır. Rivâyetlerin farklılığı sebebiyle bu uygulama tek bir usûlle açıklanmamalıdır.</w:t>
      </w:r>
      <w:r w:rsidRPr="00F42596">
        <w:rPr>
          <w:rFonts w:ascii="Times New Roman" w:eastAsia="Times New Roman" w:hAnsi="Times New Roman" w:cs="Times New Roman"/>
          <w:kern w:val="0"/>
          <w:sz w:val="24"/>
          <w:szCs w:val="24"/>
          <w:lang w:eastAsia="tr-TR"/>
          <w14:ligatures w14:val="none"/>
        </w:rPr>
        <w:lastRenderedPageBreak/>
        <w:t/>
      </w:r>
      <w:r w:rsidR="00B2622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Hâfız sahâbîler yeni Müslüman olan topluluklara Kur’an öğretmek üzere farklı merkezlerde görev almıştır.</w:t>
      </w:r>
      <w:r w:rsidR="00966AB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Hz. Osman dönemindeki istinsah faaliyetinin arka planını değerlendirirken bölgesel okuyuş farklılıkları, fetihlerle genişleyen öğretim çevreleri ve Huzeyfe b. Yemân rivâyeti birlikte ele alınmalıdır. Kaynakların aktardığı ihtilaf örnekleri bu tarihsel zeminin temel verileridir.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Kur’an yazımı bağlamındaki teknik kullanım, kelimelerin mushaflarda hangi harf düzeniyle yazıldığını ifade eden özel bir anlam kazanmıştır. Bu teknik kullanımın tarihsel gelişimi resm literatürü üzerinden izlenmelidir.</w:t>
      </w:r>
      <w:r w:rsidR="009D23FC">
        <w:rPr>
          <w:rFonts w:ascii="Times New Roman" w:eastAsia="Times New Roman" w:hAnsi="Times New Roman" w:cs="Times New Roman"/>
          <w:kern w:val="0"/>
          <w:sz w:val="24"/>
          <w:szCs w:val="24"/>
          <w:lang w:eastAsia="tr-TR"/>
          <w14:ligatures w14:val="none"/>
        </w:rPr>
        <w:t xml:space="preserve"/>
      </w:r>
      <w:r w:rsidR="009D23FC" w:rsidRPr="009D23FC">
        <w:rPr>
          <w:rFonts w:ascii="Times New Roman" w:eastAsia="Times New Roman" w:hAnsi="Times New Roman" w:cs="Times New Roman"/>
          <w:color w:val="FF0000"/>
          <w:kern w:val="0"/>
          <w:sz w:val="24"/>
          <w:szCs w:val="24"/>
          <w:lang w:eastAsia="tr-TR"/>
          <w14:ligatures w14:val="none"/>
        </w:rPr>
        <w:t/>
      </w:r>
      <w:r w:rsidR="008A7642" w:rsidRPr="0056779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Cürcânî ve Kastallânî’nin tanımlarında resmin lafzı yazıyla temsil etme ve yazılı biçimi tanınabilir kılma yönleri öne çıkmaktadır. Bu kavramsal zemin, Hz. Osman döneminde çoğaltılan mushaflara nispet edilen yazım geleneğinin nasıl tanımlandığını incelemeyi gerekli kılar.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B32516">
        <w:rPr>
          <w:rFonts w:ascii="Times New Roman" w:eastAsia="Times New Roman" w:hAnsi="Times New Roman" w:cs="Times New Roman"/>
          <w:color w:val="FF0000"/>
          <w:kern w:val="0"/>
          <w:sz w:val="24"/>
          <w:szCs w:val="24"/>
          <w:lang w:eastAsia="tr-TR"/>
          <w14:ligatures w14:val="none"/>
        </w:rPr>
        <w:t/>
      </w:r>
      <w:r w:rsidR="008A7642" w:rsidRPr="00B32516">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Sicistânî’nin rivâyet temelli aktarımı, Osman mushaflarının yazımını sahâbe nakline dayanan bağlayıcı bir metin geleneği içinde sunar.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Resm literatüründe esas alınan zemin, Osman mushaflarına nispet edilen yazım özelliklerinin rivâyet yoluyla kaydedilip sonraki nesillere aktarılmasıdır. Bu tarihsel yazım geleneği daha sonra kıyasî imlâdan ayrı kurallar ve tasnifler içinde incelenmiş; Dânî ve Ebû Dâvud gibi müelliflerin eserlerinde müstakil bir çalışma alanı hâline gelmiştir.</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2527AA">
        <w:rPr>
          <w:rFonts w:ascii="Times New Roman" w:eastAsia="Times New Roman" w:hAnsi="Times New Roman" w:cs="Times New Roman"/>
          <w:color w:val="FF0000"/>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11C28">
        <w:rPr>
          <w:rFonts w:ascii="Times New Roman" w:eastAsia="Times New Roman" w:hAnsi="Times New Roman" w:cs="Times New Roman"/>
          <w:color w:val="FF0000"/>
          <w:kern w:val="0"/>
          <w:sz w:val="24"/>
          <w:szCs w:val="24"/>
          <w:lang w:eastAsia="tr-TR"/>
          <w14:ligatures w14:val="none"/>
        </w:rPr>
        <w:t/>
      </w:r>
      <w:r w:rsidRP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Déroche, noktasızlık, harekesizlik ve bazı yazım farklılıklarını erken Arap yazısının doğal özellikleri çerçevesinde değerlendirir.</w:t>
      </w:r>
      <w:r w:rsidRPr="000838E1">
        <w:rPr>
          <w:rFonts w:ascii="Times New Roman" w:eastAsia="Times New Roman" w:hAnsi="Times New Roman" w:cs="Times New Roman"/>
          <w:bCs/>
          <w:color w:val="FF0000"/>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Motzki ve Déroche’nin değerlendirmeleri, sözlü aktarım ile erken mushaf yazısının tarihsel verilerini farklı kanıt türleri üzerinden ele alır. Bu veriler, resm-i Osmânî’nin kırâatleri meydana getiren bağımsız bir kaynak olduğu sonucuna dönüştürülmemelidir.</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xml:space="preserve"/>
      </w:r>
      <w:r w:rsidR="00FE28B3"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Albânî, rivâyeti zayıf hatta uydurma kabul ettiği için delil değeri taşımadığı sonucuna varır.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Hz. Peygamber döneminde vahyin yazıya geçirildiği konusunda güçlü bir rivâyet zemini bulunmakla birlikte, mushaf yazımının bütün ayrıntılarının doğrudan peygamberî talimatla belirlendiğini göstermek için kullanılan bazı rivâyetlerin isnadı tartışmalıdır. Resm-i Osmânî’ye bağlılık ile yazımın bütün ayrıntılarının tevkîfî olduğu iddiası ayrı değerlendirilmelidir.</w:t>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kurallarının kırâatle ilişkisi örneğe göre değişir. Bazı yazım özellikleri belirli kırâat örnekleriyle ilişkilendirilebilirken bazıları erken yazı geleneğinin genel özellikleriyle açıklanmaktadır. Aşağıdaki kurallar bu farklı ilişki düzeyleri gözetilerek ele alınacaktır.</w:t>
      </w:r>
      <w:r w:rsidR="00AD3B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mushaflarda bugünkü hemze işaretleme sistemi henüz yerleşmemişti. Hemzenin yazımı dönemin Arap yazısının gelişim özellikleri içinde değerlendirilmelidir; kırâatle ilişkisi ise örnek bazında ayrıca ele alınmalıdır.</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 lafızda açık karşılığı bulunmayan bir harfin mushaf yazısında yer almasıdır. Resm kaynakları bu örnekleri haziften ayrı bir başlık altında incelemiştir; kırâat ve mana ile ilişkileri örnekten örneğe değişmektedir.</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527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Klasik tefsîr ve kırâat geleneğinde mushaf yazısına uygunluk, okuyuşların değerlendirilmesinde başvurulan ölçülerden biri olmuş; bu ölçü rivâyet ve dil verileriyle birlikte işlemiştir.</w:t>
      </w:r>
      <w:r w:rsidRPr="00C573AD">
        <w:rPr>
          <w:rFonts w:ascii="Times New Roman" w:eastAsia="Times New Roman" w:hAnsi="Times New Roman" w:cs="Times New Roman"/>
          <w:kern w:val="0"/>
          <w:sz w:val="24"/>
          <w:szCs w:val="24"/>
          <w:lang w:eastAsia="tr-TR"/>
          <w14:ligatures w14:val="none"/>
        </w:rPr>
        <w:t/>
      </w:r>
      <w:r w:rsidR="00C573A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BB558C">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Osmânî mushafların farklı merkezlerde ortak başvuru nüshaları hâline gelmesi, resme uygunluğun sonraki kırâat literatüründe kabul ölçülerinden biri olarak yerleşmesinin tarihsel zeminini oluşturmuştur.</w:t>
      </w:r>
      <w:r w:rsidRPr="00F42596">
        <w:rPr>
          <w:rFonts w:ascii="Times New Roman" w:eastAsia="Times New Roman" w:hAnsi="Times New Roman" w:cs="Times New Roman"/>
          <w:kern w:val="0"/>
          <w:sz w:val="24"/>
          <w:szCs w:val="24"/>
          <w:lang w:eastAsia="tr-TR"/>
          <w14:ligatures w14:val="none"/>
        </w:rPr>
        <w:t/>
      </w:r>
      <w:r w:rsidR="00E051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Kırâat, Kur’an kelimelerinin edâ keyfiyetlerini ve bu keyfiyetlerdeki farklılıkları nakledenlere nispet ederek bilmeyi konu edinen rivâyet disiplinidir.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Kur’an kelimelerinin edâ biçimlerini ve bu biçimlerdeki farklılıkların rivâyetini konu edinen geniş bir ilim alanıdır.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7590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Kur’an’ın aktarımında yazılı metne, okunarak öğretilen sözlü edâ geleneği eşlik etmiştir.</w:t>
      </w:r>
      <w:r w:rsidRPr="00F42596">
        <w:rPr>
          <w:rFonts w:ascii="Times New Roman" w:eastAsia="Times New Roman" w:hAnsi="Times New Roman" w:cs="Times New Roman"/>
          <w:kern w:val="0"/>
          <w:sz w:val="24"/>
          <w:szCs w:val="24"/>
          <w:lang w:eastAsia="tr-TR"/>
          <w14:ligatures w14:val="none"/>
        </w:rPr>
        <w:t xml:space="preserve">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Rivâyette kelimenin harfleriyle birlikte ses değeri ve edâ biçimi de aktarılır.</w:t>
      </w:r>
      <w:r w:rsidRPr="00B45E58">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İbnü’l-Cezerî, Tâceddîn Subkî’den naklettiği tanımda kırâati Kur’an kelimelerinin edâ keyfiyetleri ve bu keyfiyetlerdeki ihtilafın nakledenlere nispet edilerek bilinmesi şeklinde aktarır.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Bazı klasik açıklamalarda açık “ta” ile yazılan bu örnekler lehçe özellikleriyle ilişkilendirilmiştir.</w:t>
      </w:r>
      <w:r w:rsidRPr="00887BA3">
        <w:rPr>
          <w:rFonts w:ascii="Times New Roman" w:hAnsi="Times New Roman" w:cs="Times New Roman"/>
          <w:bCs/>
          <w:sz w:val="24"/>
          <w:szCs w:val="24"/>
        </w:rPr>
        <w:t/>
      </w:r>
      <w:r w:rsidRPr="00887BA3">
        <w:rPr>
          <w:rFonts w:ascii="Times New Roman" w:hAnsi="Times New Roman" w:cs="Times New Roman"/>
          <w:sz w:val="24"/>
          <w:szCs w:val="24"/>
        </w:rPr>
        <w:t xml:space="preserve"/>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kaynaklar belirli yazımları harf veya harekenin kökensel yapısıyla ilişkilendirir. Bu açıklamalar ilgili örneklerle sınırlı tutulmalıdır. Doğru edâ telakki ve rivâyet yoluyla öğrenilir; resm belirli örneklerde bu aktarımı destekleyen yazılı veriler sunar.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CB2D77">
        <w:rPr>
          <w:rFonts w:ascii="Times New Roman" w:eastAsia="Times New Roman" w:hAnsi="Times New Roman" w:cs="Times New Roman"/>
          <w:color w:val="FF0000"/>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55494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A3B26">
        <w:rPr>
          <w:rFonts w:ascii="Times New Roman" w:eastAsia="Times New Roman" w:hAnsi="Times New Roman" w:cs="Times New Roman"/>
          <w:bCs/>
          <w:color w:val="FF0000"/>
          <w:kern w:val="0"/>
          <w:sz w:val="24"/>
          <w:szCs w:val="24"/>
          <w:lang w:eastAsia="tr-TR"/>
          <w14:ligatures w14:val="none"/>
        </w:rPr>
        <w:t/>
      </w:r>
      <w:r w:rsidRPr="00EA3B26">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E2A8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A6234">
        <w:rPr>
          <w:rFonts w:ascii="Times New Roman" w:eastAsia="Times New Roman" w:hAnsi="Times New Roman" w:cs="Times New Roman"/>
          <w:bCs/>
          <w:color w:val="FF0000"/>
          <w:kern w:val="0"/>
          <w:sz w:val="24"/>
          <w:szCs w:val="24"/>
          <w:lang w:eastAsia="tr-TR"/>
          <w14:ligatures w14:val="none"/>
        </w:rPr>
        <w:t/>
      </w:r>
      <w:r w:rsidRPr="00AA6234">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Bu açıklama, ilgili yazım ile hitap tonu arasında kurulan klasik bir yorum ilişkisidir; yazımın tarihsel sebebini tek başına belirlemez.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Bu yorum, yazım farkını söz dizimi ve anlamla ilişkilendirir; yazımın tarihsel sebebini tek başına belirlemez.</w:t>
      </w:r>
      <w:r w:rsidR="000A4E28" w:rsidRPr="0050360D">
        <w:rPr>
          <w:rFonts w:ascii="Times New Roman" w:eastAsia="Times New Roman" w:hAnsi="Times New Roman" w:cs="Times New Roman"/>
          <w:kern w:val="0"/>
          <w:sz w:val="24"/>
          <w:szCs w:val="24"/>
          <w:lang w:eastAsia="tr-TR"/>
          <w14:ligatures w14:val="none"/>
        </w:rPr>
        <w:t/>
      </w:r>
      <w:r w:rsidR="00F42596" w:rsidRPr="0050360D">
        <w:rPr>
          <w:rFonts w:ascii="Times New Roman" w:eastAsia="Times New Roman" w:hAnsi="Times New Roman" w:cs="Times New Roman"/>
          <w:kern w:val="0"/>
          <w:sz w:val="24"/>
          <w:szCs w:val="24"/>
          <w:lang w:eastAsia="tr-TR"/>
          <w14:ligatures w14:val="none"/>
        </w:rPr>
        <w:t xml:space="preserve"/>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Ferrâ’nın ifadesi, Arap dili içinde mümkün bir vecih bulunduğunda mushaf hattını tercih gerekçelerinden biri olarak dikkate aldığını belirtir. Bu yaklaşım bütün nahivcilerin resme mutlak biçimde tâbi olduğu şeklinde genelleştirilmemelidir.</w:t>
      </w:r>
      <w:r w:rsidR="00DE71A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telakki, müşâfehe ve isnaddır.</w:t>
      </w:r>
      <w:r w:rsidR="00AD2F5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Kırâatlerin asıl kaynağı rivâyettir. Resm-i Osmânî’ye uygunluk, sahih rivâyetlerin müşterek mushaf yazısıyla ilişkisini değerlendirmede kullanılan tamamlayıcı ölçülerden biridir.</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77B95">
        <w:rPr>
          <w:rFonts w:asciiTheme="majorBidi" w:eastAsia="Times New Roman" w:hAnsiTheme="majorBidi" w:cstheme="majorBidi"/>
          <w:color w:val="FF0000"/>
          <w:kern w:val="0"/>
          <w:sz w:val="24"/>
          <w:szCs w:val="24"/>
          <w:lang w:eastAsia="tr-TR"/>
          <w14:ligatures w14:val="none"/>
        </w:rPr>
        <w:t/>
      </w:r>
      <w:r w:rsidR="00FC565E" w:rsidRPr="00FC565E">
        <w:rPr>
          <w:rFonts w:asciiTheme="majorBidi" w:hAnsiTheme="majorBidi" w:cstheme="majorBidi"/>
          <w:color w:val="FF0000"/>
          <w:sz w:val="24"/>
          <w:szCs w:val="24"/>
        </w:rPr>
        <w:t xml:space="preserve"/>
      </w:r>
      <w:r w:rsidRPr="00FC565E">
        <w:rPr>
          <w:rFonts w:asciiTheme="majorBidi" w:eastAsia="Times New Roman" w:hAnsiTheme="majorBidi" w:cstheme="majorBidi"/>
          <w:color w:val="FF0000"/>
          <w:kern w:val="0"/>
          <w:sz w:val="24"/>
          <w:szCs w:val="24"/>
          <w:lang w:eastAsia="tr-TR"/>
          <w14:ligatures w14:val="none"/>
        </w:rPr>
        <w:t/>
      </w:r>
      <w:r w:rsidRPr="005802A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Hz. Ali ve Mus’ab b. Sa’d’dan nakledilen rivâyetler, mushafların birleştirilmesi yönündeki tasarrufun sahâbe çevresinde destek gördüğünü aktarır.</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F7A2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067E4">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 hattına aykırı kalan rivâyetlerin tamamı kaynaklarda baştan itibaren uydurma sayılmaz; bazı müellifler bunları daha önce okunmuş, ancak sonraki müşterek tilâvet alanının dışında kalmış vecihler olarak değerlendirir. Bu açıklama ilgili klasik yorum olarak sunulmalıdır.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İmamların tercihleri kendilerine ulaşan rivâyet ve öğretim geleneği içinde değerlendirilmelidir. Bazı kaynaklarda râvi sayısı, mushaf hattı, dil verileri ve genel kabul tercih gerekçeleri arasında birlikte zikredilir.</w:t>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Bazı vakıf uygulamalarında mushaf yazımı da dikkate alınmıştır.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neşirlerde resm-i Osmânî’nin esas alınması, klasik resm rivâyetlerinin modern üretim süreçlerine aktarılmasıyla ilişkilidir.</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Belirli bir rivâyete göre zapt edilen mushafların yaygınlaşması, o rivâyetin daha geniş okuyucu çevrelerine ulaşmasına katkıda bulunmuştur. Bölgesel öğretim gelenekleri, eğitim kurumları, resmî neşir tercihleri ve mevcut kırâat geleneği de bu dolaşımın biçimlenmesinde etkilidir.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Mevcut veriler Osmânî istinsahı, mevcut sahifeler esas alınarak ortak başvuru mushaflarının çoğaltıldığı ve şahsî nüshalardan doğabilecek ihtilafların sınırlandırılmasına yönelik bir tedbir olarak sunar.</w:t>
      </w:r>
      <w:r w:rsidR="00925F21">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302B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ile bütün yazım ayrıntılarının tevkîfî olduğu görüşü ayrı meselelerdir.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