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Kur’an’ın Yazı ile İlişkisi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Kur’an’ın Mushaflaştırılma İhtiyacı ve Tarihsel Arka Plan</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20</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21</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Kullanıldığı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32</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Hâle Gelmesi ve Kırâatte Ölçü Olması</w:t>
            </w:r>
            <w:r w:rsidR="00F42596" w:rsidRPr="00567795">
              <w:rPr>
                <w:rFonts w:ascii="Times New Roman" w:eastAsia="Times New Roman" w:hAnsi="Times New Roman" w:cs="Calibri (Body)"/>
                <w:kern w:val="0"/>
                <w:sz w:val="20"/>
                <w:szCs w:val="20"/>
                <w:lang w:eastAsia="tr-TR"/>
                <w14:ligatures w14:val="none"/>
              </w:rPr>
              <w:t/>
            </w:r>
            <w:r w:rsidR="00B16E70" w:rsidRPr="00567795">
              <w:rPr>
                <w:rFonts w:ascii="Times New Roman" w:eastAsia="Times New Roman" w:hAnsi="Times New Roman" w:cs="Calibri (Body)"/>
                <w:kern w:val="0"/>
                <w:sz w:val="20"/>
                <w:szCs w:val="20"/>
                <w:lang w:eastAsia="tr-TR"/>
                <w14:ligatures w14:val="none"/>
              </w:rPr>
              <w:t/>
            </w:r>
            <w:r w:rsidR="00F42596" w:rsidRPr="00567795">
              <w:rPr>
                <w:rFonts w:ascii="Times New Roman" w:eastAsia="Times New Roman" w:hAnsi="Times New Roman" w:cs="Calibri (Body)"/>
                <w:kern w:val="0"/>
                <w:sz w:val="20"/>
                <w:szCs w:val="20"/>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36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36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40</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46</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Hazf ve Ziyâdeye Yüklenen Mana İlişkileri: Klasik Yorumlar ve Delil Değeri</w:t>
            </w:r>
            <w:r w:rsidR="006A1DC7">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Vasl ve Fasl Yazımlarının Dilsel ve Anlamsal Yorumlarda Kullanılması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Gerekçeleri ve Sınırları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70</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70</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Tercihi, Tevcîhi ve Vakıf Uygulamalarıyla İlişkisi</w:t>
            </w:r>
            <w:r w:rsidR="00F13E9D">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Rivâyetlerine Göre Düzenlenen Basılı Mushafların Yaygınlaşması ve Etkileri</w:t>
            </w:r>
            <w:r w:rsidR="00B35BC4">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94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98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oluşturur.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gösterir.</w:t>
      </w:r>
      <w:r w:rsidRPr="000C7A20">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bulunur.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oluşturur.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kern w:val="0"/>
          <w:sz w:val="24"/>
          <w:szCs w:val="24"/>
          <w:lang w:eastAsia="tr-TR"/>
          <w14:ligatures w14:val="none"/>
        </w:rPr>
        <w:t>el-</w:t>
      </w:r>
      <w:r w:rsidRPr="004F3635">
        <w:rPr>
          <w:rFonts w:ascii="Times New Roman" w:eastAsia="Times New Roman" w:hAnsi="Times New Roman" w:cs="Times New Roman"/>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koyar. Bu duruma dair öne çıkan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görülür.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kern w:val="0"/>
          <w:sz w:val="24"/>
          <w:szCs w:val="24"/>
          <w:lang w:eastAsia="tr-TR"/>
          <w14:ligatures w14:val="none"/>
        </w:rPr>
        <w:t/>
      </w:r>
      <w:r w:rsidR="001F6DE6" w:rsidRPr="001F6DE6">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 döneminde vahiy metinleri farklı malzemeler üzerinde yazılı olarak bulunuyor, ancak iki kapak arasında tek bir derleme hâlinde toplanmış değildi. Zerkeşî’nin Hâris el-Muhâsibî’den aktardığı değerlendirmede de Kur’an’ın nüzûl döneminde yazıya geçirildiği ve kayıtların farklı malzemeler üzerinde dağınık biçimde bulunduğu belirtilir.</w:t>
      </w:r>
      <w:r w:rsidRPr="00F4259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0B58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014370">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öne çıkan bilgiler yer alır.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“İki şahit” ifadesi farklı şekillerde yorumlanmıştır. Bir görüş, yazılı malzemenin hafızadaki aktarım ile birlikte doğrulanmasını esas alır ve Huzeyme b. Sâbit rivâyetini bu yönde değerlendirir. Başka bir görüş ise iki kişinin şahitliğini öne çıkarır. Rivâyetlerin farklılığı sebebiyle bu uygulama tek bir usûlle açıklanmamalıdır.</w:t>
      </w:r>
      <w:r w:rsidRPr="00F42596">
        <w:rPr>
          <w:rFonts w:ascii="Times New Roman" w:eastAsia="Times New Roman" w:hAnsi="Times New Roman" w:cs="Times New Roman"/>
          <w:kern w:val="0"/>
          <w:sz w:val="24"/>
          <w:szCs w:val="24"/>
          <w:lang w:eastAsia="tr-TR"/>
          <w14:ligatures w14:val="none"/>
        </w:rPr>
        <w:lastRenderedPageBreak/>
        <w:t/>
      </w:r>
      <w:r w:rsidR="00B2622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bulunur.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kern w:val="0"/>
          <w:sz w:val="24"/>
          <w:szCs w:val="24"/>
          <w:lang w:eastAsia="tr-TR"/>
          <w14:ligatures w14:val="none"/>
        </w:rPr>
        <w:t>açıkça ifade eder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Huzeyfe rivâyeti, Medine merkezli eğitim ortamında dahi kırâat farklılıklarının tartışma ve inkâra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Fetihlerle genişleyen İslâm coğrafyası askerî ve siyasi değişimin yanında</w:t>
      </w:r>
      <w:r w:rsidR="00D431B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268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Hâfız sahâbîler yeni Müslüman olan topluluklara Kur’an öğretmek üzere farklı merkezlerde görev almıştır.</w:t>
      </w:r>
      <w:r w:rsidR="00966AB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öne çıkan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kern w:val="0"/>
          <w:sz w:val="24"/>
          <w:szCs w:val="24"/>
          <w:lang w:eastAsia="tr-TR"/>
          <w14:ligatures w14:val="none"/>
        </w:rPr>
        <w:t>olarak g</w:t>
      </w:r>
      <w:r w:rsidR="007356A2" w:rsidRPr="007356A2">
        <w:rPr>
          <w:rFonts w:asciiTheme="majorBidi" w:hAnsiTheme="majorBidi" w:cstheme="majorBidi"/>
          <w:sz w:val="24"/>
          <w:szCs w:val="24"/>
        </w:rPr>
        <w:t>örülmelidir.</w:t>
      </w:r>
      <w:r w:rsidRPr="007356A2">
        <w:rPr>
          <w:rFonts w:ascii="Times New Roman" w:eastAsia="Times New Roman" w:hAnsi="Times New Roman" w:cs="Times New Roman"/>
          <w:kern w:val="0"/>
          <w:sz w:val="24"/>
          <w:szCs w:val="24"/>
          <w:lang w:eastAsia="tr-TR"/>
          <w14:ligatures w14:val="none"/>
        </w:rPr>
        <w:t xml:space="preserve"> </w:t>
      </w:r>
      <w:r w:rsidR="00D2694C" w:rsidRPr="00D2694C">
        <w:rPr>
          <w:rFonts w:ascii="Times New Roman" w:eastAsia="Times New Roman" w:hAnsi="Times New Roman" w:cs="Times New Roman"/>
          <w:kern w:val="0"/>
          <w:sz w:val="24"/>
          <w:szCs w:val="24"/>
          <w:lang w:eastAsia="tr-TR"/>
          <w14:ligatures w14:val="none"/>
        </w:rPr>
        <w:t xml:space="preserve">Bu tedbirin </w:t>
      </w:r>
      <w:r w:rsidR="00D2694C" w:rsidRPr="00D2694C">
        <w:rPr>
          <w:rFonts w:ascii="Times New Roman" w:eastAsia="Times New Roman" w:hAnsi="Times New Roman" w:cs="Times New Roman"/>
          <w:kern w:val="0"/>
          <w:sz w:val="24"/>
          <w:szCs w:val="24"/>
          <w:lang w:eastAsia="tr-TR"/>
          <w14:ligatures w14:val="none"/>
        </w:rPr>
        <w:lastRenderedPageBreak/>
        <w:t>temelini ise</w:t>
      </w:r>
      <w:r w:rsidRPr="00D2694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kern w:val="0"/>
          <w:sz w:val="24"/>
          <w:szCs w:val="24"/>
          <w:lang w:eastAsia="tr-TR"/>
          <w14:ligatures w14:val="none"/>
        </w:rPr>
        <w:t>oluşturur</w:t>
      </w:r>
      <w:r w:rsidRPr="004D2020">
        <w:rPr>
          <w:rFonts w:ascii="Times New Roman" w:eastAsia="Times New Roman" w:hAnsi="Times New Roman" w:cs="Times New Roman"/>
          <w:kern w:val="0"/>
          <w:sz w:val="24"/>
          <w:szCs w:val="24"/>
          <w:lang w:eastAsia="tr-TR"/>
          <w14:ligatures w14:val="none"/>
        </w:rPr>
        <w:t>.</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Kırâat ihtilaflarının yaygınlaşması, Kur’an’ın yazılı bir ölçüye bağlanması</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Hz. Osman dönemindeki istinsah faaliyetinin arka planını değerlendirirken bölgesel okuyuş farklılıkları, fetihlerle genişleyen öğretim çevreleri ve Huzeyfe b. Yemân rivâyeti birlikte ele alınmalıdır. Kaynakların aktardığı ihtilaf örnekleri bu tarihsel zeminin temel verileridir.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bulunur.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bulunur.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kern w:val="0"/>
          <w:sz w:val="24"/>
          <w:szCs w:val="24"/>
          <w:lang w:eastAsia="tr-TR"/>
          <w14:ligatures w14:val="none"/>
        </w:rPr>
        <w:t xml:space="preserve">bu ölüm tarihi </w:t>
      </w:r>
      <w:r w:rsidR="00196F2A">
        <w:rPr>
          <w:rFonts w:ascii="Times New Roman" w:eastAsia="Times New Roman" w:hAnsi="Times New Roman" w:cs="Times New Roman"/>
          <w:kern w:val="0"/>
          <w:sz w:val="24"/>
          <w:szCs w:val="24"/>
          <w:lang w:eastAsia="tr-TR"/>
          <w14:ligatures w14:val="none"/>
        </w:rPr>
        <w:t xml:space="preserve">muhtemeln </w:t>
      </w:r>
      <w:r w:rsidR="00126347" w:rsidRPr="001719BD">
        <w:rPr>
          <w:rFonts w:ascii="Times New Roman" w:eastAsia="Times New Roman" w:hAnsi="Times New Roman" w:cs="Times New Roman"/>
          <w:kern w:val="0"/>
          <w:sz w:val="24"/>
          <w:szCs w:val="24"/>
          <w:lang w:eastAsia="tr-TR"/>
          <w14:ligatures w14:val="none"/>
        </w:rPr>
        <w:t>ilerik</w:t>
      </w:r>
      <w:r w:rsidR="00196F2A">
        <w:rPr>
          <w:rFonts w:ascii="Times New Roman" w:eastAsia="Times New Roman" w:hAnsi="Times New Roman" w:cs="Times New Roman"/>
          <w:kern w:val="0"/>
          <w:sz w:val="24"/>
          <w:szCs w:val="24"/>
          <w:lang w:eastAsia="tr-TR"/>
          <w14:ligatures w14:val="none"/>
        </w:rPr>
        <w:t>i</w:t>
      </w:r>
      <w:r w:rsidR="00126347" w:rsidRPr="001719BD">
        <w:rPr>
          <w:rFonts w:ascii="Times New Roman" w:eastAsia="Times New Roman" w:hAnsi="Times New Roman" w:cs="Times New Roman"/>
          <w:kern w:val="0"/>
          <w:sz w:val="24"/>
          <w:szCs w:val="24"/>
          <w:lang w:eastAsia="tr-TR"/>
          <w14:ligatures w14:val="none"/>
        </w:rPr>
        <w:t xml:space="preserve"> sayfalarda geçmiştir</w:t>
      </w:r>
      <w:r w:rsidR="001719BD" w:rsidRPr="001719BD">
        <w:rPr>
          <w:rFonts w:ascii="Times New Roman" w:eastAsia="Times New Roman" w:hAnsi="Times New Roman" w:cs="Times New Roman"/>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görülür</w:t>
      </w:r>
      <w:r w:rsidR="00104C2B">
        <w:rPr>
          <w:rFonts w:ascii="Times New Roman" w:eastAsia="Times New Roman" w:hAnsi="Times New Roman" w:cs="Times New Roman"/>
          <w:kern w:val="0"/>
          <w:sz w:val="24"/>
          <w:szCs w:val="24"/>
          <w:lang w:eastAsia="tr-TR"/>
          <w14:ligatures w14:val="none"/>
        </w:rPr>
        <w:t xml:space="preserve">.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bu durum erken dönem rivâyetlerin daha genel ve özet nitelikte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öne çıkandir.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Somut kayıtların yokluğu,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bulunur.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bulunur. Kevserî ise bir mushafın halifenin yanında bırakıldığını, beş mushafın da emsâr bölgelerine gönderildiğini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kern w:val="0"/>
          <w:sz w:val="24"/>
          <w:szCs w:val="24"/>
          <w:lang w:eastAsia="tr-TR"/>
          <w14:ligatures w14:val="none"/>
        </w:rPr>
      </w:pPr>
      <w:r w:rsidRPr="00A277D9">
        <w:rPr>
          <w:rFonts w:ascii="Times New Roman" w:eastAsia="Times New Roman" w:hAnsi="Times New Roman" w:cs="Times New Roman"/>
          <w:kern w:val="0"/>
          <w:sz w:val="24"/>
          <w:szCs w:val="24"/>
          <w:lang w:eastAsia="tr-TR"/>
          <w14:ligatures w14:val="none"/>
        </w:rPr>
        <w:t>Zürkânî</w:t>
      </w:r>
      <w:r w:rsidRPr="0028375A">
        <w:rPr>
          <w:rFonts w:ascii="Times New Roman" w:eastAsia="Times New Roman" w:hAnsi="Times New Roman" w:cs="Times New Roman"/>
          <w:kern w:val="0"/>
          <w:sz w:val="24"/>
          <w:szCs w:val="24"/>
          <w:lang w:eastAsia="tr-TR"/>
          <w14:ligatures w14:val="none"/>
        </w:rPr>
        <w:t xml:space="preserve">, klasik </w:t>
      </w:r>
      <w:proofErr w:type="gramStart"/>
      <w:r w:rsidRPr="0028375A">
        <w:rPr>
          <w:rFonts w:ascii="Times New Roman" w:eastAsia="Times New Roman" w:hAnsi="Times New Roman" w:cs="Times New Roman"/>
          <w:kern w:val="0"/>
          <w:sz w:val="24"/>
          <w:szCs w:val="24"/>
          <w:lang w:eastAsia="tr-TR"/>
          <w14:ligatures w14:val="none"/>
        </w:rPr>
        <w:t>literatürü</w:t>
      </w:r>
      <w:proofErr w:type="gramEnd"/>
      <w:r w:rsidRPr="0028375A">
        <w:rPr>
          <w:rFonts w:ascii="Times New Roman" w:eastAsia="Times New Roman" w:hAnsi="Times New Roman" w:cs="Times New Roman"/>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kern w:val="0"/>
          <w:sz w:val="24"/>
          <w:szCs w:val="24"/>
          <w:lang w:eastAsia="tr-TR"/>
          <w14:ligatures w14:val="none"/>
        </w:rPr>
        <w:t>önemli katkısı, gelenek</w:t>
      </w:r>
      <w:r w:rsidRPr="0028375A">
        <w:rPr>
          <w:rFonts w:ascii="Times New Roman" w:eastAsia="Times New Roman" w:hAnsi="Times New Roman" w:cs="Times New Roman"/>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kern w:val="0"/>
          <w:sz w:val="24"/>
          <w:szCs w:val="24"/>
          <w:lang w:eastAsia="tr-TR"/>
          <w14:ligatures w14:val="none"/>
        </w:rPr>
        <w:footnoteReference w:id="89"/>
      </w:r>
      <w:r w:rsidRPr="00A277D9">
        <w:rPr>
          <w:rFonts w:ascii="Times New Roman" w:eastAsia="Times New Roman" w:hAnsi="Times New Roman" w:cs="Times New Roman"/>
          <w:kern w:val="0"/>
          <w:sz w:val="24"/>
          <w:szCs w:val="24"/>
          <w:lang w:eastAsia="tr-TR"/>
          <w14:ligatures w14:val="none"/>
        </w:rPr>
        <w:t xml:space="preserve"> </w:t>
      </w:r>
      <w:r w:rsidR="00DD6B5B">
        <w:rPr>
          <w:rStyle w:val="Gl"/>
          <w:rFonts w:asciiTheme="majorBidi" w:hAnsiTheme="majorBidi" w:cstheme="majorBidi"/>
          <w:b w:val="0"/>
          <w:bCs w:val="0"/>
          <w:sz w:val="24"/>
          <w:szCs w:val="24"/>
        </w:rPr>
        <w:t>Subhî</w:t>
      </w:r>
      <w:r w:rsidR="00A35FAF" w:rsidRPr="00A35FAF">
        <w:rPr>
          <w:rStyle w:val="Gl"/>
          <w:rFonts w:asciiTheme="majorBidi" w:hAnsiTheme="majorBidi" w:cstheme="majorBidi"/>
          <w:b w:val="0"/>
          <w:bCs w:val="0"/>
          <w:sz w:val="24"/>
          <w:szCs w:val="24"/>
        </w:rPr>
        <w:t xml:space="preserve"> es-Sâlih</w:t>
      </w:r>
      <w:r w:rsidR="00A35FAF" w:rsidRPr="00A35FAF">
        <w:rPr>
          <w:rFonts w:asciiTheme="majorBidi" w:hAnsiTheme="majorBidi" w:cstheme="majorBidi"/>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kern w:val="0"/>
          <w:sz w:val="24"/>
          <w:szCs w:val="24"/>
          <w:lang w:eastAsia="tr-TR"/>
          <w14:ligatures w14:val="none"/>
        </w:rPr>
        <w:t xml:space="preserve"> </w:t>
      </w:r>
      <w:r w:rsidR="00A35FAF" w:rsidRPr="00A704D1">
        <w:rPr>
          <w:rStyle w:val="Gl"/>
          <w:rFonts w:asciiTheme="majorBidi" w:hAnsiTheme="majorBidi" w:cstheme="majorBidi"/>
          <w:b w:val="0"/>
          <w:bCs w:val="0"/>
          <w:sz w:val="24"/>
          <w:szCs w:val="24"/>
        </w:rPr>
        <w:t>Mustafa el-Aʿzamî</w:t>
      </w:r>
      <w:r w:rsidR="00A35FAF" w:rsidRPr="00A704D1">
        <w:rPr>
          <w:rFonts w:asciiTheme="majorBidi" w:hAnsiTheme="majorBidi" w:cstheme="majorBidi"/>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sz w:val="24"/>
          <w:szCs w:val="24"/>
        </w:rPr>
        <w:footnoteReference w:id="91"/>
      </w:r>
      <w:r w:rsidR="00A704D1" w:rsidRPr="00A704D1">
        <w:t xml:space="preserve"> </w:t>
      </w:r>
      <w:r w:rsidR="00A704D1" w:rsidRPr="00A704D1">
        <w:rPr>
          <w:rFonts w:asciiTheme="majorBidi" w:hAnsiTheme="majorBidi" w:cstheme="majorBidi"/>
          <w:sz w:val="24"/>
          <w:szCs w:val="24"/>
        </w:rPr>
        <w:t>es-Sâlih ile el-Aʿzamî'nin yaklaşımları büyük ölçüde paralellik gösterir.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sz w:val="24"/>
          <w:szCs w:val="24"/>
        </w:rPr>
        <w:t>Türkiye'de bu yaklaşımı benimseyen</w:t>
      </w:r>
      <w:r w:rsidRPr="000F7CDB">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bulunur.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kern w:val="0"/>
          <w:sz w:val="24"/>
          <w:szCs w:val="24"/>
          <w:lang w:eastAsia="tr-TR"/>
          <w14:ligatures w14:val="none"/>
        </w:rPr>
        <w:t xml:space="preserve">Bu tespitler, </w:t>
      </w:r>
      <w:r w:rsidR="00F34A84" w:rsidRPr="00F34A84">
        <w:rPr>
          <w:rFonts w:asciiTheme="majorBidi" w:hAnsiTheme="majorBidi" w:cstheme="majorBidi"/>
          <w:i/>
          <w:iCs/>
          <w:sz w:val="24"/>
          <w:szCs w:val="24"/>
        </w:rPr>
        <w:t>resmi</w:t>
      </w:r>
      <w:r w:rsidR="00F34A84" w:rsidRPr="00F34A84">
        <w:rPr>
          <w:rFonts w:asciiTheme="majorBidi" w:hAnsiTheme="majorBidi" w:cstheme="majorBidi"/>
          <w:sz w:val="24"/>
          <w:szCs w:val="24"/>
        </w:rPr>
        <w:t>n geçici bir olgudan çok kalıcı ve gözlemlenebilir bir belirtiyi ifade ettiğini gösterir.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resm kelimesinin “iz” anlamı ile yazının “lafzın görsel izi” oluşu arasında doğal ve yapısal bir ilişki bulunur.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Kur’an yazımı bağlamındaki teknik kullanım, kelimelerin mushaflarda hangi harf düzeniyle yazıldığını ifade eden özel bir anlam kazanmıştır. Bu teknik kullanımın tarihsel gelişimi resm literatürü üzerinden izlenmelidir.</w:t>
      </w:r>
      <w:r w:rsidR="009D23FC">
        <w:rPr>
          <w:rFonts w:ascii="Times New Roman" w:eastAsia="Times New Roman" w:hAnsi="Times New Roman" w:cs="Times New Roman"/>
          <w:kern w:val="0"/>
          <w:sz w:val="24"/>
          <w:szCs w:val="24"/>
          <w:lang w:eastAsia="tr-TR"/>
          <w14:ligatures w14:val="none"/>
        </w:rPr>
        <w:t xml:space="preserve"/>
      </w:r>
      <w:r w:rsidR="009D23FC" w:rsidRPr="009D23FC">
        <w:rPr>
          <w:rFonts w:ascii="Times New Roman" w:eastAsia="Times New Roman" w:hAnsi="Times New Roman" w:cs="Times New Roman"/>
          <w:kern w:val="0"/>
          <w:sz w:val="24"/>
          <w:szCs w:val="24"/>
          <w:lang w:eastAsia="tr-TR"/>
          <w14:ligatures w14:val="none"/>
        </w:rPr>
        <w:t/>
      </w:r>
      <w:r w:rsidR="008A7642" w:rsidRPr="0056779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resm, salt estetik bir şekil </w:t>
      </w:r>
      <w:r w:rsidR="009D23FC" w:rsidRPr="009D23FC">
        <w:rPr>
          <w:rFonts w:asciiTheme="majorBidi" w:hAnsiTheme="majorBidi" w:cstheme="majorBidi"/>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45423F">
        <w:rPr>
          <w:rFonts w:asciiTheme="majorBidi" w:hAnsiTheme="majorBidi" w:cstheme="majorBidi"/>
          <w:sz w:val="24"/>
          <w:szCs w:val="24"/>
        </w:rPr>
        <w:t xml:space="preserve">Dânî'nin yaklaşımı, resmin kuralları bulunan teknik bir yazım disiplini niteliği taşıdığını gösterir; nitekim onun eserleri, </w:t>
      </w:r>
      <w:r w:rsidRPr="0045423F">
        <w:rPr>
          <w:rFonts w:asciiTheme="majorBidi" w:hAnsiTheme="majorBidi" w:cstheme="majorBidi"/>
          <w:i/>
          <w:iCs/>
          <w:sz w:val="24"/>
          <w:szCs w:val="24"/>
        </w:rPr>
        <w:t>resm</w:t>
      </w:r>
      <w:r w:rsidRPr="0045423F">
        <w:rPr>
          <w:rFonts w:asciiTheme="majorBidi" w:hAnsiTheme="majorBidi" w:cstheme="majorBidi"/>
          <w:sz w:val="24"/>
          <w:szCs w:val="24"/>
        </w:rPr>
        <w:t xml:space="preserve"> farklılıklarını şehir mushaflarına göre tasnif eden ilk sistematik çalışmalar arasında yer alır.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kern w:val="0"/>
          <w:sz w:val="24"/>
          <w:szCs w:val="24"/>
          <w:lang w:eastAsia="tr-TR"/>
          <w14:ligatures w14:val="none"/>
        </w:rPr>
        <w:t>değil</w:t>
      </w:r>
      <w:r w:rsidR="008A7642" w:rsidRPr="00535F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kern w:val="0"/>
          <w:sz w:val="24"/>
          <w:szCs w:val="24"/>
          <w:lang w:eastAsia="tr-TR"/>
          <w14:ligatures w14:val="none"/>
        </w:rPr>
        <w:t/>
      </w:r>
      <w:r w:rsidR="0088099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resm kavramı yalnızca “iz bırakma” anlamından çıkar, teknik ve kurallı bir yazım anlayışına dönüşür. Yazı hem lafzı temsil eder hem de onu belirli bir sistem içinde sabitler.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kern w:val="0"/>
          <w:sz w:val="24"/>
          <w:szCs w:val="24"/>
          <w:lang w:eastAsia="tr-TR"/>
          <w14:ligatures w14:val="none"/>
        </w:rPr>
        <w:t xml:space="preserve">Cürcânî ve Kastallânî’nin tanımlarında resmin lafzı yazıyla temsil etme ve yazılı biçimi tanınabilir kılma yönleri öne çıkmaktadır. Bu kavramsal zemin, Hz. Osman döneminde çoğaltılan mushaflara nispet edilen yazım geleneğinin nasıl tanımlandığını incelemeyi gerekli kılar.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B32516">
        <w:rPr>
          <w:rFonts w:ascii="Times New Roman" w:eastAsia="Times New Roman" w:hAnsi="Times New Roman" w:cs="Times New Roman"/>
          <w:kern w:val="0"/>
          <w:sz w:val="24"/>
          <w:szCs w:val="24"/>
          <w:lang w:eastAsia="tr-TR"/>
          <w14:ligatures w14:val="none"/>
        </w:rPr>
        <w:t/>
      </w:r>
      <w:r w:rsidR="008A7642" w:rsidRPr="00B3251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Hz. Osman dönemindeki istinsah sürecinde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Kur’an ilimlerine dair eserlerinde Osman mushaflarının yazımını sahâbe nakline dayanan bir metin geleneği içinde değerlendirmesi, resm düşüncesinin erken safhasını izlemeye imkân verir.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kern w:val="0"/>
          <w:sz w:val="24"/>
          <w:szCs w:val="24"/>
          <w:lang w:eastAsia="tr-TR"/>
          <w14:ligatures w14:val="none"/>
        </w:rPr>
        <w:t xml:space="preserve">Sicistânî’nin rivâyet temelli aktarımı, Osman mushaflarının yazımını sahâbe nakline dayanan bağlayıcı bir metin geleneği içinde sunar.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resm, belirli kuralları, örnekleri ve tasnif biçimleri bulunan teknik bir alan hâline gelmiştir. Dânî'nin yaklaşımı, farklı merkezlere nispet edilen yazım rivâyetlerini karşılaştırmalı biçimde ele alır.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kern w:val="0"/>
          <w:sz w:val="24"/>
          <w:szCs w:val="24"/>
          <w:lang w:eastAsia="tr-TR"/>
          <w14:ligatures w14:val="none"/>
        </w:rPr>
        <w:t xml:space="preserve">Resm literatüründe esas alınan zemin, Osman mushaflarına nispet edilen yazım özelliklerinin rivâyet yoluyla kaydedilip sonraki nesillere aktarılmasıdır. Bu tarihsel yazım geleneği daha sonra kıyasî imlâdan ayrı kurallar ve tasnifler içinde incelenmiş; Dânî ve Ebû Dâvud gibi müelliflerin eserlerinde müstakil bir çalışma alanı hâline gelmiştir.</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2527AA">
        <w:rPr>
          <w:rFonts w:ascii="Times New Roman" w:eastAsia="Times New Roman" w:hAnsi="Times New Roman" w:cs="Times New Roman"/>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11C28">
        <w:rPr>
          <w:rFonts w:ascii="Times New Roman" w:eastAsia="Times New Roman" w:hAnsi="Times New Roman" w:cs="Times New Roman"/>
          <w:kern w:val="0"/>
          <w:sz w:val="24"/>
          <w:szCs w:val="24"/>
          <w:lang w:eastAsia="tr-TR"/>
          <w14:ligatures w14:val="none"/>
        </w:rPr>
        <w:t/>
      </w:r>
      <w:r w:rsidRP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kern w:val="0"/>
          <w:sz w:val="24"/>
          <w:szCs w:val="24"/>
          <w:lang w:eastAsia="tr-TR"/>
          <w14:ligatures w14:val="none"/>
        </w:rPr>
        <w:t>değil</w:t>
      </w:r>
      <w:r w:rsidR="00726F9B" w:rsidRPr="0057187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kern w:val="0"/>
          <w:sz w:val="24"/>
          <w:szCs w:val="24"/>
          <w:lang w:eastAsia="tr-TR"/>
          <w14:ligatures w14:val="none"/>
        </w:rPr>
        <w:t>değil</w:t>
      </w:r>
      <w:r w:rsidRPr="00480C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belirtirler. bu durum resm-i Osmânî’nin hem sınırlayıcı hem de kuşatıcı bir fonksiyon taşıdığını ortaya koyar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Déroche, noktasızlık, harekesizlik ve bazı yazım farklılıklarını erken Arap yazısının doğal özellikleri çerçevesinde değerlendirir.</w:t>
      </w:r>
      <w:r w:rsidRPr="000838E1">
        <w:rPr>
          <w:rFonts w:ascii="Times New Roman" w:eastAsia="Times New Roman" w:hAnsi="Times New Roman" w:cs="Times New Roman"/>
          <w:bCs/>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belirtir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kern w:val="0"/>
          <w:sz w:val="24"/>
          <w:szCs w:val="24"/>
          <w:lang w:eastAsia="tr-TR"/>
          <w14:ligatures w14:val="none"/>
        </w:rPr>
        <w:t xml:space="preserve">Motzki ve Déroche’nin değerlendirmeleri, sözlü aktarım ile erken mushaf yazısının tarihsel verilerini farklı kanıt türleri üzerinden ele alır. Bu veriler, resm-i Osmânî’nin kırâatleri meydana getiren bağımsız bir kaynak olduğu sonucuna dönüştürülmemelidir.</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xml:space="preserve"/>
      </w:r>
      <w:r w:rsidR="00FE28B3"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kern w:val="0"/>
          <w:sz w:val="24"/>
          <w:szCs w:val="24"/>
          <w:lang w:eastAsia="tr-TR"/>
          <w14:ligatures w14:val="none"/>
        </w:rPr>
        <w:t/>
      </w:r>
      <w:r w:rsidR="0053366E" w:rsidRPr="0053366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öne çıkandir.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görülür.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bulunur</w:t>
      </w:r>
      <w:r w:rsidR="002660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belirtir. Albânî, rivâyeti zayıf hatta uydurma kabul ettiği için delil değeri taşımadığı sonucuna varır.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kern w:val="0"/>
          <w:sz w:val="24"/>
          <w:szCs w:val="24"/>
          <w:lang w:eastAsia="tr-TR"/>
          <w14:ligatures w14:val="none"/>
        </w:rPr>
        <w:t xml:space="preserve">Hz. Peygamber döneminde vahyin yazıya geçirildiği konusunda güçlü bir rivâyet zemini bulunmakla birlikte, mushaf yazımının bütün ayrıntılarının doğrudan peygamberî talimatla belirlendiğini göstermek için kullanılan bazı rivâyetlerin isnadı tartışmalıdır. Resm-i Osmânî’ye bağlılık ile yazımın bütün ayrıntılarının tevkîfî olduğu iddiası ayrı değerlendirilmelidir.</w:t>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eder</w:t>
      </w:r>
      <w:r w:rsidR="005B06B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kern w:val="0"/>
          <w:sz w:val="24"/>
          <w:szCs w:val="24"/>
          <w:lang w:eastAsia="tr-TR"/>
          <w14:ligatures w14:val="none"/>
        </w:rPr>
        <w:t>değil</w:t>
      </w:r>
      <w:r w:rsidR="008A7642" w:rsidRPr="00092B2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örnekler, resm-i Osmânî’nin bazı rivâyetle sabit okuyuşlarla bağdaşabilen esnek bir yazı yapısı sunduğunu</w:t>
      </w:r>
      <w:r w:rsidRPr="00092B2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kern w:val="0"/>
          <w:sz w:val="24"/>
          <w:szCs w:val="24"/>
          <w:lang w:eastAsia="tr-TR"/>
          <w14:ligatures w14:val="none"/>
        </w:rPr>
        <w:t xml:space="preserve">Resm-i Osmânî’nin kıyasî yazımdan ayrılan özellikleri, erken mushaf yazısının tarihsel yapısı ve rivâyetle korunan okuyuşlarla ilişkisi birlikte değerlendirilerek açıklanmalıdır. Bu kuralların tümüne tek bir amaç yüklenmemeli; her özellik kendi tarihsel ve rivâyet bağlamında incelenmelidir.</w:t>
      </w:r>
      <w:r w:rsidRPr="00F42596">
        <w:rPr>
          <w:rFonts w:ascii="Times New Roman" w:eastAsia="Times New Roman" w:hAnsi="Times New Roman" w:cs="Times New Roman"/>
          <w:kern w:val="0"/>
          <w:sz w:val="24"/>
          <w:szCs w:val="24"/>
          <w:lang w:eastAsia="tr-TR"/>
          <w14:ligatures w14:val="none"/>
        </w:rPr>
        <w:t xml:space="preserve"/>
      </w:r>
      <w:r w:rsidRPr="00333703">
        <w:rPr>
          <w:rFonts w:ascii="Times New Roman" w:eastAsia="Times New Roman" w:hAnsi="Times New Roman" w:cs="Times New Roman"/>
          <w:kern w:val="0"/>
          <w:sz w:val="24"/>
          <w:szCs w:val="24"/>
          <w:lang w:eastAsia="tr-TR"/>
          <w14:ligatures w14:val="none"/>
        </w:rPr>
        <w:t/>
      </w:r>
      <w:r w:rsidR="00333703">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004F1B6E">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092B25">
        <w:rPr>
          <w:rFonts w:ascii="Times New Roman" w:eastAsia="Times New Roman" w:hAnsi="Times New Roman" w:cs="Times New Roman"/>
          <w:bCs/>
          <w:kern w:val="0"/>
          <w:sz w:val="24"/>
          <w:szCs w:val="24"/>
          <w:lang w:eastAsia="tr-TR"/>
          <w14:ligatures w14:val="none"/>
        </w:rPr>
        <w:t/>
      </w:r>
      <w:r w:rsidR="008A7642">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kurallarının kırâatle ilişkisi örneğe göre değişir. Bazı yazım özellikleri belirli kırâat örnekleriyle ilişkilendirilebilirken bazıları erken yazı geleneğinin genel özellikleriyle açıklanmaktadır. Aşağıdaki kurallar bu farklı ilişki düzeyleri gözetilerek ele alınacaktır.</w:t>
      </w:r>
      <w:r w:rsidR="00AD3B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Vasl ve fasl örnekleri, resm-i Osmânî’nin her durumda kelimeleri zorunlu olarak birleştiren bir yazı sistemi olmadığını</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mushaflarda bugünkü hemze işaretleme sistemi henüz yerleşmemişti. Hemzenin yazımı dönemin Arap yazısının gelişim özellikleri içinde değerlendirilmelidir; kırâatle ilişkisi ise örnek bazında ayrıca ele alınmalıdır.</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 lafızda açık karşılığı bulunmayan bir harfin mushaf yazısında yer almasıdır. Resm kaynakları bu örnekleri haziften ayrı bir başlık altında incelemiştir; kırâat ve mana ile ilişkileri örnekten örneğe değişmektedir.</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527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eder</w:t>
      </w:r>
      <w:r w:rsidR="005620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Hz. Osman dönemindeki istinsah faaliyeti mevcut sahifelerin çoğaltılmasıyla sınırlı kalmamış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görülür.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bir dayanağa sahip olması gerekir.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öne çıkan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görülür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koyar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görülür</w:t>
      </w:r>
      <w:r w:rsidR="00747B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Klasik tefsîr ve kırâat geleneğinde mushaf yazısına uygunluk, okuyuşların değerlendirilmesinde başvurulan ölçülerden biri olmuş; bu ölçü rivâyet ve dil verileriyle birlikte işlemiştir.</w:t>
      </w:r>
      <w:r w:rsidRPr="00C573AD">
        <w:rPr>
          <w:rFonts w:ascii="Times New Roman" w:eastAsia="Times New Roman" w:hAnsi="Times New Roman" w:cs="Times New Roman"/>
          <w:kern w:val="0"/>
          <w:sz w:val="24"/>
          <w:szCs w:val="24"/>
          <w:lang w:eastAsia="tr-TR"/>
          <w14:ligatures w14:val="none"/>
        </w:rPr>
        <w:t/>
      </w:r>
      <w:r w:rsidR="00C573A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BB55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kern w:val="0"/>
          <w:sz w:val="24"/>
          <w:szCs w:val="24"/>
          <w:lang w:eastAsia="tr-TR"/>
          <w14:ligatures w14:val="none"/>
        </w:rPr>
        <w:lastRenderedPageBreak/>
        <w:t xml:space="preserve">Osmânî mushafların farklı merkezlerde ortak başvuru nüshaları hâline gelmesi, resme uygunluğun sonraki kırâat literatüründe kabul ölçülerinden biri olarak yerleşmesinin tarihsel zeminini oluşturmuştur.</w:t>
      </w:r>
      <w:r w:rsidRPr="00F42596">
        <w:rPr>
          <w:rFonts w:ascii="Times New Roman" w:eastAsia="Times New Roman" w:hAnsi="Times New Roman" w:cs="Times New Roman"/>
          <w:kern w:val="0"/>
          <w:sz w:val="24"/>
          <w:szCs w:val="24"/>
          <w:lang w:eastAsia="tr-TR"/>
          <w14:ligatures w14:val="none"/>
        </w:rPr>
        <w:t/>
      </w:r>
      <w:r w:rsidR="00E051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Kırâat, Kur’an kelimelerinin edâ keyfiyetlerini ve bu keyfiyetlerdeki farklılıkları nakledenlere nispet ederek bilmeyi konu edinen rivâyet disiplinidir.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Kur’an kelimelerinin edâ biçimlerini ve bu biçimlerdeki farklılıkların rivâyetini konu edinen geniş bir ilim alanıdır.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7590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kern w:val="0"/>
          <w:sz w:val="24"/>
          <w:szCs w:val="24"/>
          <w:lang w:eastAsia="tr-TR"/>
          <w14:ligatures w14:val="none"/>
        </w:rPr>
        <w:t>değil</w:t>
      </w:r>
      <w:r w:rsidR="00726F9B" w:rsidRPr="002F17D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kırâat, dilde mümkün olan her okuyuş </w:t>
      </w:r>
      <w:r w:rsidRPr="002F17D2">
        <w:rPr>
          <w:rFonts w:ascii="Times New Roman" w:eastAsia="Times New Roman" w:hAnsi="Times New Roman" w:cs="Times New Roman"/>
          <w:bCs/>
          <w:kern w:val="0"/>
          <w:sz w:val="24"/>
          <w:szCs w:val="24"/>
          <w:lang w:eastAsia="tr-TR"/>
          <w14:ligatures w14:val="none"/>
        </w:rPr>
        <w:t>değil</w:t>
      </w:r>
      <w:r w:rsidR="008A7642" w:rsidRPr="002F17D2">
        <w:rPr>
          <w:rFonts w:ascii="Times New Roman" w:eastAsia="Times New Roman" w:hAnsi="Times New Roman" w:cs="Times New Roman"/>
          <w:bCs/>
          <w:kern w:val="0"/>
          <w:sz w:val="24"/>
          <w:szCs w:val="24"/>
          <w:lang w:eastAsia="tr-TR"/>
          <w14:ligatures w14:val="none"/>
        </w:rPr>
        <w:t>,</w:t>
      </w:r>
      <w:r w:rsidRPr="002F17D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oluşturur</w:t>
      </w:r>
      <w:r w:rsidR="00F272E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Kur’an’ın aktarımında yazılı metne, okunarak öğretilen sözlü edâ geleneği eşlik etmiştir.</w:t>
      </w:r>
      <w:r w:rsidRPr="00F42596">
        <w:rPr>
          <w:rFonts w:ascii="Times New Roman" w:eastAsia="Times New Roman" w:hAnsi="Times New Roman" w:cs="Times New Roman"/>
          <w:kern w:val="0"/>
          <w:sz w:val="24"/>
          <w:szCs w:val="24"/>
          <w:lang w:eastAsia="tr-TR"/>
          <w14:ligatures w14:val="none"/>
        </w:rPr>
        <w:t xml:space="preserve">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bulunur</w:t>
      </w:r>
      <w:r w:rsidR="00FE3E0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Dil, rivâyet ve mushaf hattının birlikte değerlendirilmesi, kırâat ilminin zamanla daha disiplinli bir ölçü sistemine kavuştuğunu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belirtir</w:t>
      </w:r>
      <w:r w:rsidR="00693DC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kern w:val="0"/>
          <w:sz w:val="24"/>
          <w:szCs w:val="24"/>
          <w:lang w:eastAsia="tr-TR"/>
          <w14:ligatures w14:val="none"/>
        </w:rPr>
        <w:t/>
      </w:r>
      <w:r w:rsidR="00487337" w:rsidRPr="004970F1">
        <w:rPr>
          <w:rFonts w:ascii="Times New Roman" w:eastAsia="Times New Roman" w:hAnsi="Times New Roman" w:cs="Times New Roman"/>
          <w:kern w:val="0"/>
          <w:sz w:val="24"/>
          <w:szCs w:val="24"/>
          <w:lang w:eastAsia="tr-TR"/>
          <w14:ligatures w14:val="none"/>
        </w:rPr>
        <w:t/>
      </w:r>
      <w:r w:rsidRPr="004970F1">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kern w:val="0"/>
          <w:sz w:val="24"/>
          <w:szCs w:val="24"/>
          <w:lang w:eastAsia="tr-TR"/>
          <w14:ligatures w14:val="none"/>
        </w:rPr>
        <w:t>değil</w:t>
      </w:r>
      <w:r w:rsidRPr="00B45E5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Rivâyette kelimenin harfleriyle birlikte ses değeri ve edâ biçimi de aktarılır.</w:t>
      </w:r>
      <w:r w:rsidRPr="00B45E5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kern w:val="0"/>
          <w:sz w:val="24"/>
          <w:szCs w:val="24"/>
          <w:lang w:eastAsia="tr-TR"/>
          <w14:ligatures w14:val="none"/>
        </w:rPr>
        <w:t>değil</w:t>
      </w:r>
      <w:r w:rsidRPr="00683EB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kern w:val="0"/>
          <w:sz w:val="24"/>
          <w:szCs w:val="24"/>
          <w:lang w:eastAsia="tr-TR"/>
          <w14:ligatures w14:val="none"/>
        </w:rPr>
        <w:t/>
      </w:r>
      <w:r w:rsidRPr="00D101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İbnü’l-Cezerî, Tâceddîn Subkî’den naklettiği tanımda kırâati Kur’an kelimelerinin edâ keyfiyetleri ve bu keyfiyetlerdeki ihtilafın nakledenlere nispet edilerek bilinmesi şeklinde aktarır.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kern w:val="0"/>
          <w:sz w:val="24"/>
          <w:szCs w:val="24"/>
          <w:lang w:eastAsia="tr-TR"/>
          <w14:ligatures w14:val="none"/>
        </w:rPr>
        <w:t>değil</w:t>
      </w:r>
      <w:r w:rsidRPr="00AD1F6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gösterir</w:t>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kern w:val="0"/>
          <w:sz w:val="24"/>
          <w:szCs w:val="24"/>
          <w:lang w:eastAsia="tr-TR"/>
          <w14:ligatures w14:val="none"/>
        </w:rPr>
        <w:t>değil</w:t>
      </w:r>
      <w:r w:rsidR="008A7642" w:rsidRPr="008577B9">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İmamlar, râviler ve öğretim çevreleri arasındaki aktarım ağı, kırâat otoritesinin kişiler ve ilim çevreleri üzerinden geliştiğini</w:t>
      </w:r>
      <w:r w:rsidR="00AF44F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gösterir.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kern w:val="0"/>
          <w:sz w:val="24"/>
          <w:szCs w:val="24"/>
          <w:lang w:eastAsia="tr-TR"/>
          <w14:ligatures w14:val="none"/>
        </w:rPr>
        <w:t>değil</w:t>
      </w:r>
      <w:r w:rsidRP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alır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gösterir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bulunur.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sz w:val="28"/>
          <w:szCs w:val="28"/>
        </w:rPr>
        <w:t>Osmânî Mushafların Ortak Başvuru Metni Hâline Gelmesinin Kırâat ve Tefsirdeki Yansımal</w:t>
      </w:r>
      <w:r w:rsidR="00A546B0">
        <w:rPr>
          <w:rFonts w:ascii="Times New Roman" w:hAnsi="Times New Roman" w:cs="Times New Roman"/>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sz w:val="24"/>
          <w:szCs w:val="24"/>
        </w:rPr>
        <w:t>belirgin biçimde görülür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kern w:val="0"/>
          <w:sz w:val="24"/>
          <w:szCs w:val="24"/>
          <w:lang w:eastAsia="tr-TR"/>
          <w14:ligatures w14:val="none"/>
        </w:rPr>
        <w:t>ortak</w:t>
      </w:r>
      <w:r w:rsidR="00F42596" w:rsidRPr="00672BA2">
        <w:rPr>
          <w:rFonts w:ascii="Times New Roman" w:eastAsia="Times New Roman" w:hAnsi="Times New Roman" w:cs="Times New Roman"/>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Ortak mushaf metni, resmin tefsîrde yazılı bir referans zemini oluşturduğunu</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w:t>
      </w:r>
      <w:r w:rsidR="002E121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kern w:val="0"/>
          <w:sz w:val="24"/>
          <w:szCs w:val="24"/>
          <w:lang w:eastAsia="tr-TR"/>
          <w14:ligatures w14:val="none"/>
        </w:rPr>
        <w:t>değil</w:t>
      </w:r>
      <w:r w:rsidR="008A7642" w:rsidRPr="007E37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koyar.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öne çıkan özelliklerinden biri, bazı kelimelerin yazımının rivâyetle sabit birden fazla kırâatle bağdaşabilmesidir. Bu örnekler, yazının okuyuşu bütünüyle belirlemediğini; belirli okuyuşların ortak harf iskeleti içinde karşılık bulabildiğini gösterir.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zikredilir. Bunların bir kısmı belirli şehir mushaflarına nispet edilen yazım farklarını, bir kısmı aynı harf iskeletinin birden fazla rivâyetle bağdaşmasını, bir kısmı ise belirli bir okuyuşun resmde doğrudan karşılık bulmasını gösterir.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görülür;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bulunur.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Bazı klasik açıklamalarda açık “ta” ile yazılan bu örnekler lehçe özellikleriyle ilişkilendirilmiştir.</w:t>
      </w:r>
      <w:r w:rsidRPr="00887BA3">
        <w:rPr>
          <w:rFonts w:ascii="Times New Roman" w:hAnsi="Times New Roman" w:cs="Times New Roman"/>
          <w:bCs/>
          <w:sz w:val="24"/>
          <w:szCs w:val="24"/>
        </w:rPr>
        <w:t/>
      </w:r>
      <w:r w:rsidRPr="00887BA3">
        <w:rPr>
          <w:rFonts w:ascii="Times New Roman" w:hAnsi="Times New Roman" w:cs="Times New Roman"/>
          <w:sz w:val="24"/>
          <w:szCs w:val="24"/>
        </w:rPr>
        <w:t xml:space="preserve"/>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kern w:val="0"/>
          <w:sz w:val="24"/>
          <w:szCs w:val="24"/>
          <w:lang w:eastAsia="tr-TR"/>
          <w14:ligatures w14:val="none"/>
        </w:rPr>
        <w:t>değil</w:t>
      </w:r>
      <w:r w:rsidR="00F42596" w:rsidRPr="003747AF">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resm-i Osmânî, dil malzemesini sadeleştiren </w:t>
      </w:r>
      <w:r w:rsidR="00F42596" w:rsidRPr="00966381">
        <w:rPr>
          <w:rFonts w:ascii="Times New Roman" w:eastAsia="Times New Roman" w:hAnsi="Times New Roman" w:cs="Times New Roman"/>
          <w:bCs/>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kaynaklar belirli yazımları harf veya harekenin kökensel yapısıyla ilişkilendirir. Bu açıklamalar ilgili örneklerle sınırlı tutulmalıdır. Doğru edâ telakki ve rivâyet yoluyla öğrenilir; resm belirli örneklerde bu aktarımı destekleyen yazılı veriler sunar.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CB2D77">
        <w:rPr>
          <w:rFonts w:ascii="Times New Roman" w:eastAsia="Times New Roman" w:hAnsi="Times New Roman" w:cs="Times New Roman"/>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55494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A3B26">
        <w:rPr>
          <w:rFonts w:ascii="Times New Roman" w:eastAsia="Times New Roman" w:hAnsi="Times New Roman" w:cs="Times New Roman"/>
          <w:bCs/>
          <w:kern w:val="0"/>
          <w:sz w:val="24"/>
          <w:szCs w:val="24"/>
          <w:lang w:eastAsia="tr-TR"/>
          <w14:ligatures w14:val="none"/>
        </w:rPr>
        <w:t/>
      </w:r>
      <w:r w:rsidRPr="00EA3B2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E2A8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A6234">
        <w:rPr>
          <w:rFonts w:ascii="Times New Roman" w:eastAsia="Times New Roman" w:hAnsi="Times New Roman" w:cs="Times New Roman"/>
          <w:bCs/>
          <w:kern w:val="0"/>
          <w:sz w:val="24"/>
          <w:szCs w:val="24"/>
          <w:lang w:eastAsia="tr-TR"/>
          <w14:ligatures w14:val="none"/>
        </w:rPr>
        <w:t/>
      </w:r>
      <w:r w:rsidRPr="00AA6234">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kern w:val="0"/>
          <w:sz w:val="24"/>
          <w:szCs w:val="24"/>
          <w:lang w:eastAsia="tr-TR"/>
          <w14:ligatures w14:val="none"/>
        </w:rPr>
        <w:t>değil</w:t>
      </w:r>
      <w:r w:rsidR="008A7642" w:rsidRPr="009161B7">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kern w:val="0"/>
          <w:sz w:val="24"/>
          <w:szCs w:val="24"/>
          <w:lang w:eastAsia="tr-TR"/>
          <w14:ligatures w14:val="none"/>
        </w:rPr>
        <w:t>değil</w:t>
      </w:r>
      <w:r w:rsidR="00F42596" w:rsidRPr="00B4178F">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öne çıkan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resm-i Osmânî yalnızca kelimenin iskeletini </w:t>
      </w:r>
      <w:r w:rsidRPr="00C74462">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özellikle “vav” ve “ya” ziyadeleri, kelimenin yalnızca yazı şekline </w:t>
      </w:r>
      <w:r w:rsidRPr="008C0954">
        <w:rPr>
          <w:rFonts w:ascii="Times New Roman" w:eastAsia="Times New Roman" w:hAnsi="Times New Roman" w:cs="Times New Roman"/>
          <w:bCs/>
          <w:kern w:val="0"/>
          <w:sz w:val="24"/>
          <w:szCs w:val="24"/>
          <w:lang w:eastAsia="tr-TR"/>
          <w14:ligatures w14:val="none"/>
        </w:rPr>
        <w:t>değil</w:t>
      </w:r>
      <w:r w:rsidRPr="008C095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sz w:val="24"/>
          <w:szCs w:val="24"/>
        </w:rPr>
        <w:t>değil</w:t>
      </w:r>
      <w:r w:rsidRPr="00E223BB">
        <w:rPr>
          <w:rFonts w:ascii="Times New Roman" w:hAnsi="Times New Roman" w:cs="Times New Roman"/>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kern w:val="0"/>
          <w:sz w:val="24"/>
          <w:szCs w:val="24"/>
          <w:lang w:eastAsia="tr-TR"/>
          <w14:ligatures w14:val="none"/>
        </w:rPr>
        <w:t/>
      </w:r>
      <w:r w:rsidR="008A7642" w:rsidRPr="00EB46E4">
        <w:rPr>
          <w:rFonts w:ascii="Times New Roman" w:eastAsia="Times New Roman" w:hAnsi="Times New Roman" w:cs="Times New Roman"/>
          <w:bCs/>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öne çıkandir.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gösterir. Bu açıklama, ilgili yazım ile hitap tonu arasında kurulan klasik bir yorum ilişkisidir; yazımın tarihsel sebebini tek başına belirlemez.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“vav” ziyadesi hem ses hem de mana düzeyinde anlamlandırılmıştır. Bu da resm-i Osmânî’nin tek boyutluluktan ziyade, çok yönlü bir muhafaza sistemi olarak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 yazımının rahmet ve af bağlamında da mana yorumlarıyla ilişkilendirildiğini gösterir.</w:t>
      </w:r>
      <w:r w:rsidR="00AC4F69" w:rsidRPr="003D300A">
        <w:rPr>
          <w:rFonts w:ascii="Times New Roman" w:eastAsia="Times New Roman" w:hAnsi="Times New Roman" w:cs="Times New Roman"/>
          <w:kern w:val="0"/>
          <w:sz w:val="24"/>
          <w:szCs w:val="24"/>
          <w:lang w:eastAsia="tr-TR"/>
          <w14:ligatures w14:val="none"/>
        </w:rPr>
        <w:t/>
      </w:r>
      <w:r w:rsidR="00F42596" w:rsidRPr="003D300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belirtilir</w:t>
      </w:r>
      <w:r w:rsidR="00F80880">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eder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Bu yorum, yazım farkını söz dizimi ve anlamla ilişkilendirir; yazımın tarihsel sebebini tek başına belirlemez.</w:t>
      </w:r>
      <w:r w:rsidR="000A4E28" w:rsidRPr="0050360D">
        <w:rPr>
          <w:rFonts w:ascii="Times New Roman" w:eastAsia="Times New Roman" w:hAnsi="Times New Roman" w:cs="Times New Roman"/>
          <w:kern w:val="0"/>
          <w:sz w:val="24"/>
          <w:szCs w:val="24"/>
          <w:lang w:eastAsia="tr-TR"/>
          <w14:ligatures w14:val="none"/>
        </w:rPr>
        <w:t/>
      </w:r>
      <w:r w:rsidR="00F42596" w:rsidRPr="0050360D">
        <w:rPr>
          <w:rFonts w:ascii="Times New Roman" w:eastAsia="Times New Roman" w:hAnsi="Times New Roman" w:cs="Times New Roman"/>
          <w:kern w:val="0"/>
          <w:sz w:val="24"/>
          <w:szCs w:val="24"/>
          <w:lang w:eastAsia="tr-TR"/>
          <w14:ligatures w14:val="none"/>
        </w:rPr>
        <w:t xml:space="preserve"/>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burada kurulan soru yapısı, iki unsur arasında tercih yaptıran bir soru olmayıp daha çok önceki sözden ayrılan yeni bir mana istikametini gösterir.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kern w:val="0"/>
          <w:sz w:val="24"/>
          <w:szCs w:val="24"/>
          <w:lang w:eastAsia="tr-TR"/>
          <w14:ligatures w14:val="none"/>
        </w:rPr>
        <w:t>değil</w:t>
      </w:r>
      <w:r w:rsidRPr="00FF618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âyetin bağlamı dikkate alındığında, yüzüstü kapanarak yürüyen kimsenin </w:t>
      </w:r>
      <w:r w:rsidRPr="00C556E7">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âyetin cevabı ikinci seçeneğin daha doğru yolda olduğunu belirten cevap cümlesidir.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görülür.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Kaynaklardaki farklı açıklamalar, İslâm geleneğinde resm-i mushaf için tek bir açıklama şeklinin olmadığını; hikmet merkezli yorumlarla dil merkezli açıklamaların aynı gelenek içinde yan yana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öne çıkan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Ferrâ’nın ifadesi, Arap dili içinde mümkün bir vecih bulunduğunda mushaf hattını tercih gerekçelerinden biri olarak dikkate aldığını belirtir. Bu yaklaşım bütün nahivcilerin resme mutlak biçimde tâbi olduğu şeklinde genelleştirilmemelidir.</w:t>
      </w:r>
      <w:r w:rsidR="00DE71A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Aksine mushaf hattı, dilin mümkün gördüğü vecihler arasında tercih yaparken göz önünde bulundurulan bir otorite alanıdır.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öne çıkandir.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görülür. Bu yaklaşımın en öne çıkan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öne çıkan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bulunur.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öne çıkan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oluşturur.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bu görüş hem klasik hem de çağdaş kaynaklarda güçlü biçimde varlığını sürdürür.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görülür.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klasik gelenekte resm-i Osmânî’ye ittibanın yanı sıra bu ittibanın hükmî derecesinin de tartışıldığını gösterir.</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681C">
        <w:rPr>
          <w:rFonts w:ascii="Times New Roman" w:eastAsia="Times New Roman" w:hAnsi="Times New Roman" w:cs="Times New Roman"/>
          <w:kern w:val="0"/>
          <w:sz w:val="24"/>
          <w:szCs w:val="24"/>
          <w:lang w:eastAsia="tr-TR"/>
          <w14:ligatures w14:val="none"/>
        </w:rPr>
        <w:t/>
      </w:r>
      <w:r w:rsidR="007F681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görülür.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edilir.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anlaşılır.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rivâyet ve yorumlar,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koyar.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öne çıkan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görülür.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görülür.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görülür.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görülür. Bu da selef-i sâlihînin ilmî faziletinin ferdî takdirin ötesine geçerek ümmetçe benimsenmiş bir otoriteye dönüştüğünü düşündürmektedir.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sz w:val="24"/>
          <w:szCs w:val="24"/>
        </w:rPr>
        <w:t xml:space="preserve">resm-i Osmânî’ye bağlılığın, metnin yazımını koruma amacının yanı sıra, </w:t>
      </w:r>
      <w:r w:rsidR="00925F21">
        <w:rPr>
          <w:rFonts w:asciiTheme="majorBidi" w:hAnsiTheme="majorBidi" w:cstheme="majorBidi"/>
          <w:sz w:val="24"/>
          <w:szCs w:val="24"/>
        </w:rPr>
        <w:t>Kur’an</w:t>
      </w:r>
      <w:r w:rsidR="006B611B" w:rsidRPr="006B611B">
        <w:rPr>
          <w:rFonts w:asciiTheme="majorBidi" w:hAnsiTheme="majorBidi" w:cstheme="majorBidi"/>
          <w:sz w:val="24"/>
          <w:szCs w:val="24"/>
        </w:rPr>
        <w:t>’ın naklinde oluşan tarihî sürekliliği ve ilmî geleneği muhafaza etme iradesiyle de yakından ilişkili olduğu anlaşılır</w:t>
      </w:r>
      <w:r w:rsidR="006B611B">
        <w:rPr>
          <w:rFonts w:asciiTheme="majorBidi" w:hAnsiTheme="majorBidi" w:cstheme="majorBidi"/>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kern w:val="0"/>
          <w:sz w:val="24"/>
          <w:szCs w:val="24"/>
          <w:lang w:eastAsia="tr-TR"/>
          <w14:ligatures w14:val="none"/>
        </w:rPr>
        <w:t>açıkça belirtm</w:t>
      </w:r>
      <w:r w:rsidR="001F4DA5" w:rsidRPr="00A308D0">
        <w:rPr>
          <w:rFonts w:ascii="Times New Roman" w:eastAsia="Times New Roman" w:hAnsi="Times New Roman" w:cs="Times New Roman"/>
          <w:kern w:val="0"/>
          <w:sz w:val="24"/>
          <w:szCs w:val="24"/>
          <w:lang w:eastAsia="tr-TR"/>
          <w14:ligatures w14:val="none"/>
        </w:rPr>
        <w:t>işt</w:t>
      </w:r>
      <w:r w:rsidRPr="00A308D0">
        <w:rPr>
          <w:rFonts w:ascii="Times New Roman" w:eastAsia="Times New Roman" w:hAnsi="Times New Roman" w:cs="Times New Roman"/>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w:r>
      <w:r w:rsidRPr="00F11F7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eder.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gösterir. Bu sebeple resm-i Osmânî ile telaffuz arasındaki farklılık, olumsuz bir güçlük olarak </w:t>
      </w:r>
      <w:r w:rsidRPr="00687D0C">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sürdürür.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alır.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kern w:val="0"/>
          <w:sz w:val="24"/>
          <w:szCs w:val="24"/>
          <w:lang w:eastAsia="tr-TR"/>
          <w14:ligatures w14:val="none"/>
        </w:rPr>
        <w:t>yanı sıra</w:t>
      </w:r>
      <w:r w:rsidRPr="00BC6B1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koyar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kern w:val="0"/>
          <w:sz w:val="24"/>
          <w:szCs w:val="24"/>
          <w:lang w:eastAsia="tr-TR"/>
          <w14:ligatures w14:val="none"/>
        </w:rPr>
        <w:t>unsur</w:t>
      </w:r>
      <w:r w:rsidR="00BC6B1F" w:rsidRPr="00BC6B1F">
        <w:rPr>
          <w:rFonts w:asciiTheme="majorBidi" w:hAnsiTheme="majorBidi" w:cstheme="majorBidi"/>
          <w:sz w:val="24"/>
          <w:szCs w:val="24"/>
        </w:rPr>
        <w:t xml:space="preserve"> olarak değerlendirmektedir.</w:t>
      </w:r>
      <w:r w:rsidRPr="00BC6B1F">
        <w:rPr>
          <w:rFonts w:asciiTheme="majorBidi" w:eastAsia="Times New Roman" w:hAnsiTheme="majorBidi" w:cstheme="majorBidi"/>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sz w:val="24"/>
          <w:szCs w:val="24"/>
        </w:rPr>
        <w:t xml:space="preserve"/>
      </w:r>
      <w:r>
        <w:rPr>
          <w:rFonts w:asciiTheme="majorBidi" w:hAnsiTheme="majorBidi" w:cstheme="majorBidi"/>
          <w:sz w:val="24"/>
          <w:szCs w:val="24"/>
        </w:rPr>
        <w:t/>
      </w:r>
      <w:r w:rsidR="006F5760" w:rsidRPr="006F5760">
        <w:rPr>
          <w:rFonts w:asciiTheme="majorBidi" w:hAnsiTheme="majorBidi" w:cstheme="majorBidi"/>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taşır.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ortaya koyar. Çünkü burada korunmak istenen sadece bir yazı alışkanlığı olmayıp; o yazı etrafında teşekkül etmiş bir ilmî gelenektir.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oluşturur.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anlaşılır.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kern w:val="0"/>
          <w:sz w:val="24"/>
          <w:szCs w:val="24"/>
          <w:lang w:eastAsia="tr-TR"/>
          <w14:ligatures w14:val="none"/>
        </w:rPr>
        <w:t xml:space="preserve"> </w:t>
      </w:r>
      <w:r w:rsidR="00685263" w:rsidRPr="00685263">
        <w:rPr>
          <w:rFonts w:asciiTheme="majorBidi" w:hAnsiTheme="majorBidi" w:cstheme="majorBidi"/>
          <w:sz w:val="24"/>
          <w:szCs w:val="24"/>
        </w:rPr>
        <w:t>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sz w:val="24"/>
          <w:szCs w:val="24"/>
        </w:rPr>
        <w:t>alnızca biçimsel b</w:t>
      </w:r>
      <w:r w:rsidR="005201A1">
        <w:rPr>
          <w:rFonts w:asciiTheme="majorBidi" w:hAnsiTheme="majorBidi" w:cstheme="majorBidi"/>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öne çıkan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telakki, müşâfehe ve isnaddır.</w:t>
      </w:r>
      <w:r w:rsidR="00AD2F5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belirtir.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Kırâatlerin asıl kaynağı rivâyettir. Resm-i Osmânî’ye uygunluk, sahih rivâyetlerin müşterek mushaf yazısıyla ilişkisini değerlendirmede kullanılan tamamlayıcı ölçülerden biridir.</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77B95">
        <w:rPr>
          <w:rFonts w:asciiTheme="majorBidi" w:eastAsia="Times New Roman" w:hAnsiTheme="majorBidi" w:cstheme="majorBidi"/>
          <w:kern w:val="0"/>
          <w:sz w:val="24"/>
          <w:szCs w:val="24"/>
          <w:lang w:eastAsia="tr-TR"/>
          <w14:ligatures w14:val="none"/>
        </w:rPr>
        <w:t/>
      </w:r>
      <w:r w:rsidR="00FC565E" w:rsidRPr="00FC565E">
        <w:rPr>
          <w:rFonts w:asciiTheme="majorBidi" w:hAnsiTheme="majorBidi" w:cstheme="majorBidi"/>
          <w:sz w:val="24"/>
          <w:szCs w:val="24"/>
        </w:rPr>
        <w:t xml:space="preserve"/>
      </w:r>
      <w:r w:rsidRPr="00FC565E">
        <w:rPr>
          <w:rFonts w:asciiTheme="majorBidi" w:eastAsia="Times New Roman" w:hAnsiTheme="majorBidi" w:cstheme="majorBidi"/>
          <w:kern w:val="0"/>
          <w:sz w:val="24"/>
          <w:szCs w:val="24"/>
          <w:lang w:eastAsia="tr-TR"/>
          <w14:ligatures w14:val="none"/>
        </w:rPr>
        <w:t/>
      </w:r>
      <w:r w:rsidRPr="005802A1">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örnekler, resmin okuyuşları seçen bağımsız bir özne olmadığını; rivâyet edilen okuyuşların müşterek yazılı çerçeveyle uyumunun değerlendirilmesine katkı sağladığını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gösterir. her kârî için onun okuyuşuna çoğunlukla uygun düşen mushaf seçilmiş; böylece yazılı nüsha ile sözlü öğretim birlikte işletilmiştir.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öne çıkan yönlerinden biri, mushaf ile kırâat arasındaki ilişkinin mutlak ve birebir eşleşme şeklinde olmayıp, çoğunluk esasına dayalı bir uygunluk çerçevesinde kurulmuş olmasıdır.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belirtir.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koyar.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ortak mushaf metninin başvuru niteliğini yansıtır.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koyar.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eder.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dönemindeki yazılı kayıtlar, vahyin korunmasına yönelik tedbirlerin erken safhada devreye girdiğine işaret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gösterir. </w:t>
      </w:r>
      <w:r w:rsidR="00D77B95">
        <w:rPr>
          <w:rFonts w:ascii="Times New Roman" w:eastAsia="Times New Roman" w:hAnsi="Times New Roman" w:cs="Times New Roman"/>
          <w:kern w:val="0"/>
          <w:sz w:val="24"/>
          <w:szCs w:val="24"/>
          <w:lang w:eastAsia="tr-TR"/>
          <w14:ligatures w14:val="none"/>
        </w:rPr>
        <w:t>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kern w:val="0"/>
          <w:sz w:val="24"/>
          <w:szCs w:val="24"/>
          <w:lang w:eastAsia="tr-TR"/>
          <w14:ligatures w14:val="none"/>
        </w:rPr>
        <w:t>ifade edilir</w:t>
      </w:r>
      <w:r w:rsidR="002700F3" w:rsidRPr="006762F7">
        <w:rPr>
          <w:rFonts w:ascii="Times New Roman" w:eastAsia="Times New Roman" w:hAnsi="Times New Roman" w:cs="Times New Roman"/>
          <w:kern w:val="0"/>
          <w:sz w:val="24"/>
          <w:szCs w:val="24"/>
          <w:lang w:eastAsia="tr-TR"/>
          <w14:ligatures w14:val="none"/>
        </w:rPr>
        <w:t>.</w:t>
      </w:r>
      <w:r w:rsidRPr="006762F7">
        <w:rPr>
          <w:rFonts w:ascii="Times New Roman" w:eastAsia="Times New Roman" w:hAnsi="Times New Roman" w:cs="Times New Roman"/>
          <w:kern w:val="0"/>
          <w:sz w:val="24"/>
          <w:szCs w:val="24"/>
          <w:lang w:eastAsia="tr-TR"/>
          <w14:ligatures w14:val="none"/>
        </w:rPr>
        <w:t xml:space="preserve"/>
      </w:r>
      <w:r w:rsidR="002700F3" w:rsidRPr="006762F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koyar.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kern w:val="0"/>
          <w:sz w:val="24"/>
          <w:szCs w:val="24"/>
          <w:lang w:eastAsia="tr-TR"/>
          <w14:ligatures w14:val="none"/>
        </w:rPr>
        <w:t>açıkça 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gösterir. </w:t>
      </w:r>
      <w:r w:rsidR="000408F5" w:rsidRPr="000408F5">
        <w:rPr>
          <w:rStyle w:val="Gl"/>
          <w:rFonts w:asciiTheme="majorBidi" w:hAnsiTheme="majorBidi" w:cstheme="majorBidi"/>
          <w:b w:val="0"/>
          <w:bCs w:val="0"/>
          <w:sz w:val="24"/>
          <w:szCs w:val="24"/>
        </w:rPr>
        <w:t>Bu da resm-i Osmânî'nin, kırâat rivâyetleri arasında bağlayıcılık ölçüsü koyan kurucu bir çerçeve olduğunu ortaya koyar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sz w:val="24"/>
          <w:szCs w:val="24"/>
        </w:rPr>
        <w:t>değerlendirilebilir</w:t>
      </w:r>
      <w:r w:rsidR="00762DD9" w:rsidRPr="00762DD9">
        <w:rPr>
          <w:rFonts w:asciiTheme="majorBidi" w:eastAsia="Times New Roman" w:hAnsiTheme="majorBidi" w:cstheme="majorBidi"/>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kern w:val="0"/>
          <w:sz w:val="24"/>
          <w:szCs w:val="24"/>
          <w:lang w:eastAsia="tr-TR"/>
          <w14:ligatures w14:val="none"/>
        </w:rPr>
        <w:t xml:space="preserve">ifade edilir</w:t>
      </w:r>
      <w:r w:rsidRPr="00896D6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Hz. Ali ve Mus’ab b. Sa’d’dan nakledilen rivâyetler, mushafların birleştirilmesi yönündeki tasarrufun sahâbe çevresinde destek gördüğünü aktarır.</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F7A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067E4">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sz w:val="24"/>
          <w:szCs w:val="24"/>
        </w:rPr>
        <w:t>İbn Mesʿûd'un istinsah sürecine yaklaşımı hakkında farklı rivâyetler bulunur.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anlaşılır.</w:t>
      </w:r>
      <w:r w:rsidRPr="009E2A2C">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bireysel rahatsızlıkların, sahâbe icmâının kurduğu ortak mushaf otoritesini bozmadığı anlaşılır.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aktarımındaki okuyuş, tertip ve yazım çeşitliliğine ilişkin tarihsel veri sağlar.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görülür. kurrâ, kendi okuyuşlarından mushaf hattına uygun düşen vecihlerle okumayı sürdürmüş, buna aykırı olanları ise terk etmiştir.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koyar.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 hattına aykırı kalan rivâyetlerin tamamı kaynaklarda baştan itibaren uydurma sayılmaz; bazı müellifler bunları daha önce okunmuş, ancak sonraki müşterek tilâvet alanının dışında kalmış vecihler olarak değerlendirir. Bu açıklama ilgili klasik yorum olarak sunulmalıdır.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İmamların tercihleri kendilerine ulaşan rivâyet ve öğretim geleneği içinde değerlendirilmelidir. Bazı kaynaklarda râvi sayısı, mushaf hattı, dil verileri ve genel kabul tercih gerekçeleri arasında birlikte zikredilir.</w:t>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görülür.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sz w:val="24"/>
          <w:szCs w:val="24"/>
        </w:rPr>
        <w:t>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öne çıkandir.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öne çıkan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İbn Hâleveyh’in tercihi, resm-i Osmânî’nin kırâat ilminde dil verileriyle birlikte kullanılan bir ölçü olduğunu</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koyar.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tercih örnekleri, resm-i Osmânî’nin kırâat ilminde meşruiyet ölçüsünün yanında tercîh ve tevcîh süreçlerinde de kullanıldığını</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taşır.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değerlendirilir.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kern w:val="0"/>
          <w:sz w:val="24"/>
          <w:szCs w:val="24"/>
          <w:lang w:eastAsia="tr-TR"/>
          <w14:ligatures w14:val="none"/>
        </w:rPr>
        <w:t>açıkça gösterir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koyar.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Bazı vakıf uygulamalarında mushaf yazımı da dikkate alınmıştır.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koyar.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 ilişkinin en öne çıkan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resmi karşı karşıya geldiğinde belirli durumlarda yazı geleneğinin üstün tutulabildiğine işaret eder.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el-Mehdevî</w:t>
      </w:r>
      <w:r w:rsidRPr="007A383B">
        <w:rPr>
          <w:rFonts w:ascii="Times New Roman" w:eastAsia="Times New Roman" w:hAnsi="Times New Roman" w:cs="Times New Roman"/>
          <w:kern w:val="0"/>
          <w:sz w:val="24"/>
          <w:szCs w:val="24"/>
          <w:lang w:eastAsia="tr-TR"/>
          <w14:ligatures w14:val="none"/>
        </w:rPr>
        <w:t/>
      </w:r>
      <w:r w:rsidR="007A383B" w:rsidRPr="007A383B">
        <w:rPr>
          <w:rFonts w:ascii="Times New Roman" w:eastAsia="Times New Roman" w:hAnsi="Times New Roman" w:cs="Times New Roman"/>
          <w:kern w:val="0"/>
          <w:sz w:val="24"/>
          <w:szCs w:val="24"/>
          <w:lang w:eastAsia="tr-TR"/>
          <w14:ligatures w14:val="none"/>
        </w:rPr>
        <w:t xml:space="preserve"/>
      </w:r>
      <w:r w:rsidR="007A383B">
        <w:rPr>
          <w:rFonts w:ascii="Times New Roman" w:eastAsia="Times New Roman" w:hAnsi="Times New Roman" w:cs="Times New Roman"/>
          <w:kern w:val="0"/>
          <w:sz w:val="24"/>
          <w:szCs w:val="24"/>
          <w:lang w:eastAsia="tr-TR"/>
          <w14:ligatures w14:val="none"/>
        </w:rPr>
        <w:t/>
      </w:r>
      <w:r w:rsidRPr="007A383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eder. Bu tespit, resm rivâyetlerinin mushaf yazım biçimlerini ve okuyuşların yazılı mushaf geleneğiyle ilişkisini değerlendirmede tamamlayıcı bir veri alanı olduğunu gösterir.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resm ile kırâat arasındaki ilişkinin teorik bir irtibat olmaktan öte, doğrudan rivâyet malzemesinin yapısına işlemiş olduğu anlaşılır.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gösterir. Resm kaynaklarında bazı yazım biçimlerine hikmet veya anlam ilişkisi yükleyen açıklamalar bulunur.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Dânî’nin, emsâr mushaflarında farklılık gösteren harflerin tamamının Hz. Osman’ın yazdırdığı İmam Mushaftan istinsah edilen nüshalarda bulunduğunu ve hepsinin Allah’ın kelâmı olduğunu söylemesi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gösterir.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kern w:val="0"/>
          <w:sz w:val="24"/>
          <w:szCs w:val="24"/>
          <w:lang w:eastAsia="tr-TR"/>
          <w14:ligatures w14:val="none"/>
        </w:rPr>
        <w:t/>
      </w:r>
      <w:r w:rsidR="009B3EC0" w:rsidRPr="009B3EC0">
        <w:rPr>
          <w:rFonts w:ascii="Times New Roman" w:eastAsia="Times New Roman" w:hAnsi="Times New Roman" w:cs="Times New Roman"/>
          <w:kern w:val="0"/>
          <w:sz w:val="24"/>
          <w:szCs w:val="24"/>
          <w:lang w:eastAsia="tr-TR"/>
          <w14:ligatures w14:val="none"/>
        </w:rPr>
        <w:t xml:space="preserve"/>
      </w:r>
      <w:r w:rsidR="009B3EC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anlaşılır. Şehir mushaflarına nispet edilen yazım farklılıkları, yalnız şekilsel ayrılıklar olarak ele alınmaz;</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kırâat vecihlerinin nakli ve temellendirilmesinde işlev gören canlı bir rivâyet alanı oluşturduğunu ortaya koyar.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için temel kaynak malzemesi sağlar.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kern w:val="0"/>
          <w:sz w:val="24"/>
          <w:szCs w:val="24"/>
          <w:lang w:eastAsia="tr-TR"/>
          <w14:ligatures w14:val="none"/>
        </w:rPr>
        <w:t/>
      </w:r>
      <w:r w:rsidR="00EB5050" w:rsidRPr="00EB5050">
        <w:rPr>
          <w:rFonts w:ascii="Times New Roman" w:eastAsia="Times New Roman" w:hAnsi="Times New Roman" w:cs="Times New Roman"/>
          <w:kern w:val="0"/>
          <w:sz w:val="24"/>
          <w:szCs w:val="24"/>
          <w:lang w:eastAsia="tr-TR"/>
          <w14:ligatures w14:val="none"/>
        </w:rPr>
        <w:t xml:space="preserve"/>
      </w:r>
      <w:r w:rsidR="00EB5050" w:rsidRPr="00793B2A">
        <w:rPr>
          <w:rFonts w:ascii="Times New Roman" w:eastAsia="Times New Roman" w:hAnsi="Times New Roman" w:cs="Times New Roman"/>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Sehâvî</w:t>
      </w:r>
      <w:r w:rsidRPr="00C9186B">
        <w:rPr>
          <w:rFonts w:ascii="Times New Roman" w:eastAsia="Times New Roman" w:hAnsi="Times New Roman" w:cs="Times New Roman"/>
          <w:kern w:val="0"/>
          <w:sz w:val="24"/>
          <w:szCs w:val="24"/>
          <w:lang w:eastAsia="tr-TR"/>
          <w14:ligatures w14:val="none"/>
        </w:rPr>
        <w:t/>
      </w:r>
      <w:r w:rsidR="00C9186B" w:rsidRPr="00C9186B">
        <w:rPr>
          <w:rFonts w:ascii="Times New Roman" w:eastAsia="Times New Roman" w:hAnsi="Times New Roman" w:cs="Times New Roman"/>
          <w:kern w:val="0"/>
          <w:sz w:val="24"/>
          <w:szCs w:val="24"/>
          <w:lang w:eastAsia="tr-TR"/>
          <w14:ligatures w14:val="none"/>
        </w:rPr>
        <w:t xml:space="preserve"/>
      </w:r>
      <w:r w:rsidR="00C9186B" w:rsidRPr="00793B2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görülür.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bulunur.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sz w:val="24"/>
          <w:szCs w:val="24"/>
        </w:rPr>
        <w:t>değerlendirilebilir</w:t>
      </w:r>
      <w:r w:rsidR="00A515FF" w:rsidRPr="009C5791">
        <w:rPr>
          <w:rFonts w:asciiTheme="majorBidi" w:hAnsiTheme="majorBidi" w:cstheme="majorBidi"/>
          <w:b/>
          <w:bCs/>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anlaşılır.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Dânî’nin yardımcı işaretlere ilişkin tavrı, sonradan eklenen işaretlerde bile asıl yazı biçiminin korunmasının esas alındığını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anlaşılır. Müstensih uygulamaları, sonraki dönemlerde mushaf yazımında iki eğilimin yan yana bulunduğunu gösterir: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neşirlerde resm-i Osmânî’nin esas alınması, klasik resm rivâyetlerinin modern üretim süreçlerine aktarılmasıyla ilişkilidir.</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yoğun bir yazı faaliyeti içinde sürdüğünü ve bu süreçte yazım farklılıklarının neden bütünüyle önlenemediğini açıklamaya katkı sağlar.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Dânî ve Ebû Dâvud’un eserlerinin başvuru kaynağı olarak kullanılması, çağdaş mushaf neşrinde resm-i Osmânî’nin klasik rivâyet kaynaklarına dayalı bir yöntemle sürdürüldüğünü</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93E9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kendisi, Medine ve Irak ehline ait eski mushafları takip ettiğini </w:t>
      </w:r>
      <w:r w:rsidRPr="001D654A">
        <w:rPr>
          <w:rFonts w:ascii="Times New Roman" w:eastAsia="Times New Roman" w:hAnsi="Times New Roman" w:cs="Times New Roman"/>
          <w:kern w:val="0"/>
          <w:sz w:val="24"/>
          <w:szCs w:val="24"/>
          <w:lang w:eastAsia="tr-TR"/>
          <w14:ligatures w14:val="none"/>
        </w:rPr>
        <w:t>açıkça ifade eder.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öne çıkan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Mısır mushaf heyetinin Ebû Dâvud’un görüşlerini tercih etmesi, Muhtaṣaru’t-Tebyîn’in mushaf yazımını yönlendiren bir başvuru metni olarak kullanıldığını</w:t>
      </w:r>
      <w:r w:rsidR="00F42596" w:rsidRPr="00F42596">
        <w:rPr>
          <w:rFonts w:ascii="Times New Roman" w:eastAsia="Times New Roman" w:hAnsi="Times New Roman" w:cs="Times New Roman"/>
          <w:i/>
          <w:iCs/>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gösterir.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oluşturur.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Belirli rivâyetlere göre zapt edilen mushafların yaygınlaşması, kırâatlerin coğrafi dolaşımına katkıda bulunduğunu</w:t>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Belirli bir rivâyete göre zapt edilen mushafların yaygınlaşması, o rivâyetin daha geniş okuyucu çevrelerine ulaşmasına katkıda bulunmuştur. Bölgesel öğretim gelenekleri, eğitim kurumları, resmî neşir tercihleri ve mevcut kırâat geleneği de bu dolaşımın biçimlenmesinde etkilidir.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gösterir.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belirtir. Ona göre bu genel kabul bazen Medine ve Kûfe ehlinin üzerinde birleştiği okuyuşu, bazen de Haremeyn (Mekke- Medine) halkının benimsediği rivâyeti ifade eder. Hatta zaman zaman tercih ölçüsünün doğrudan Nâfiʿ ve Âsım kırâatleri etrafında şekillendiği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belirli kırâat rivâyetleri etrafında yoğunlaşmasını açıklamaya katkı sağlar.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görülür. Ebü’l-Fadl el-Huzâʿî (</w:t>
      </w:r>
      <w:r w:rsidRPr="005A2E72">
        <w:rPr>
          <w:rFonts w:ascii="Times New Roman" w:eastAsia="Times New Roman" w:hAnsi="Times New Roman" w:cs="Times New Roman"/>
          <w:kern w:val="0"/>
          <w:sz w:val="24"/>
          <w:szCs w:val="24"/>
          <w:lang w:eastAsia="tr-TR"/>
          <w14:ligatures w14:val="none"/>
        </w:rPr>
        <w:t>ö. 408/1017</w:t>
      </w:r>
      <w:r w:rsidR="005A2E72" w:rsidRPr="005A2E72">
        <w:rPr>
          <w:rFonts w:ascii="Times New Roman" w:eastAsia="Times New Roman" w:hAnsi="Times New Roman" w:cs="Times New Roman"/>
          <w:kern w:val="0"/>
          <w:sz w:val="24"/>
          <w:szCs w:val="24"/>
          <w:lang w:eastAsia="tr-TR"/>
          <w14:ligatures w14:val="none"/>
        </w:rPr>
        <w:t xml:space="preserve"> </w:t>
      </w:r>
      <w:r w:rsidR="005A2E72">
        <w:rPr>
          <w:rFonts w:ascii="Times New Roman" w:eastAsia="Times New Roman" w:hAnsi="Times New Roman" w:cs="Times New Roman"/>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anlaşılır.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aktarılır. Aynı şekilde matbu kitapların ilk dönemlerde halk nezdinde de rağbet görmediği, insanların bu eserleri satın almaya yanaşmadığı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Tashih ve denetim uygulamaları,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gösterir.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koyar. Aynı şekilde Hindistan’da yapılan baskılar da, mushaf basımının giderek İslâm toplumlarının kendi ilmî denetim ve neşir tecrübesi içine taşındığını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kern w:val="0"/>
          <w:sz w:val="24"/>
          <w:szCs w:val="24"/>
          <w:rtl/>
          <w:lang w:eastAsia="tr-TR"/>
          <w14:ligatures w14:val="none"/>
        </w:rPr>
      </w:pPr>
      <w:r w:rsidRPr="002B6A7B">
        <w:rPr>
          <w:rFonts w:asciiTheme="majorBidi" w:hAnsiTheme="majorBidi" w:cstheme="majorBidi"/>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sz w:val="24"/>
          <w:szCs w:val="24"/>
        </w:rPr>
        <w:t>Kur’an</w:t>
      </w:r>
      <w:r w:rsidRPr="002B6A7B">
        <w:rPr>
          <w:rFonts w:asciiTheme="majorBidi" w:hAnsiTheme="majorBidi" w:cstheme="majorBidi"/>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sz w:val="24"/>
          <w:szCs w:val="24"/>
        </w:rPr>
        <w:t>an kararın ardından 1874’te</w:t>
      </w:r>
      <w:r w:rsidRPr="002B6A7B">
        <w:rPr>
          <w:rFonts w:asciiTheme="majorBidi" w:hAnsiTheme="majorBidi" w:cstheme="majorBidi"/>
          <w:sz w:val="24"/>
          <w:szCs w:val="24"/>
        </w:rPr>
        <w:t xml:space="preserve"> Maarif Nezâreti'nin denetiminde ilk resmî Osmanlı mushafı basılmıştır. Matbaanın Osmanlı'daki kabul süreci, mushaf basımına izin verilmesinin</w:t>
      </w:r>
      <w:r w:rsidRPr="002B6A7B">
        <w:rPr>
          <w:rFonts w:asciiTheme="majorBidi" w:hAnsiTheme="majorBidi" w:cstheme="majorBidi"/>
          <w:sz w:val="24"/>
          <w:szCs w:val="24"/>
        </w:rPr>
        <w:lastRenderedPageBreak/>
        <w:t> aynı dönemde ve aynı ölçüde gerçekleşmediğini; mushaf neşrinin diğer matbu eserlerden ayrı değerlendirildiğini gösterir.</w:t>
      </w:r>
      <w:r w:rsidR="005453AE">
        <w:rPr>
          <w:rStyle w:val="DipnotBavurusu"/>
          <w:rFonts w:asciiTheme="majorBidi" w:hAnsiTheme="majorBidi" w:cstheme="majorBidi"/>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Diyanet denetimi, Türkiye’de mushaf basımının teknik üretimin yanında ilmî ve dinî denetime tâbi olduğunu</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gösterir</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Türkiye’deki mushaf basım düzeni;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görülür.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Mevcut veriler Osmânî istinsahı, mevcut sahifeler esas alınarak ortak başvuru mushaflarının çoğaltıldığı ve şahsî nüshalardan doğabilecek ihtilafların sınırlandırılmasına yönelik bir tedbir olarak sunar.</w:t>
      </w:r>
      <w:r w:rsidR="00925F21">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302B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ile bütün yazım ayrıntılarının tevkîfî olduğu görüşü ayrı meselelerdir. Kaynaklarda Osmânî yazım geleneğinin kökeni ve yazım ayrıntılarının mahiyeti hakkında farklı görüşler bulunur.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gösterir</w:t>
      </w:r>
      <w:r w:rsidR="00DD77AC">
        <w:rPr>
          <w:rFonts w:ascii="Times New Roman" w:eastAsia="Times New Roman" w:hAnsi="Times New Roman" w:cs="Times New Roman"/>
          <w:kern w:val="0"/>
          <w:sz w:val="24"/>
          <w:szCs w:val="24"/>
          <w14:ligatures w14:val="none"/>
        </w:rPr>
        <w:t>.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pPr>
      <w:r w:rsidRPr="007047CD">
        <w:rPr>
          <w:rStyle w:val="DipnotBavurusu"/>
          <w:rFonts w:eastAsiaTheme="majorEastAsia"/>
        </w:rPr>
        <w:footnoteRef/>
      </w:r>
      <w:r w:rsidRPr="007047CD">
        <w:t xml:space="preserve"> </w:t>
      </w:r>
      <w:r w:rsidRPr="00240FAF">
        <w:rPr/>
        <w:fldChar w:fldCharType="begin"/>
      </w:r>
      <w:r w:rsidRPr="00240FAF">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fldChar w:fldCharType="separate"/>
      </w:r>
      <w:r w:rsidRPr="00240FAF">
        <w:rPr/>
        <w:t xml:space="preserve">İbn Sa’d, </w:t>
      </w:r>
      <w:r w:rsidRPr="00240FAF">
        <w:rPr>
          <w:i/>
          <w:iCs/>
        </w:rPr>
        <w:t>et-Tabakâtü’l-kübrâ</w:t>
      </w:r>
      <w:r w:rsidRPr="00240FAF">
        <w:rPr/>
        <w:t>, 3/355.</w:t>
      </w:r>
      <w:r w:rsidRPr="00240FAF">
        <w:rPr/>
        <w:fldChar w:fldCharType="end"/>
      </w:r>
      <w:r>
        <w:rPr/>
        <w:t xml:space="preserve"/>
      </w:r>
      <w:proofErr w:type="gramStart"/>
      <w:r>
        <w:rPr/>
        <w:t/>
      </w:r>
      <w:proofErr w:type="gramEnd"/>
      <w:r>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fldChar w:fldCharType="begin"/>
      </w:r>
      <w:r w:rsidRPr="007D2DD6">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fldChar w:fldCharType="separate"/>
      </w:r>
      <w:r w:rsidRPr="007D2DD6">
        <w:rPr>
          <w:i/>
          <w:iCs/>
        </w:rPr>
        <w:t>Mukaddimetân fî ulûmi’l-Kur’ân</w:t>
      </w:r>
      <w:r w:rsidRPr="007D2DD6">
        <w:rPr/>
        <w:t>, thk. Arthur Jeffery (Mektebetü’l-Hâncî, 1954), 25.</w:t>
      </w:r>
      <w:r w:rsidRPr="007D2DD6">
        <w:rPr/>
        <w:fldChar w:fldCharType="end"/>
      </w:r>
      <w:r>
        <w:rPr/>
        <w:t xml:space="preserve"/>
      </w:r>
      <w:proofErr w:type="gramStart"/>
      <w:r>
        <w:rPr/>
        <w:t/>
      </w:r>
      <w:proofErr w:type="gramEnd"/>
      <w:r>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rPr>
        <w:footnoteRef/>
      </w:r>
      <w:r w:rsidRPr="00507DBF">
        <w:rPr/>
        <w:t xml:space="preserve"> Zürkânî, </w:t>
      </w:r>
      <w:r w:rsidRPr="00507DBF">
        <w:rPr>
          <w:i/>
          <w:iCs/>
        </w:rPr>
        <w:t>Menâhilu’l-i’rfân</w:t>
      </w:r>
      <w:r w:rsidRPr="00507DBF">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