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Bu sorular birbirinden bağımsız değildir.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Kitabın hareket noktası, resm-i Osmânî’nin kırâatleri meydana getiren bağımsız bir kaynak olmadığıdır. Çalışmada kırâatin aslî dayanağı, telakki ve müşâfehe yoluyla sürdürülen, edâ ve isnadla denetlenen rivâyet geleneği olarak kabul edilmektedir.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sebeple her mushaf yazısı resm-i Osmânî olmadığı gibi, resm-i mushaf ile resm-i Osmânî de bütün bağlamlarda birbirinin yerine kullanılamaz.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w:t>
      </w:r>
      <w:r w:rsidR="006572ED">
        <w:rPr>
          <w:rFonts w:ascii="Times New Roman" w:eastAsia="Times New Roman" w:hAnsi="Times New Roman" w:cs="Times New Roman"/>
          <w:kern w:val="0"/>
          <w:sz w:val="24"/>
          <w:szCs w:val="24"/>
          <w14:ligatures w14:val="none"/>
        </w:rPr>
        <w:t>m</w:t>
      </w:r>
      <w:r w:rsidRPr="00F42596">
        <w:rPr>
          <w:rFonts w:ascii="Times New Roman" w:eastAsia="Times New Roman" w:hAnsi="Times New Roman" w:cs="Times New Roman"/>
          <w:kern w:val="0"/>
          <w:sz w:val="24"/>
          <w:szCs w:val="24"/>
          <w14:ligatures w14:val="none"/>
        </w:rPr>
        <w:t xml:space="preserve">ushaf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 dil bakımından mümkün olan her seslendirme anlamına gelmez. 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Bir kırâat imamına nispet edilen genel okuyuş sistemi, bu okuyuşun belirli bir râvi üzerinden aktarılan rivâyeti ve </w:t>
      </w:r>
      <w:r w:rsidRPr="001C509C">
        <w:rPr>
          <w:rFonts w:ascii="Times New Roman" w:eastAsia="Times New Roman" w:hAnsi="Times New Roman" w:cs="Times New Roman"/>
          <w:kern w:val="0"/>
          <w:sz w:val="24"/>
          <w:szCs w:val="24"/>
          <w14:ligatures w14:val="none"/>
        </w:rPr>
        <w:t>râviden</w:t>
      </w:r>
      <w:r w:rsidRPr="00F42596">
        <w:rPr>
          <w:rFonts w:ascii="Times New Roman" w:eastAsia="Times New Roman" w:hAnsi="Times New Roman" w:cs="Times New Roman"/>
          <w:kern w:val="0"/>
          <w:sz w:val="24"/>
          <w:szCs w:val="24"/>
          <w14:ligatures w14:val="none"/>
        </w:rPr>
        <w:t xml:space="preserve"> sonraki nakil k</w:t>
      </w:r>
      <w:r w:rsidR="00A54E9E">
        <w:rPr>
          <w:rFonts w:ascii="Times New Roman" w:eastAsia="Times New Roman" w:hAnsi="Times New Roman" w:cs="Times New Roman"/>
          <w:kern w:val="0"/>
          <w:sz w:val="24"/>
          <w:szCs w:val="24"/>
          <w14:ligatures w14:val="none"/>
        </w:rPr>
        <w:t>ollarını gösteren tarî</w:t>
      </w:r>
      <w:r w:rsidRPr="00F42596">
        <w:rPr>
          <w:rFonts w:ascii="Times New Roman" w:eastAsia="Times New Roman" w:hAnsi="Times New Roman" w:cs="Times New Roman"/>
          <w:kern w:val="0"/>
          <w:sz w:val="24"/>
          <w:szCs w:val="24"/>
          <w14:ligatures w14:val="none"/>
        </w:rPr>
        <w:t>klerle aynı düzeyde değildir. Vecih i</w:t>
      </w:r>
      <w:r w:rsidR="00F2676C">
        <w:rPr>
          <w:rFonts w:ascii="Times New Roman" w:eastAsia="Times New Roman" w:hAnsi="Times New Roman" w:cs="Times New Roman"/>
          <w:kern w:val="0"/>
          <w:sz w:val="24"/>
          <w:szCs w:val="24"/>
          <w14:ligatures w14:val="none"/>
        </w:rPr>
        <w:t>se belirli bir rivâyet veya tarî</w:t>
      </w:r>
      <w:r w:rsidRPr="00F42596">
        <w:rPr>
          <w:rFonts w:ascii="Times New Roman" w:eastAsia="Times New Roman" w:hAnsi="Times New Roman" w:cs="Times New Roman"/>
          <w:kern w:val="0"/>
          <w:sz w:val="24"/>
          <w:szCs w:val="24"/>
          <w14:ligatures w14:val="none"/>
        </w:rPr>
        <w:t xml:space="preserve">k içinde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bakımından c</w:t>
      </w:r>
      <w:r w:rsidR="00080A29">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iz görülen uygulama seçeneğini belirtir.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her durumda harflerin okuyuşu birebir göstermesi anlamına gelmez.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de tek bir ölçünün farklı dereceleri değildir. Bunlar naklin güvenilirliği, yaygınlığı, kabulü ve genel tilâvet alanındaki konumuyla ilgili farklı değerlendirme boyutlarını ifade eder. </w:t>
      </w:r>
      <w:r w:rsidRPr="006A1DC7">
        <w:rPr>
          <w:rFonts w:ascii="Times New Roman" w:eastAsia="Times New Roman" w:hAnsi="Times New Roman" w:cs="Times New Roman"/>
          <w:kern w:val="0"/>
          <w:sz w:val="24"/>
          <w:szCs w:val="24"/>
          <w14:ligatures w14:val="none"/>
        </w:rPr>
        <w:t>Şâz</w:t>
      </w:r>
      <w:r w:rsidRPr="00F42596">
        <w:rPr>
          <w:rFonts w:ascii="Times New Roman" w:eastAsia="Times New Roman" w:hAnsi="Times New Roman" w:cs="Times New Roman"/>
          <w:kern w:val="0"/>
          <w:sz w:val="24"/>
          <w:szCs w:val="24"/>
          <w14:ligatures w14:val="none"/>
        </w:rPr>
        <w:t xml:space="preserve"> bir rivâyetin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veya dilsel değeri bulunabilmesi, onun bağlayıcı bir kırâat kabul edilmesiyle aynı mesele değildir.</w:t>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 bağlayıcı kabul edilmesi, bütün yazım ayrıntılarının doğrudan vahiy tarafından belirlendiğinin tartışmasız biçimde kabul edildiği anlamına gelmez.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yalnız şekil bakımından </w:t>
      </w:r>
      <w:r w:rsidRPr="00877B83">
        <w:rPr>
          <w:rFonts w:ascii="Times New Roman" w:eastAsia="Times New Roman" w:hAnsi="Times New Roman" w:cs="Times New Roman"/>
          <w:color w:val="FF0000"/>
          <w:kern w:val="0"/>
          <w:sz w:val="24"/>
          <w:szCs w:val="24"/>
          <w14:ligatures w14:val="none"/>
        </w:rPr>
        <w:t xml:space="preserve">değil, </w:t>
      </w:r>
      <w:r w:rsidRPr="00F42596">
        <w:rPr>
          <w:rFonts w:ascii="Times New Roman" w:eastAsia="Times New Roman" w:hAnsi="Times New Roman" w:cs="Times New Roman"/>
          <w:kern w:val="0"/>
          <w:sz w:val="24"/>
          <w:szCs w:val="24"/>
          <w14:ligatures w14:val="none"/>
        </w:rPr>
        <w:t>bağdaştıkları veya dışladıkları kırâat ihtimalleri açısından ele alınmaktadır.</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’l-Kur’ân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Tarihe dair eserlerde İslâm öncesi Mekke’de yazının kullanıldığına dair başka örneklere de rastlanmaktadır. Nitekim Hz. Peygamber’in dedelerinden Kusay b. Kilâb’ın (ö. 480) Mekke’nin yönetimiyle ilgili Huzâa ile Beni Bekr arasındaki mücadelede kendisine destek çıkması amacıyla anne bir kardeşi Razâh b. Rebîa’ya bir mektup yazıp gönderdiği rivâyet edil</w:t>
      </w:r>
      <w:r w:rsidR="00741BA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gelindiğinde ise durum daha farklı bir görünüm arz etmiştir. Bu döneme ilişkin rivâyetler, vahyin yazıya geçirilmesi hususunda çok daha sistemli ve titiz bir uygulamanın bulunduğu</w:t>
      </w:r>
      <w:r w:rsidR="00207E7B">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gö</w:t>
      </w:r>
      <w:r w:rsidR="00207E7B">
        <w:rPr>
          <w:rFonts w:ascii="Times New Roman" w:eastAsia="Times New Roman" w:hAnsi="Times New Roman" w:cs="Times New Roman"/>
          <w:kern w:val="0"/>
          <w:sz w:val="24"/>
          <w:szCs w:val="24"/>
          <w:lang w:eastAsia="tr-TR"/>
          <w14:ligatures w14:val="none"/>
        </w:rPr>
        <w:t>stermektedir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Nitekim vahiy geldiğinde Hz. Peygamber’in vahiy kâtiplerinden birini çağırttığı</w:t>
      </w:r>
      <w:r w:rsidR="00501F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gelen âyet ve sûreleri bizzat yazdırdığı</w:t>
      </w:r>
      <w:r w:rsidR="00501F13">
        <w:rPr>
          <w:rFonts w:ascii="Times New Roman" w:eastAsia="Times New Roman" w:hAnsi="Times New Roman" w:cs="Times New Roman"/>
          <w:kern w:val="0"/>
          <w:sz w:val="24"/>
          <w:szCs w:val="24"/>
          <w:lang w:eastAsia="tr-TR"/>
          <w14:ligatures w14:val="none"/>
        </w:rPr>
        <w:t xml:space="preserve"> yönünde </w:t>
      </w:r>
      <w:r w:rsidRPr="00F42596">
        <w:rPr>
          <w:rFonts w:ascii="Times New Roman" w:eastAsia="Times New Roman" w:hAnsi="Times New Roman" w:cs="Times New Roman"/>
          <w:kern w:val="0"/>
          <w:sz w:val="24"/>
          <w:szCs w:val="24"/>
          <w:lang w:eastAsia="tr-TR"/>
          <w14:ligatures w14:val="none"/>
        </w:rPr>
        <w:t>çok sayıda rivâyet bulunmaktadır. Bu rivâyetler</w:t>
      </w:r>
      <w:r w:rsidR="00AE49D8">
        <w:rPr>
          <w:rFonts w:ascii="Times New Roman" w:eastAsia="Times New Roman" w:hAnsi="Times New Roman" w:cs="Times New Roman"/>
          <w:kern w:val="0"/>
          <w:sz w:val="24"/>
          <w:szCs w:val="24"/>
          <w:lang w:eastAsia="tr-TR"/>
          <w14:ligatures w14:val="none"/>
        </w:rPr>
        <w:t xml:space="preserve">den biri, </w:t>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dir. Bu rivâyetler, Medine döneminde vahyin yazıyla kaydedilmesinin düzenli bir uygulama olarak aktarıldığına işaret etmektedir.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 xml:space="preserve">mam </w:t>
      </w:r>
      <w:r w:rsidR="006572ED">
        <w:rPr>
          <w:rFonts w:ascii="Times New Roman" w:eastAsia="Times New Roman" w:hAnsi="Times New Roman" w:cs="Times New Roman"/>
          <w:kern w:val="0"/>
          <w:sz w:val="24"/>
          <w:szCs w:val="24"/>
          <w:lang w:eastAsia="tr-TR"/>
          <w14:ligatures w14:val="none"/>
        </w:rPr>
        <w:t>m</w:t>
      </w:r>
      <w:r w:rsidRPr="006572ED">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esas alınarak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w:t>
      </w:r>
      <w:r w:rsidRPr="00F42596">
        <w:rPr>
          <w:rFonts w:ascii="Times New Roman" w:eastAsia="Times New Roman" w:hAnsi="Times New Roman" w:cs="Times New Roman"/>
          <w:kern w:val="0"/>
          <w:sz w:val="24"/>
          <w:szCs w:val="24"/>
          <w:lang w:eastAsia="tr-TR"/>
          <w14:ligatures w14:val="none"/>
        </w:rPr>
        <w:t xml:space="preserve"> esas alınarak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ulûmu’l-Kur’ân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(ö. 643/1245)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-Kur’ân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bulunmaktadır.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dikkat çekici özelliklerinden biri, bazı kelimelerin yazımının rivâyetle sabit birden fazla kırâatle bağdaşabilmesidir. Bu durum yazının okuyuşu bütünüyle belirlediğini değil, belirli okuyuşların ortak harf iskeleti içinde karşılık bulabildiğini göstermektedir. Nitekim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zikredilmektedir. Bunların bir kısmı belirli şehir mushaflarına nispet edilen yazım farklarını, bir kısmı aynı harf iskeletinin birden fazla rivâyetle bağdaşmasını, bir kısmı ise belirli bir okuyuşun resmde doğrudan karşılık bulmasını göstermektedir.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görülmektedir;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bulunmaktadır.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Mârginî’nin bu açıklaması, ilgili yazım biçimini işbâ‘ ve fonetik ayrım çerçevesinde yorumlayan bir değerlendirmedir. Erken mushaf yazısının nokta ve hareke bakımından bugünkü yazıdan farklı olması, bazı kelimelerin rivâyet edilmiş farklı okuyuşlarla aynı harf iskeleti içinde bağdaşmasına imkân vermiştir. Bu grafik imkânın tek başına belirli bir mana zenginliği oluşturmak amacıyla tasarlandığını söylemek mümkün değildir. Anlam farklılıkları, rivâyetle sabit kırâatler ve bu kırâatlere ilişkin dilsel veya tefsirî değerlendirmeler üzerinden ele alınmalıdır.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Buraya kadar ele alınan örnekler, resm ile okuyuş arasındaki yazısal ve fonetik ilişkiyi göstermektedir. Klasik resm literatüründe bunun yanında bazı yazım biçimlerine mana ve hikmet açısından açıklamalar da getirilmiştir. Bu yorumların tarihsel yazım sebebiyle aynı delil düzeyinde olmadığı dikkate alınmalıdır.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Hazf ve Ziyâdeye Yüklenen Mana İlişkileri: Klasik Yorumlar ve Delil Değeri</w:t>
      </w:r>
      <w:r w:rsidR="007A64E4">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r w:rsidR="006A1DC7">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ve ziyâde örnekleri resm-i mushaf literatüründe öncelikle belirli kelimelerin yazım özellikleri olarak ele alınmaktadır. Bazı klasik müellifler bu biçimleri kelimenin anlamı, bağlamı veya belâgat özellikleriyle ilişkilendiren yorumlar geliştirmiştir. Bu açıklamalar ilgili müelliflerin yorumları olarak değer taşımakla birlikte yazım biçiminin tarihsel sebebini tek başına kanıtlamaz. Bu nedenle mana ilişkileri, kaynakların açık nispetleri ve ilgili kırâat rivâyetleri çerçevesinde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Merrâkuşî, ilgili yazım biçimlerini kelimelerin anlamlarıyla ilişkilendirerek; birinci örneği insanın şerre yönelmedeki aceleciliği, ikinciyi bâtılın süratle silinişi, üçüncüyü çağrının ve cevabının çokluğu, dördüncüyü ise zebânîlerin derhâl harekete geçişiyle açıklamaktadır. Bu değerlendirme, resmin tarihsel oluşum sebebini gösteren bağımsız bir kanıt olarak değil, klasik resm literatüründe yazım ile mana arasında kurulan yorum ilişkilerinden biri olarak ele alınmalıdır.</w:t>
      </w:r>
      <w:r w:rsidRPr="00F42596">
        <w:rPr>
          <w:rFonts w:ascii="Times New Roman" w:eastAsia="Times New Roman" w:hAnsi="Times New Roman" w:cs="Times New Roman"/>
          <w:kern w:val="0"/>
          <w:sz w:val="24"/>
          <w:szCs w:val="24"/>
          <w:lang w:eastAsia="tr-TR"/>
          <w14:ligatures w14:val="none"/>
        </w:rPr>
        <w:t/>
      </w:r>
      <w:r w:rsidR="00957463">
        <w:rPr>
          <w:rFonts w:ascii="Times New Roman" w:eastAsia="Times New Roman" w:hAnsi="Times New Roman" w:cs="Times New Roman"/>
          <w:kern w:val="0"/>
          <w:sz w:val="24"/>
          <w:szCs w:val="24"/>
          <w:lang w:eastAsia="tr-TR"/>
          <w14:ligatures w14:val="none"/>
        </w:rPr>
        <w:t/>
      </w:r>
      <w:r w:rsidR="00AE19E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15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294E">
        <w:rPr>
          <w:rFonts w:ascii="Times New Roman" w:eastAsia="Times New Roman" w:hAnsi="Times New Roman" w:cs="Times New Roman"/>
          <w:kern w:val="0"/>
          <w:sz w:val="24"/>
          <w:szCs w:val="24"/>
          <w:lang w:eastAsia="tr-TR"/>
          <w14:ligatures w14:val="none"/>
        </w:rPr>
        <w:t/>
      </w:r>
      <w:r w:rsidR="007F294E">
        <w:rPr>
          <w:rFonts w:ascii="Times New Roman" w:eastAsia="Times New Roman" w:hAnsi="Times New Roman" w:cs="Times New Roman"/>
          <w:kern w:val="0"/>
          <w:sz w:val="24"/>
          <w:szCs w:val="24"/>
          <w:lang w:eastAsia="tr-TR"/>
          <w14:ligatures w14:val="none"/>
        </w:rPr>
        <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B46E4">
        <w:rPr>
          <w:rFonts w:ascii="Times New Roman" w:eastAsia="Times New Roman" w:hAnsi="Times New Roman" w:cs="Times New Roman"/>
          <w:bCs/>
          <w:color w:val="FF0000"/>
          <w:kern w:val="0"/>
          <w:sz w:val="24"/>
          <w:szCs w:val="24"/>
          <w:lang w:eastAsia="tr-TR"/>
          <w14:ligatures w14:val="none"/>
        </w:rPr>
        <w:t/>
      </w:r>
      <w:r w:rsidR="008A7642" w:rsidRPr="00EB46E4">
        <w:rPr>
          <w:rFonts w:ascii="Times New Roman" w:eastAsia="Times New Roman" w:hAnsi="Times New Roman" w:cs="Times New Roman"/>
          <w:bCs/>
          <w:color w:val="FF0000"/>
          <w:kern w:val="0"/>
          <w:sz w:val="24"/>
          <w:szCs w:val="24"/>
          <w:lang w:eastAsia="tr-TR"/>
          <w14:ligatures w14:val="none"/>
        </w:rPr>
        <w:t/>
      </w:r>
      <w:r w:rsidRPr="0075303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bazı klasik müelliflerin mushaf yazımındaki belirli farklılıklarla anlam arasında yorum ilişkileri kurduklarını göstermektedir. Bu yorumlar, ilgili yazım biçimlerinin tarihsel sebebini zorunlu olarak açıklamaz.</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Vasl ve Fasl Yazımlarının Dilsel ve Anlamsal Yorumlarda Kullanılması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Mushaflarda bazı kelime ve edatların bitişik veya ayrı yazılması, resm-i mushafın dikkat çeken özelliklerinden biridir. Klasik kaynaklarda bu biçimler kimi zaman dilsel yapı veya anlam ilişkileriyle açıklanmıştır. Bununla birlikte vasl ve faslın tarihsel yazım sebebi ile sonraki anlamsal yorumlar aynı kanıt düzeyinde değerlendirilmemelidir.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A4E28">
        <w:rPr>
          <w:rFonts w:ascii="Times New Roman" w:eastAsia="Times New Roman" w:hAnsi="Times New Roman" w:cs="Times New Roman"/>
          <w:kern w:val="0"/>
          <w:sz w:val="24"/>
          <w:szCs w:val="24"/>
          <w:lang w:eastAsia="tr-TR"/>
          <w14:ligatures w14:val="none"/>
        </w:rPr>
        <w:t/>
      </w:r>
      <w:r w:rsidR="000A4E28"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0A4E2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Bu yorumlarda,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vasl ve fasl biçimlerinin klasik dil ve tefsîr yorumlarında anlamlandırıldığını göstermektedir. Ancak bu yorumların, ilgili yazım biçimlerinin ortaya çıkış sebebini tek başına belirlediği söylenmemelidir.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normatif gerekçeleri, ilk mushaf hattına bağlılık ve sonraki mushaf geleneğindeki süreklilik düşüncesi etrafında ele alınmıştır. Ahmed b. Hanbel’e nispet edilen Osmânî mushaf hattına muhalefeti yasaklayan söz de bu normatif çizginin örneklerinden biridir. Bu tür normatif değerlendirmeler, resmin tarihsel olarak nasıl oluştuğu sorusundan ve yazım biçimlerine sonradan yüklenen hikmet yorumlarından ayrı ele alınmalıdır.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Resmin tarihsel kökeni konusunda tevkîfîlik iddiası ile erken Arap yazısının tarihsel şartlarını öne çıkaran açıklamalar birbirinden ayrılmaktadır. Tevkîfîlik, resmin nebevî yönlendirmeyle belirlendiğini savunan bir iddia iken tarihsel açıklamalar yazım biçimlerini erken Arap yazısının gelişim şartlarıyla ilişkilendirir. Bu iki yaklaşımın delil türleri ayrı ayrı değerlendirilmelidir.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Ayrı bir yorum çizgisinde bazı âlimler, mushaf kitâbetindeki kıyasa aykırı görünen yerlerde özel hikmetler ve anlam incelikleri aramıştır.</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pasajlar, klasik yorum literatüründe resm ile mana arasında ilişki kurulduğunu göstermektedir; ancak bu yorumlar tarihsel yazım sebebiyle aynı delil düzeyinde değerlendirilmemelidir.</w:t>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Haldûn, mushaf yazımındaki bazı farklılıkları erken Arap yazısının tarihsel şartlarıyla açıklamakta ve bunlara zorunlu biçimde özel hikmetler yüklenmesine itiraz etmektedir.</w:t>
      </w:r>
      <w:r w:rsidRPr="00F42596">
        <w:rPr>
          <w:rFonts w:ascii="Times New Roman" w:eastAsiaTheme="majorEastAsia" w:hAnsi="Times New Roman" w:cs="Times New Roman"/>
          <w:kern w:val="0"/>
          <w:sz w:val="24"/>
          <w:szCs w:val="24"/>
          <w:vertAlign w:val="superscript"/>
          <w:lang w:eastAsia="tr-TR"/>
          <w14:ligatures w14:val="none"/>
        </w:rPr>
        <w:footnoteReference w:id="307"/>
      </w:r>
      <w:r>
        <w:rPr>
          <w:rFonts w:ascii="Times New Roman" w:eastAsia="Times New Roman" w:hAnsi="Times New Roman" w:cs="Times New Roman"/>
          <w:kern w:val="0"/>
          <w:sz w:val="24"/>
          <w:szCs w:val="24"/>
          <w:lang w:eastAsia="tr-TR"/>
          <w14:ligatures w14:val="none"/>
        </w:rPr>
        <w:t xml:space="preserve"> Sonraki resm literatüründe bu görüşe, resmin sahâbe uygulamasıyla nakledilmesi, mushaf geleneğindeki süreklilik ve bağlayıcılık düşüncesi üzerinden çeşitli cevaplar verilmiştir.</w:t>
      </w:r>
      <w:r w:rsidRPr="00F42596">
        <w:rPr>
          <w:rFonts w:ascii="Times New Roman" w:eastAsiaTheme="majorEastAsia" w:hAnsi="Times New Roman" w:cs="Times New Roman"/>
          <w:kern w:val="0"/>
          <w:sz w:val="24"/>
          <w:szCs w:val="24"/>
          <w:vertAlign w:val="superscript"/>
          <w:lang w:eastAsia="tr-TR"/>
          <w14:ligatures w14:val="none"/>
        </w:rPr>
        <w:footnoteReference w:id="306"/>
      </w:r>
      <w:r>
        <w:rPr>
          <w:rFonts w:ascii="Times New Roman" w:eastAsia="Times New Roman" w:hAnsi="Times New Roman" w:cs="Times New Roman"/>
          <w:kern w:val="0"/>
          <w:sz w:val="24"/>
          <w:szCs w:val="24"/>
          <w:lang w:eastAsia="tr-TR"/>
          <w14:ligatures w14:val="none"/>
        </w:rPr>
        <w:t xml:space="preserve"> Bu cevaplar, resme bağlılığın normatif gerekçelerini açıklamak bakımından önemlidir; ancak erken yazım biçimlerinin tarihsel sebebini tek başına belirleyen kanıtlar olarak değerlendirilmemelidir.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sonraki mushaf yazımındaki hükmü konusunda da farklı yaklaşımlar bulunmaktadır. Bir grup âlim Osmânî resme bağlılığı zorunlu görürken, bir kısmı öğretim ve kolaylık amacıyla çağdaş imlâdan yararlanılabileceğini, bir kısmı ise bu iki alan arasında kullanım bağlamına göre ayrım yapılabileceğini savunmuştur. Birinci görüş, mushafların yazımında resm-i Osmânî’ye bağlı kalmanın gerekli olduğunu savunmakta ve selef ile halef âlimlerinin çoğunluğu bu çizgide gösterilmektedir.</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t>Resm-i mushaf etrafındaki tartışmalar başlıca üç düzeyde ele alınabilir: resmin tarihsel kökeni ve tevkîfîliği; sonraki mushaf geleneğindeki bağlayıcılığı; yazım özelliklerine yüklenen dilsel, anlamsal veya hikmet merkezli yorumlar. Bu düzeyler birbirine temas etmekle birlikte aynı delil ve değerlendirme alanına ait değildir.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Osmânî’ye Bağlılığın Gerekçeleri ve Sınırları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İslâm toplumunda müşterek mushaf geleneğinin temelini oluşturması, bu yazım biçiminin sonraki mushaflarda korunmasına güçlü bir tarihsel ve normatif zemin sağlamıştır. Resme bağlılık, Kur’an’ın sözlü rivâyet geleneğini ikame eden bağımsız bir koruma mekanizması olarak değil, telakki ve isnadla aktarılan metnin müşterek yazılı çerçevesini sürdürme çabası olarak anlaşılmalıdır.</w:t>
      </w:r>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E139F53" w14:textId="4B923733"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6" w:name="_Toc235035701"/>
      <w:r w:rsidRPr="00F42596">
        <w:t>Bu normatif çizgiye, ilk mushaf hattının nebevî dönemle ve ümmet hafızasıyla kurduğu tarihî bağa ilişkin yorumlar da eklenmiştir.</w:t>
      </w:r>
      <w:r w:rsidR="00875C7B">
        <w:t xml:space="preserve"/>
      </w:r>
      <w:r w:rsidRPr="00F42596">
        <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1B8B4F42" w14:textId="50573D51"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7" w:name="_Toc235035702"/>
      <w:r w:rsidRPr="00F42596">
        <w:t xml:space="preserve">Bağlılık gerekçelerinin bir diğer kısmı, ilk neslin ilmî ve rivâyet otoritesine duyulan güven etrafında kurulmuştur.</w:t>
      </w:r>
      <w:r w:rsidRPr="00080A29">
        <w:t/>
      </w:r>
      <w:r w:rsidRPr="00F42596">
        <w:t xml:space="preserve"/>
      </w:r>
      <w:r w:rsidR="00AC4F69">
        <w:t/>
      </w:r>
      <w:r w:rsidRPr="00F42596">
        <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22B85827" w14:textId="51C9337E" w:rsidR="00F42596" w:rsidRPr="00F42596" w:rsidRDefault="00925F21"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8" w:name="_Toc235035703"/>
      <w:r>
        <w:t>Kur’an’ın okunma biçiminin yalnız yazıdan çıkarılmadığı, telakki ve müşâfehe yoluyla aktarıldığı hususu bu tartışmanın ilmî boyutunu oluşturur.</w:t>
      </w:r>
      <w:r w:rsidR="00F42596" w:rsidRPr="00F42596">
        <w:t xml:space="preserve"/>
      </w:r>
      <w:r w:rsidR="00F42596" w:rsidRPr="00AD2F5F">
        <w:t/>
      </w:r>
      <w:r w:rsidR="00F42596" w:rsidRPr="00F42596">
        <w:t xml:space="preserve"/>
      </w:r>
      <w:r w:rsidR="003C613A">
        <w:t/>
      </w:r>
      <w:r w:rsidR="00F42596" w:rsidRPr="00F42596">
        <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ulûmu’l-Kur’ân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Kur’an'ın edâya ilişkin ayrıntıları tarih boyunca yalnız yazıdan çıkarılmamış; telakki, müşâfehe ve isnad yoluyla aktarılmıştır. Mushaf yazısı bu sözlü öğretim geleneğinin yerine geçmemiş, rivâyet edilen okuyuşların müşterek yazılı çerçevesini sağlamıştır.</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B35BC4">
        <w:rPr>
          <w:rFonts w:ascii="Times New Roman" w:eastAsia="Times New Roman" w:hAnsi="Times New Roman" w:cs="Times New Roman"/>
          <w:kern w:val="0"/>
          <w:sz w:val="24"/>
          <w:szCs w:val="24"/>
          <w:lang w:eastAsia="tr-TR"/>
          <w14:ligatures w14:val="none"/>
        </w:rPr>
        <w:t/>
      </w:r>
      <w:r w:rsidR="00B35BC4" w:rsidRPr="00567795">
        <w:rPr>
          <w:rFonts w:ascii="Times New Roman" w:eastAsia="Times New Roman" w:hAnsi="Times New Roman" w:cs="Times New Roman"/>
          <w:kern w:val="0"/>
          <w:sz w:val="24"/>
          <w:szCs w:val="24"/>
          <w:lang w:eastAsia="tr-TR"/>
          <w14:ligatures w14:val="none"/>
        </w:rPr>
        <w:t/>
      </w:r>
      <w:r w:rsidR="00F42596" w:rsidRP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E3E8D">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331CF7">
        <w:rPr>
          <w:rFonts w:ascii="Times New Roman" w:eastAsia="Times New Roman" w:hAnsi="Times New Roman" w:cs="Times New Roman"/>
          <w:kern w:val="0"/>
          <w:sz w:val="24"/>
          <w:szCs w:val="24"/>
          <w:lang w:eastAsia="tr-TR"/>
          <w14:ligatures w14:val="none"/>
        </w:rPr>
        <w:t/>
      </w:r>
      <w:r w:rsidR="00331CF7">
        <w:rPr>
          <w:rFonts w:ascii="Times New Roman" w:eastAsia="Times New Roman" w:hAnsi="Times New Roman" w:cs="Times New Roman"/>
          <w:kern w:val="0"/>
          <w:sz w:val="24"/>
          <w:szCs w:val="24"/>
          <w:lang w:eastAsia="tr-TR"/>
          <w14:ligatures w14:val="none"/>
        </w:rPr>
        <w:t/>
      </w:r>
      <w:r w:rsidR="00F42596" w:rsidRPr="00331CF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4504FC">
        <w:rPr>
          <w:rFonts w:ascii="Times New Roman" w:eastAsia="Times New Roman" w:hAnsi="Times New Roman" w:cs="Times New Roman"/>
          <w:kern w:val="0"/>
          <w:sz w:val="24"/>
          <w:szCs w:val="24"/>
          <w:lang w:eastAsia="tr-TR"/>
          <w14:ligatures w14:val="none"/>
        </w:rPr>
        <w:t xml:space="preserve"/>
      </w:r>
      <w:r w:rsidR="004504FC" w:rsidRPr="004504FC">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6F5760">
        <w:rPr>
          <w:rFonts w:asciiTheme="majorBidi" w:hAnsiTheme="majorBidi" w:cstheme="majorBidi"/>
          <w:color w:val="FF0000"/>
          <w:sz w:val="24"/>
          <w:szCs w:val="24"/>
        </w:rPr>
        <w:t xml:space="preserve"/>
      </w:r>
      <w:r>
        <w:rPr>
          <w:rFonts w:asciiTheme="majorBidi" w:hAnsiTheme="majorBidi" w:cstheme="majorBidi"/>
          <w:color w:val="FF0000"/>
          <w:sz w:val="24"/>
          <w:szCs w:val="24"/>
        </w:rPr>
        <w:t/>
      </w:r>
      <w:r w:rsidR="006F5760" w:rsidRPr="006F5760">
        <w:rPr>
          <w:rFonts w:asciiTheme="majorBidi" w:hAnsiTheme="majorBidi" w:cstheme="majorBidi"/>
          <w:color w:val="FF0000"/>
          <w:sz w:val="24"/>
          <w:szCs w:val="24"/>
        </w:rPr>
        <w:t/>
      </w:r>
      <w:r w:rsidR="006F5760">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w:r>
      <w:r w:rsid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972BAD">
        <w:rPr>
          <w:rFonts w:asciiTheme="majorBidi" w:hAnsiTheme="majorBidi" w:cstheme="majorBidi"/>
          <w:color w:val="FF0000"/>
          <w:sz w:val="24"/>
          <w:szCs w:val="24"/>
        </w:rPr>
        <w:t xml:space="preserve"/>
      </w:r>
      <w:r w:rsidR="00F42596"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lastRenderedPageBreak/>
        <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9E61AB">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72BAD">
        <w:rPr>
          <w:rFonts w:ascii="Times New Roman" w:eastAsia="Times New Roman" w:hAnsi="Times New Roman" w:cs="Times New Roman"/>
          <w:kern w:val="0"/>
          <w:sz w:val="24"/>
          <w:szCs w:val="24"/>
          <w:lang w:eastAsia="tr-TR"/>
          <w14:ligatures w14:val="none"/>
        </w:rPr>
        <w:t xml:space="preserve"/>
      </w:r>
      <w:r w:rsidR="00972BAD" w:rsidRPr="00972BAD">
        <w:rPr>
          <w:rFonts w:ascii="Times New Roman" w:eastAsia="Times New Roman" w:hAnsi="Times New Roman" w:cs="Times New Roman"/>
          <w:color w:val="000000" w:themeColor="text1"/>
          <w:kern w:val="0"/>
          <w:sz w:val="24"/>
          <w:szCs w:val="24"/>
          <w:lang w:eastAsia="tr-TR"/>
          <w14:ligatures w14:val="none"/>
        </w:rPr>
        <w:t/>
      </w:r>
    </w:p>
    <w:p w14:paraId="32552768" w14:textId="77777777"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39" w:name="_Toc235035704"/>
      <w:r w:rsidRPr="00F42596">
        <w:t>Mushaf yazımının tarihsel sürekliliği ve resm literatürünün korunması da bağlılığın ilmî gerekçeleri arasında zikredilmiştir.</w:t>
      </w:r>
      <w:bookmarkEnd w:id="39"/>
    </w:p>
    <w:p w14:paraId="07D59AD9" w14:textId="50D438E1" w:rsidR="00F42596" w:rsidRPr="00F42596" w:rsidRDefault="00F42596" w:rsidP="00D65E2D">
      <w:pPr>
        <w:pStyle w:val="Normal"/>
        <w:spacing w:after="0" w:line="276" w:lineRule="auto"/>
        <w:rPr>
          <w:rFonts w:ascii="Times New Roman" w:eastAsia="Times New Roman" w:hAnsi="Times New Roman" w:cs="Times New Roman"/>
          <w:kern w:val="0"/>
          <w:sz w:val="24"/>
          <w:szCs w:val="24"/>
          <w:rtl/>
          <w:lang w:eastAsia="tr-TR"/>
          <w14:ligatures w14:val="none"/>
        </w:rPr>
      </w:pPr>
      <w:r w:rsidRPr="00187FC3">
        <w:t xml:space="preserve">Bazı resm kaynaklarında, 1960'lı yıllarda Afrika ülkelerinde tahrif edilmiş mushafların dağıtıldığına dair Mısır basınında iddialar yayımlandığı aktarılmaktadır. Ancak bu çalışmada söz konusu haberlerin dayandırıldığı gazete nüshaları doğrudan doğrulanamadığından, olayın ayrıntıları kesin tarihsel veri olarak kullanılmamalıdır.</w:t>
      </w:r>
      <w:r w:rsidRPr="00F42596">
        <w:t xml:space="preserve"/>
      </w:r>
      <w:r w:rsidR="00925F21">
        <w:t/>
      </w:r>
      <w:r w:rsidRPr="00F42596">
        <w:t xml:space="preserve"/>
      </w:r>
      <w:r w:rsidRPr="00567795">
        <w:t/>
      </w:r>
      <w:r w:rsidRPr="00F42596">
        <w:t xml:space="preserve"/>
      </w:r>
      <w:r w:rsidR="00925F21">
        <w:t/>
      </w:r>
      <w:r w:rsidRPr="00F42596">
        <w:t xml:space="preserve"/>
      </w:r>
      <w:r w:rsidRPr="00966AB5">
        <w:t/>
      </w:r>
      <w:r w:rsidRPr="00F42596">
        <w:t xml:space="preserve"/>
      </w:r>
      <w:r w:rsidRPr="005A799E">
        <w:t/>
      </w:r>
      <w:r w:rsidR="005A799E">
        <w:t/>
      </w:r>
      <w:r w:rsidRPr="005A799E">
        <w:t/>
      </w:r>
      <w:r w:rsidRPr="00F42596">
        <w:t xml:space="preserve"/>
      </w:r>
      <w:r w:rsidR="00925F21">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t xml:space="preserve"/>
      </w:r>
      <w:r w:rsidR="00187FC3">
        <w:t/>
      </w:r>
      <w:r w:rsidRPr="00F42596">
        <w:t/>
      </w:r>
      <w:r w:rsidR="003C613A">
        <w:t xml:space="preserve"/>
      </w:r>
      <w:r w:rsidRPr="00F42596">
        <w:t xml:space="preserve"/>
      </w:r>
      <w:r w:rsidR="00D65E2D">
        <w:t xml:space="preserve"/>
      </w:r>
      <w:r w:rsidR="00A43DA2" w:rsidRPr="00A43DA2">
        <w:t/>
      </w:r>
      <w:r w:rsidR="00A43DA2">
        <w:t xml:space="preserve"/>
      </w:r>
      <w:r w:rsidRPr="00F42596">
        <w:t/>
      </w:r>
      <w:r w:rsidR="001F3FD4" w:rsidRPr="001F3FD4">
        <w:t xml:space="preserve"/>
      </w:r>
      <w:r w:rsidR="001F3FD4">
        <w:t/>
      </w:r>
      <w:r w:rsidR="001F3FD4" w:rsidRPr="001F3FD4">
        <w:t/>
      </w:r>
      <w:r w:rsidRPr="00F42596">
        <w:t/>
      </w:r>
      <w:r w:rsidR="001F3FD4">
        <w:t xml:space="preserve"/>
      </w:r>
      <w:r w:rsidRPr="00F42596">
        <w:t/>
      </w:r>
    </w:p>
    <w:p w14:paraId="28A2370C" w14:textId="3D62B76B"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Bu nedenle ayrıntılar, olayın doğrulanmış unsurları olarak değil, ilgili kaynakların aktardığı iddiaların kapsamını göstermek üzere sınırlı biçimde anılmaktadır.</w:t>
      </w:r>
      <w:r w:rsidRPr="00F42596">
        <w:rPr>
          <w:rFonts w:ascii="Times New Roman" w:eastAsia="Times New Roman" w:hAnsi="Times New Roman" w:cs="Times New Roman"/>
          <w:kern w:val="0"/>
          <w:sz w:val="24"/>
          <w:szCs w:val="24"/>
          <w:rtl/>
          <w:lang w:eastAsia="tr-TR"/>
          <w14:ligatures w14:val="none"/>
        </w:rPr>
        <w:t/>
      </w:r>
      <w:r w:rsidRPr="00F42596">
        <w:t xml:space="preserve"/>
      </w:r>
      <w:r w:rsidR="00925F21">
        <w:t/>
      </w:r>
      <w:r w:rsidRPr="00F42596">
        <w:t/>
      </w:r>
    </w:p>
    <w:p w14:paraId="72269462" w14:textId="32F435EC"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İlgili kaynakta bazı âyetlerden lafız çıkarıldığına dair örnekler aktarılmaktadır; bu ayrıntılar burada doğrulanmış vaka olarak değil, kaynağın naklettiği iddialar olarak kaydedilmektedir.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t xml:space="preserve"/>
      </w:r>
      <w:r w:rsidRPr="00567795">
        <w:t/>
      </w:r>
      <w:r w:rsidR="00187FC3" w:rsidRPr="00567795">
        <w:t xml:space="preserve"/>
      </w:r>
      <w:r w:rsidRPr="00F42596">
        <w:t xml:space="preserve"/>
      </w:r>
      <w:r w:rsidR="00187FC3" w:rsidRPr="00567795">
        <w:t/>
      </w:r>
      <w:r w:rsidRPr="00F42596">
        <w:t/>
      </w:r>
      <w:r w:rsidR="00187FC3">
        <w:t/>
      </w:r>
      <w:r w:rsidRPr="00F42596">
        <w:t xml:space="preserve"/>
      </w:r>
      <w:r w:rsidR="00187FC3">
        <w:t/>
      </w:r>
      <w:r w:rsidRPr="00F42596">
        <w:t/>
      </w:r>
      <w:r w:rsidR="00187FC3">
        <w:t/>
      </w:r>
      <w:r w:rsidRPr="00F42596">
        <w:t xml:space="preserve"/>
      </w:r>
      <w:r w:rsidRPr="00567795">
        <w:t/>
      </w:r>
      <w:r w:rsidR="00187FC3">
        <w:t/>
      </w:r>
      <w:r w:rsidRPr="00F42596">
        <w:t xml:space="preserve"/>
      </w:r>
      <w:r w:rsidRPr="00F42596">
        <w:rPr>
          <w:rFonts w:ascii="Times New Roman" w:eastAsia="Times New Roman" w:hAnsi="Times New Roman" w:cs="Times New Roman"/>
          <w:kern w:val="0"/>
          <w:sz w:val="24"/>
          <w:szCs w:val="24"/>
          <w:rtl/>
          <w:lang w:eastAsia="tr-TR"/>
          <w14:ligatures w14:val="none"/>
        </w:rPr>
        <w:t/>
      </w:r>
      <w:r w:rsidRPr="00F42596">
        <w:t/>
      </w:r>
    </w:p>
    <w:p w14:paraId="4D176950" w14:textId="5DC56551"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Aynı anlatıda başka lafız çıkarma örnekleri de zikredilmektedir; bunlar bağımsız biçimde doğrulanamadığından kesin tarihsel veri olarak kullanılmamaktadır.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t xml:space="preserve"/>
      </w:r>
      <w:r w:rsidRPr="00F42596">
        <w:t/>
      </w:r>
      <w:r w:rsidRPr="00F42596">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163009B1" w14:textId="78CCB24F"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Kaynak ayrıca bazı lafızların başka lafızlarla değiştirildiğini ileri sürmektedir; bu ayrıntı da doğrudan doğrulanmış bir olgu olarak benimsenmemektedir.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t xml:space="preserve"/>
      </w:r>
      <w:r w:rsidRPr="00F42596">
        <w:t/>
      </w:r>
      <w:r w:rsidRPr="00F42596">
        <w:t xml:space="preserve"/>
      </w:r>
      <w:r w:rsidR="00187FC3" w:rsidRPr="00F42596">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656FFC20" w14:textId="66C7EA5C"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lastRenderedPageBreak/>
        <w:t xml:space="preserve">Filistin'deki bazı okul mushaflarına ilişkin çıkarma iddiaları da aynı anlatı içinde yer almaktadır; dayanak malzeme doğrudan doğrulanamadığından bu aktarım ihtiyatla değerlendirilmelidir.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t xml:space="preserve"/>
      </w:r>
      <w:r w:rsidRPr="00F42596">
        <w:t/>
      </w:r>
      <w:r w:rsidRPr="00F42596">
        <w:t xml:space="preserve"/>
      </w:r>
      <w:r w:rsidR="00FB04CB">
        <w:t/>
      </w:r>
      <w:r w:rsidRPr="00FB04CB">
        <w:t/>
      </w:r>
      <w:r w:rsidRPr="00F42596">
        <w:t xml:space="preserve"/>
      </w:r>
      <w:r w:rsidRPr="00F42596">
        <w:t/>
      </w:r>
    </w:p>
    <w:p w14:paraId="1428446D" w14:textId="1E76ADE1"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t xml:space="preserve">Aynı kaynak grubunda ikinci bir âyetin de okutulmadığı ileri sürülmektedir; dayandırıldığı basın nüshası doğrudan doğrulanmadığından ayrıntı kesin tarihsel veri sayılmamalıdır.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t xml:space="preserve"/>
      </w:r>
      <w:r w:rsidRPr="00F42596">
        <w:t/>
      </w:r>
      <w:r w:rsidRPr="00F42596">
        <w:t/>
      </w:r>
    </w:p>
    <w:p w14:paraId="67D5B32E" w14:textId="4F811B1A" w:rsidR="00F42596" w:rsidRPr="00F42596" w:rsidRDefault="00F42596" w:rsidP="00F42596">
      <w:pPr>
        <w:pStyle w:val="Normal"/>
        <w:spacing w:after="0" w:line="276" w:lineRule="auto"/>
        <w:rPr>
          <w:rFonts w:ascii="Times New Roman" w:eastAsia="Times New Roman" w:hAnsi="Times New Roman" w:cs="Times New Roman"/>
          <w:b/>
          <w:bCs/>
          <w:kern w:val="0"/>
          <w:sz w:val="24"/>
          <w:szCs w:val="24"/>
          <w:lang w:eastAsia="tr-TR"/>
          <w14:ligatures w14:val="none"/>
        </w:rPr>
      </w:pPr>
      <w:r w:rsidRPr="00F42596">
        <w:t xml:space="preserve">Kaynak, söz konusu iddialara karşı bazı resmî ve dinî çevrelerin tepki gösterdiğini de aktarmaktadır. Bununla birlikte failin amacı hakkında hüküm kuran açıklamalar doğrulanmış olgu olarak kullanılamaz.</w:t>
      </w:r>
      <w:r w:rsidR="00925F21">
        <w:t xml:space="preserve"/>
      </w:r>
      <w:r w:rsidRPr="00F42596">
        <w:t/>
      </w:r>
      <w:r w:rsidR="00187FC3">
        <w:t xml:space="preserve"/>
      </w:r>
      <w:r w:rsidRPr="00F42596">
        <w:t/>
      </w:r>
      <w:r w:rsidR="00187FC3">
        <w:t/>
      </w:r>
      <w:r w:rsidRPr="00F42596">
        <w:t/>
      </w:r>
      <w:r w:rsidR="00187FC3">
        <w:t/>
      </w:r>
      <w:r w:rsidRPr="00F42596">
        <w:t xml:space="preserve"/>
      </w:r>
      <w:r w:rsidRPr="00302B74">
        <w:t/>
      </w:r>
      <w:r w:rsidR="00302B74">
        <w:t/>
      </w:r>
      <w:r w:rsidRPr="00302B74">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pStyle w:val="Normal"/>
        <w:spacing w:after="0" w:line="276" w:lineRule="auto"/>
        <w:rPr>
          <w:rFonts w:asciiTheme="majorBidi" w:eastAsia="Times New Roman" w:hAnsiTheme="majorBidi" w:cstheme="majorBidi"/>
          <w:bCs/>
          <w:color w:val="FF0000"/>
          <w:kern w:val="0"/>
          <w:sz w:val="24"/>
          <w:szCs w:val="24"/>
          <w:lang w:eastAsia="tr-TR"/>
          <w14:ligatures w14:val="none"/>
        </w:rPr>
      </w:pPr>
      <w:r>
        <w:t>Bu örnek, resm literatüründe metin güvenliği kaygısının nasıl gerekçelendirildiğini gösteren bir aktarım olarak kullanılabilir; ancak olayın tarihsel ayrıntıları bağımsız doğrulama olmadan argümanın ampirik kanıtı hâline getirilmemelidir.</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imlâya göre yazım, bazı kırâat vecihlerinin resm-i Osmânî içindeki ihtimalî uygunluğunu görünür kılan tarihsel yazım özelliklerini ortadan kaldırabilir veya farklılaştırabilir. Bununla birlikte kırâatlerin varlığı yalnız bu grafik imkâna bağlı değildir; okuyuşların asıl aktarım zemini telakki, edâ ve rivâyet geleneğidir.</w:t>
      </w:r>
    </w:p>
    <w:p w14:paraId="6842EBB6" w14:textId="3BC10968"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40" w:name="_Toc235035705"/>
      <w:r w:rsidRPr="00F42596">
        <w:t>Son olarak, müşterek mushaf yazısının farklı coğrafya ve nesiller arasında ortak bir yazılı hafıza oluşturması birlik gerekçesinin tarihsel yönünü açıklar.</w:t>
      </w:r>
      <w:r w:rsidR="003C613A">
        <w:t/>
      </w:r>
      <w:r w:rsidRPr="00F42596">
        <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Resm-i Osmânî'ye bağlılığın tarihsel ve normatif gerekçeleri bu şekilde ayrıştırıldıktan sonra, resmin kırâat ilmindeki somut kullanım alanlarına dönmek gerekir. Dördüncü bölüm, resmin kırâat rivâyetlerinin tespiti ve tahdidi, sahâbe mushafları, şâz okuyuşlar, tercih, tevcîh ve sonraki mushaf neşriyle ilişkisini bu açıdan ele almaktadır.</w:t>
      </w: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Bu bağlamda “Kırâat sünnettir.” sözü ile Ebû Amr b. el-A‘lâ'dan nakledilen ifade, kırâat aktarımında rivâyet ve telakkinin merkezî konumuna işaret etmektedir.</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r>
      <w:proofErr w:type="gramStart"/>
      <w:r w:rsidRPr="00F42596">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567795">
        <w:rPr>
          <w:rFonts w:ascii="Times New Roman" w:eastAsia="Times New Roman" w:hAnsi="Times New Roman" w:cs="Times New Roman"/>
          <w:i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802A1">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Birinci Bölümde ayrıntıları verilen cem ve istinsah süreci bakımından burada vurgulanması gereken husus şudur: Osmânî mushafların yazılı çerçevesi, rivâyetle sabit ve müşterek kabul gören okuyuşların kaydedildiği tarihsel zemini oluşturmuştur; yazı bu okuyuşları üretmemiş, rivâyet edilen metni müşterek mushaf biçiminde kayda geçirmiştir.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kırâat rivâyetlerini meydana getiren bağımsız bir kaynak değildir. Bununla birlikte mushaf hattına uygunluk, rivâyetle nakledilen okuyuşların müşterek mushaf yazısıyla bağdaşma durumunu değerlendirmede kullanılan önemli ölçütlerden biridir.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F4D5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durum, resmin okuyuşları seçen bağımsız bir özne olduğunu değil, rivâyet edilen okuyuşların müşterek yazılı çerçeveyle uyumunun değerlendirilmesine katkı sağladığını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(ö. 440/1048-49 [?])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Okuyuşun varlığı ve edâsı rivâyet yoluyla bilinir; resm ise bu okuyuşun Osmânî mushafların yazılı çerçevesi içindeki konumunu değerlendirmeye katkı sağlar.</w:t>
      </w:r>
      <w:proofErr w:type="gramStart"/>
      <w:r w:rsidRPr="002F604F">
        <w:rPr>
          <w:rFonts w:ascii="Times New Roman" w:eastAsia="Times New Roman" w:hAnsi="Times New Roman" w:cs="Times New Roman"/>
          <w:kern w:val="0"/>
          <w:sz w:val="24"/>
          <w:szCs w:val="24"/>
          <w:lang w:eastAsia="tr-TR"/>
          <w14:ligatures w14:val="none"/>
        </w:rPr>
        <w:t/>
      </w:r>
      <w:r w:rsidR="00BD634C" w:rsidRPr="00567795">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 ümmetin müşterek yazılı başvuru zemini hâline gelirken, sahâbeye nispet edilen şahsî mushaflar erken dönemdeki okuyuş, tertip ve yazım çeşitliliğine ilişkin tarihsel veriler sunmaktadır. Bu iki malzemenin işlev ve otorite düzeyi aynı değildir. Bir sonraki başlık bu farkı ele almaktadır.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farklılıkları tek bir kategori altında değerlendirilmemelidir. Kaynaklarda farklı okuyuş rivâyetleri, açıklayıcı veya tefsirî ifadeler, kelime tertibi yahut yazım biçimine ilişkin aktarımlar ve isnadı veya yorumu tartışmalı kayıtlar birlikte yer almaktadır. Bu malzemenin tarihsel değeri, erken dönemdeki okuyuş ve yazı çeşitliliğine dair veri sunmasındadır. Buna karşılık ümmetin müşterek mushaf geleneğinde normatif ölçü, Osmânî mushafların yazılı çerçevesi ile sahih rivâyetin birlikte değerlendirilmesi üzerinden şekillenmiştir.</w:t>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w:t>
      </w:r>
      <w:r w:rsidRPr="006762F7">
        <w:rPr>
          <w:rFonts w:ascii="Times New Roman" w:eastAsia="Times New Roman" w:hAnsi="Times New Roman" w:cs="Times New Roman"/>
          <w:color w:val="FF0000"/>
          <w:kern w:val="0"/>
          <w:sz w:val="24"/>
          <w:szCs w:val="24"/>
          <w:lang w:eastAsia="tr-TR"/>
          <w14:ligatures w14:val="none"/>
        </w:rPr>
        <w:t xml:space="preserve"/>
      </w:r>
      <w:r w:rsidR="002700F3" w:rsidRPr="006762F7">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İbn Mes‘ûd'a nispet edilen rivâyetler, onun istinsah süreci ve kendi mushafıyla ilişkili bazı itirazlarının bulunduğunu göstermektedir. Bu tavrın hangi psikolojik saikle ortaya çıktığını kesin biçimde belirlemek yerine, nakledilen söz ve uygulamalar kendi tarihsel bağlamları içinde değerlendirilmelidir.</w:t>
      </w:r>
      <w:r w:rsidR="008067E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7A27">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6F7A2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1A5BA6">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rivâyetleri, erken Kur’an aktarımında bulunan okuyuş, tertip ve yazım çeşitliliğini incelemek bakımından önemlidir. Bununla birlikte sonraki müşterek mushaf geleneğinin normatif zemini Osmânî mushaflar etrafında şekillenmiştir. Bu sebeple şahsî mushaf rivâyetleri tarihsel tanıklık ile normatif metin otoritesi birbirine karıştırılmadan kullanılmalıdır.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Şenbûz'a nispet edilen uygulamalar, kırâatlerin kamusal icrası ve kabul ölçütleri bağlamında tartışılmıştır. Bu örneği yalnız resm-i Osmânî'ye aykırılık üzerinden açıklamak yeterli değildir; naklin durumu, müşterek mushaf geleneği ve dönemin kırâat anlayışı birlikte dikkate alınmalıdır. Resme uygunluk bu değerlendirmede önemli bir unsur olmakla birlikte tek başına sahihlik veya şâzlık hükmü veren bağımsız ölçü değildir.</w:t>
      </w:r>
      <w:r w:rsidR="0040487F">
        <w:rPr>
          <w:rStyle w:val="DipnotBavurusu"/>
          <w:rFonts w:ascii="Times New Roman" w:eastAsia="Times New Roman" w:hAnsi="Times New Roman" w:cs="Times New Roman"/>
          <w:kern w:val="0"/>
          <w:sz w:val="24"/>
          <w:szCs w:val="24"/>
          <w:lang w:eastAsia="tr-TR"/>
          <w14:ligatures w14:val="none"/>
        </w:rPr>
        <w:footnoteReference w:id="391"/>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Klasik kaynaklarda müşterek mushaf hattına aykırı kalan okuyuşlar, isnad ve kabul durumlarına göre farklı şekillerde değerlendirilmiştir. Bazı rivâyetler şâz, bazıları âhâd veya tefsirî malzeme, bazıları ise mensuh olduğu ileri sürülen okuyuşlar bağlamında ele alınmıştır. Bu kategoriler aynı değildir. Resme uygunluk önemli bir kabul ölçüsüdür; ancak her okuyuşun statüsü isnad, dil, şöhret ve ilmî kabul gibi diğer unsurlarla birlikte belirlenmelidir.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80348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Bu açıklamalar, resme uygunluğun kırâatlerin değerlendirilmesinde önemli ölçülerden biri olduğunu; ancak şâzlık veya kabul statüsünün isnad, dil ve ilmî kabul gibi diğer unsurlarla birlikte ele alındığını göstermektedir.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 okuyuşun kırâat alanındaki kabul statüsünü belirlemek ile kabul edilmiş rivâyetler arasında tercih yapmak, bu okuyuşları dil bakımından tevcîh etmek veya vakıf uygulamalarını açıklamak aynı işlem değildir. Resm verisinin bu ikinci gruptaki kullanımları bir sonraki başlıkta ayrı olarak ele alınacaktır.</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Osmânî'nin Kırâatlerin Tercihi, Tevcîhi ve Vakıf Uygulamalarıyla İlişkisi</w:t>
      </w:r>
      <w:r w:rsidR="00070936">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E65633">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F13E9D">
        <w:rPr>
          <w:rFonts w:ascii="Times New Roman" w:eastAsia="Times New Roman" w:hAnsi="Times New Roman" w:cs="Times New Roman"/>
          <w:b/>
          <w:bCs/>
          <w:kern w:val="0"/>
          <w:sz w:val="26"/>
          <w:szCs w:val="26"/>
          <w:lang w:eastAsia="tr-TR"/>
          <w14:ligatures w14:val="none"/>
        </w:rPr>
        <w:t/>
      </w:r>
      <w:r w:rsidR="00F13E9D">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imamlarına nispet edilen okuyuşlar, kendilerine ulaşan rivâyet ve öğretim geleneği içinde aktarılmıştır. Kaynaklarda bazı okuyuşlar arasında tercih ifadeleri bulunabilmekle birlikte bu tercih, imamların rivâyetten bağımsız yeni bir kırâat meydana getirdiği anlamına gelmez. Resm verisi de bu değerlendirmelerde rivâyet ve dil unsurlarıyla birlikte kullanılan ölçülerden biridir.</w:t>
      </w:r>
      <w:r w:rsidR="00F33826">
        <w:rPr>
          <w:rFonts w:ascii="Times New Roman" w:eastAsia="Times New Roman" w:hAnsi="Times New Roman" w:cs="Times New Roman"/>
          <w:kern w:val="0"/>
          <w:sz w:val="24"/>
          <w:szCs w:val="24"/>
          <w:lang w:eastAsia="tr-TR"/>
          <w14:ligatures w14:val="none"/>
        </w:rPr>
        <w:t>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Bu çerçevede mushaf hattına uygunluk, kaynaklarda tercih gerekçeleri arasında anılan ölçülerden biri olarak değerlendirilmelidir; rivâyet, dil ve genel kabul unsurlarından bağımsız tek belirleyici sebep değildir.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Vakıf ve ibtidâda mana, nahiv ve rivâyet temel ölçüler arasında yer alır. Mushaf yazımı ise özellikle vasl-fasl ve kelime sınırlarının yazıda nasıl gösterildiği gibi bazı durumlarda değerlendirmeye katkı sağlayabilir. Bu nedenle resm, bütün vakıf uygulamalarını doğrudan belirleyen tek ölçü olarak değil, belirli örneklerde başvurulan yazılı verilerden biri olarak ele alınmalıdır.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w:t>
      </w:r>
      <w:r w:rsidRPr="007A383B">
        <w:rPr>
          <w:rFonts w:ascii="Times New Roman" w:eastAsia="Times New Roman" w:hAnsi="Times New Roman" w:cs="Times New Roman"/>
          <w:color w:val="FF0000"/>
          <w:kern w:val="0"/>
          <w:sz w:val="24"/>
          <w:szCs w:val="24"/>
          <w:lang w:eastAsia="tr-TR"/>
          <w14:ligatures w14:val="none"/>
        </w:rPr>
        <w:t/>
      </w:r>
      <w:r w:rsidR="007A383B" w:rsidRPr="007A383B">
        <w:rPr>
          <w:rFonts w:ascii="Times New Roman" w:eastAsia="Times New Roman" w:hAnsi="Times New Roman" w:cs="Times New Roman"/>
          <w:color w:val="FF0000"/>
          <w:kern w:val="0"/>
          <w:sz w:val="24"/>
          <w:szCs w:val="24"/>
          <w:lang w:eastAsia="tr-TR"/>
          <w14:ligatures w14:val="none"/>
        </w:rPr>
        <w:t xml:space="preserve"/>
      </w:r>
      <w:r w:rsidR="007A383B">
        <w:rPr>
          <w:rFonts w:ascii="Times New Roman" w:eastAsia="Times New Roman" w:hAnsi="Times New Roman" w:cs="Times New Roman"/>
          <w:color w:val="FF0000"/>
          <w:kern w:val="0"/>
          <w:sz w:val="24"/>
          <w:szCs w:val="24"/>
          <w:lang w:eastAsia="tr-TR"/>
          <w14:ligatures w14:val="none"/>
        </w:rPr>
        <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rivâyetlerinin mushaf yazım biçimlerini ve okuyuşların yazılı mushaf geleneğiyle ilişkisini değerlendirmede tamamlayıcı bir veri alanı olduğunu göstermektedir.</w:t>
      </w:r>
      <w:r w:rsidRPr="00F42596">
        <w:rPr>
          <w:rFonts w:ascii="Times New Roman" w:eastAsia="Times New Roman" w:hAnsi="Times New Roman" w:cs="Times New Roman"/>
          <w:kern w:val="0"/>
          <w:sz w:val="24"/>
          <w:szCs w:val="24"/>
          <w:lang w:eastAsia="tr-TR"/>
          <w14:ligatures w14:val="none"/>
        </w:rPr>
        <w:lastRenderedPageBreak/>
        <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Resm kaynaklarında bazı yazım biçimlerine hikmet veya anlam ilişkisi yükleyen açıklamalar bulunmaktadır. Bu görüşler ilgili müelliflere nispet edilerek aktarılmalı; bütün resm özelliklerinin aynı bilinçli amaçla meydana geldiği yönünde genelleme yapılmamalıdır. Bazı yazım biçimleri kırâat farklılığıyla doğrudan ilişkiliyken bazıları erken imlâ teamülleri veya mushaf rivâyetleri çerçevesinde açıklanabilir.</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A1DC7">
        <w:rPr>
          <w:rFonts w:ascii="Times New Roman" w:eastAsia="Times New Roman" w:hAnsi="Times New Roman" w:cs="Times New Roman"/>
          <w:kern w:val="0"/>
          <w:sz w:val="24"/>
          <w:szCs w:val="24"/>
          <w:lang w:eastAsia="tr-TR"/>
          <w14:ligatures w14:val="none"/>
        </w:rPr>
        <w:t/>
      </w:r>
      <w:r w:rsidR="006A1DC7">
        <w:rPr>
          <w:rFonts w:ascii="Times New Roman" w:eastAsia="Times New Roman" w:hAnsi="Times New Roman" w:cs="Times New Roman"/>
          <w:kern w:val="0"/>
          <w:sz w:val="24"/>
          <w:szCs w:val="24"/>
          <w:lang w:eastAsia="tr-TR"/>
          <w14:ligatures w14:val="none"/>
        </w:rPr>
        <w:t/>
      </w:r>
      <w:r w:rsidRPr="006A1DC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(ö. 154/771) Zuhruf sûresinde geçen</w:t>
      </w:r>
      <w:r w:rsidRPr="009B3EC0">
        <w:rPr>
          <w:rFonts w:ascii="Times New Roman" w:eastAsia="Times New Roman" w:hAnsi="Times New Roman" w:cs="Times New Roman"/>
          <w:color w:val="FF0000"/>
          <w:kern w:val="0"/>
          <w:sz w:val="24"/>
          <w:szCs w:val="24"/>
          <w:lang w:eastAsia="tr-TR"/>
          <w14:ligatures w14:val="none"/>
        </w:rPr>
        <w:t/>
      </w:r>
      <w:r w:rsidR="009B3EC0" w:rsidRPr="009B3EC0">
        <w:rPr>
          <w:rFonts w:ascii="Times New Roman" w:eastAsia="Times New Roman" w:hAnsi="Times New Roman" w:cs="Times New Roman"/>
          <w:color w:val="FF0000"/>
          <w:kern w:val="0"/>
          <w:sz w:val="24"/>
          <w:szCs w:val="24"/>
          <w:lang w:eastAsia="tr-TR"/>
          <w14:ligatures w14:val="none"/>
        </w:rPr>
        <w:t xml:space="preserve"/>
      </w:r>
      <w:r w:rsidR="009B3EC0">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lastRenderedPageBreak/>
        <w:t/>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rivâyetleri, mushaf kelimelerinin hangi biçimde yazıldığını ve şehir mushafları arasında nakledilen yazım farklılıklarını belirlemek bakımından önemlidir. Bu veriler kırâatlerin rivâyet kaynağının yerine geçmez; okuyuşların yazılı mushaf geleneğiyle ilişkisini değerlendirmeye imkân veren tamamlayıcı malzeme sunar.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 442/1050)</w:t>
      </w:r>
      <w:r w:rsidRPr="00EB5050">
        <w:rPr>
          <w:rFonts w:ascii="Times New Roman" w:eastAsia="Times New Roman" w:hAnsi="Times New Roman" w:cs="Times New Roman"/>
          <w:color w:val="FF0000"/>
          <w:kern w:val="0"/>
          <w:sz w:val="24"/>
          <w:szCs w:val="24"/>
          <w:lang w:eastAsia="tr-TR"/>
          <w14:ligatures w14:val="none"/>
        </w:rPr>
        <w:t/>
      </w:r>
      <w:r w:rsidR="00EB5050" w:rsidRPr="00EB5050">
        <w:rPr>
          <w:rFonts w:ascii="Times New Roman" w:eastAsia="Times New Roman" w:hAnsi="Times New Roman" w:cs="Times New Roman"/>
          <w:color w:val="FF0000"/>
          <w:kern w:val="0"/>
          <w:sz w:val="24"/>
          <w:szCs w:val="24"/>
          <w:lang w:eastAsia="tr-TR"/>
          <w14:ligatures w14:val="none"/>
        </w:rPr>
        <w:t xml:space="preserve"/>
      </w:r>
      <w:r w:rsidR="00EB5050" w:rsidRPr="00793B2A">
        <w:rPr>
          <w:rFonts w:ascii="Times New Roman" w:eastAsia="Times New Roman" w:hAnsi="Times New Roman" w:cs="Times New Roman"/>
          <w:color w:val="FF0000"/>
          <w:kern w:val="0"/>
          <w:sz w:val="24"/>
          <w:szCs w:val="24"/>
          <w:lang w:eastAsia="tr-TR"/>
          <w14:ligatures w14:val="none"/>
        </w:rPr>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w:t>
      </w:r>
      <w:r w:rsidRPr="00C9186B">
        <w:rPr>
          <w:rFonts w:ascii="Times New Roman" w:eastAsia="Times New Roman" w:hAnsi="Times New Roman" w:cs="Times New Roman"/>
          <w:color w:val="FF0000"/>
          <w:kern w:val="0"/>
          <w:sz w:val="24"/>
          <w:szCs w:val="24"/>
          <w:lang w:eastAsia="tr-TR"/>
          <w14:ligatures w14:val="none"/>
        </w:rPr>
        <w:t/>
      </w:r>
      <w:r w:rsidR="00C9186B" w:rsidRPr="00C9186B">
        <w:rPr>
          <w:rFonts w:ascii="Times New Roman" w:eastAsia="Times New Roman" w:hAnsi="Times New Roman" w:cs="Times New Roman"/>
          <w:color w:val="FF0000"/>
          <w:kern w:val="0"/>
          <w:sz w:val="24"/>
          <w:szCs w:val="24"/>
          <w:lang w:eastAsia="tr-TR"/>
          <w14:ligatures w14:val="none"/>
        </w:rPr>
        <w:t xml:space="preserve"/>
      </w:r>
      <w:r w:rsidR="00C9186B" w:rsidRPr="00793B2A">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Klasik resm literatüründe kaydedilen bu yazım özellikleri, sonraki mushaf istinsah ve neşir geleneğinde başvuru kaynağı olmayı sürdürmüştür. Bu devamlılığın nasıl korunduğunu anlayabilmek için resmin sonraki mushaflarda uygulanma biçimine ayrıca bakmak gerekir.</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w:t>
      </w:r>
      <w:r w:rsidR="0035357E">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hattı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mushafların yüksek düzeyde görsel ve metinsel birlik göstermesinde resm-i Osmânî'ye bağlılık önemli bir unsur olmakla birlikte tek etken değildir. Matbaa teknolojisinin gelişmesi, tashih ve denetim kurulları, kırâat ve yazım alanındaki uzmanlık, eğitim kurumları ve resmî neşir politikaları da bu standardizasyon sürecine katkıda bulunmuştur.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 neşrinde resm-i Osmânî'nin uygulanması, klasik resm literatüründe kaydedilen yazım rivâyetleri ve kurallarının yeniden değerlendirilmesine dayanır. Dânî ve Ebû Dâvud'un eserleri bu bakımdan temel başvuru kaynakları arasındadır. Bununla birlikte modern neşir uygulaması yalnız klasik metinlerin aktarımından ibaret değildir; tashih kurulları, kırâat uzmanlığı ve neşir kurumlarının tercihleri de sürece katılmaktadır.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Mushafın matbaa yoluyla çoğaltılması, resm-i Osmânî'nin yeni üretim teknikleri içinde nasıl korunacağı meselesini gündeme getirmiştir. Erken matbu mushaflardan Osmanlı ve sonraki resmî neşir girişimlerine uzanan süreçte baskı tekniği, tashih mekanizmaları ve resm geleneğine bağlılık birlikte etkili olmuştur. Belirli kırâat rivâyetlerine göre hazırlanan baskılar ise bu tarihsel sürecin ayrı bir boyutunu oluşturmaktadır. Matbaa öncesinde mushaf istinsahı, hat ve yazı geleneği içinde sürdürülmüştür.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İbn Kesîr’in aktardığı tarihsel çerçevede, erken yazı biçimi daha sade iken İbn Mukle ve İbnü’l-Bevvâb ile birlikte daha kaideli bir üslup gelişmiştir.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9C01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595403">
        <w:rPr>
          <w:rFonts w:ascii="Times New Roman" w:eastAsia="Times New Roman" w:hAnsi="Times New Roman" w:cs="Times New Roman"/>
          <w:kern w:val="0"/>
          <w:sz w:val="24"/>
          <w:szCs w:val="24"/>
          <w:lang w:eastAsia="tr-TR"/>
          <w14:ligatures w14:val="none"/>
        </w:rPr>
        <w:t/>
      </w:r>
      <w:r w:rsidRPr="00E64677">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Erken mushafların yazı iskeleti zamanla nokta, hareke ve diğer yardımcı işaretlerin gelişmesiyle daha ayrıntılı bir görsel sisteme kavuşmuştur. Bu gelişme, resm-i Osmânî'nin temel harf yapısının sonraki mushaflarda korunmasıyla birlikte ilerlemiştir. Nokta ve harekenin ilk mushaflarda bugünkü biçimiyle bulunmaması dönemin yazı sistemiyle ilgilidir; bunu yalnız farklı kırâatleri açık tutmak amacıyla yapılmış bilinçli bir tercih olarak açıklamak ihtiyat gerektirir.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Kur’an'ın matbu serüvenindeki önemli örneklerden biri, II. Katerina'nın emriyle 1201/1787'de Saint Petersburg'da gerçekleştirilen baskıdır.</w:t>
      </w:r>
      <w:r w:rsidR="00F42596" w:rsidRPr="00F42596">
        <w:rPr>
          <w:rFonts w:ascii="Times New Roman" w:eastAsia="Times New Roman" w:hAnsi="Times New Roman" w:cs="Times New Roman"/>
          <w:kern w:val="0"/>
          <w:sz w:val="24"/>
          <w:szCs w:val="24"/>
          <w:lang w:eastAsia="tr-TR"/>
          <w14:ligatures w14:val="none"/>
        </w:rPr>
        <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Teftîş-i Mesâhif-i Şerîfe Meclisi, basılan mushafların tashih ve denetimini kurumsal bir çerçeveye bağlamıştır. Bu uygulama, Osmanlı döneminde mushaf neşrinin yalnız teknik bir baskı faaliyeti olarak görülmediğini, metnin doğruluğunu korumaya yönelik idarî denetim mekanizmalarının da oluşturulduğunu göstermektedir.</w:t>
      </w:r>
      <w:r w:rsidRPr="00227C41">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w:r>
      <w:r w:rsidR="00A5209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Matbu mushafların yaygınlaşması, resm-i Osmânî'nin yeni üretim teknikleri içinde uygulanmasını ve belirli kırâat rivâyetlerinin yazılı neşir yoluyla daha görünür hâle gelmesini sağlamıştır. Bu süreç, klasik resm kaynakları, kırâat öğretimi, tashih kurumları, baskı teknolojisi ve resmî neşir politikalarının birlikte etkisiyle şekillenmiştir.</w:t>
      </w:r>
      <w:r w:rsidR="000570A2">
        <w:rPr>
          <w:rFonts w:ascii="Times New Roman" w:eastAsia="Times New Roman" w:hAnsi="Times New Roman" w:cs="Times New Roman"/>
          <w:kern w:val="0"/>
          <w:sz w:val="24"/>
          <w:szCs w:val="24"/>
          <w:lang w:eastAsia="tr-TR"/>
          <w14:ligatures w14:val="none"/>
        </w:rPr>
        <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araştırmanın ortaya koyduğu temel sonuç, resm-i mushaf ile kırâat rivâyeti arasındaki ilişkinin yazı ile söz karşıtlığı üzerinden açıklanamayacağıdır. Kırâatlerin aslî aktarım zemini telakki, müşâfehe, edâ, </w:t>
      </w:r>
      <w:r w:rsidRPr="00FB1750">
        <w:rPr>
          <w:rFonts w:ascii="Times New Roman" w:eastAsia="Times New Roman" w:hAnsi="Times New Roman" w:cs="Times New Roman"/>
          <w:kern w:val="0"/>
          <w:sz w:val="24"/>
          <w:szCs w:val="24"/>
          <w14:ligatures w14:val="none"/>
        </w:rPr>
        <w:t>isnad</w:t>
      </w:r>
      <w:r w:rsidRPr="00F42596">
        <w:rPr>
          <w:rFonts w:ascii="Times New Roman" w:eastAsia="Times New Roman" w:hAnsi="Times New Roman" w:cs="Times New Roman"/>
          <w:kern w:val="0"/>
          <w:sz w:val="24"/>
          <w:szCs w:val="24"/>
          <w14:ligatures w14:val="none"/>
        </w:rPr>
        <w:t xml:space="preserve"> ve </w:t>
      </w:r>
      <w:r w:rsidRPr="00DB7320">
        <w:rPr>
          <w:rFonts w:ascii="Times New Roman" w:eastAsia="Times New Roman" w:hAnsi="Times New Roman" w:cs="Times New Roman"/>
          <w:kern w:val="0"/>
          <w:sz w:val="24"/>
          <w:szCs w:val="24"/>
          <w14:ligatures w14:val="none"/>
        </w:rPr>
        <w:t>rivâyettir</w:t>
      </w:r>
      <w:r w:rsidRPr="00F42596">
        <w:rPr>
          <w:rFonts w:ascii="Times New Roman" w:eastAsia="Times New Roman" w:hAnsi="Times New Roman" w:cs="Times New Roman"/>
          <w:kern w:val="0"/>
          <w:sz w:val="24"/>
          <w:szCs w:val="24"/>
          <w14:ligatures w14:val="none"/>
        </w:rPr>
        <w:t xml:space="preserve">. Mushaf yazısı, hocadan öğrenilen okuyuşun yerine geçmez ve harf iskeletinden hareketle bağımsız kırâat üretmez. Buna karşılık sözlü olarak nakledilen okuyuşlar da ortak mushaf metninden bütünüyle bağımsız değildir.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tarihsel sürekliliği, lafzın sözlü icrası ile bu lafzın ortak yazılı kaydının birlikte işlemesi sayesinde korunmuştur.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Osmânî istinsahın önemli sonuçlarından biri, okuyuş farklılıklarını ortadan kaldırmadan kabul edilebilir çeşitliliği ortak bir yazım çerçevesi içinde korumasıdır. Resm-i Osmânî bazı okuyuşları harf yapısıyla doğrudan göster</w:t>
      </w:r>
      <w:r w:rsidR="00A23EB2">
        <w:rPr>
          <w:rFonts w:ascii="Times New Roman" w:eastAsia="Times New Roman" w:hAnsi="Times New Roman" w:cs="Times New Roman"/>
          <w:kern w:val="0"/>
          <w:sz w:val="24"/>
          <w:szCs w:val="24"/>
          <w14:ligatures w14:val="none"/>
        </w:rPr>
        <w:t xml:space="preserve">miş, </w:t>
      </w:r>
      <w:r w:rsidRPr="00F42596">
        <w:rPr>
          <w:rFonts w:ascii="Times New Roman" w:eastAsia="Times New Roman" w:hAnsi="Times New Roman" w:cs="Times New Roman"/>
          <w:kern w:val="0"/>
          <w:sz w:val="24"/>
          <w:szCs w:val="24"/>
          <w14:ligatures w14:val="none"/>
        </w:rPr>
        <w:t xml:space="preserve">bazı okuyuşlarla ihtimal yoluyla bağdaşabilmiştir. Gerçek uygunluk ile </w:t>
      </w:r>
      <w:r w:rsidRPr="00564B8A">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uygunluk arasındaki ayrım, aynı yazı iskeletinin sahih rivâyetle sabit birden fazla okuyuşa imkân verebilmesini açıklamaktadır. Bununla birlikte yazının bir okuyuşu mümkün kılması, o okuyuşun kendiliğinden sahih olduğunu gösterme</w:t>
      </w:r>
      <w:r w:rsidR="00A23EB2">
        <w:rPr>
          <w:rFonts w:ascii="Times New Roman" w:eastAsia="Times New Roman" w:hAnsi="Times New Roman" w:cs="Times New Roman"/>
          <w:kern w:val="0"/>
          <w:sz w:val="24"/>
          <w:szCs w:val="24"/>
          <w14:ligatures w14:val="none"/>
        </w:rPr>
        <w:t>mekte, h</w:t>
      </w:r>
      <w:r w:rsidRPr="00F42596">
        <w:rPr>
          <w:rFonts w:ascii="Times New Roman" w:eastAsia="Times New Roman" w:hAnsi="Times New Roman" w:cs="Times New Roman"/>
          <w:kern w:val="0"/>
          <w:sz w:val="24"/>
          <w:szCs w:val="24"/>
          <w14:ligatures w14:val="none"/>
        </w:rPr>
        <w:t>angi okuyuşun kırâat olarak sabit olduğu telakki, isnad ve edâ yoluyla belirlen</w:t>
      </w:r>
      <w:r w:rsidR="00A23EB2">
        <w:rPr>
          <w:rFonts w:ascii="Times New Roman" w:eastAsia="Times New Roman" w:hAnsi="Times New Roman" w:cs="Times New Roman"/>
          <w:kern w:val="0"/>
          <w:sz w:val="24"/>
          <w:szCs w:val="24"/>
          <w14:ligatures w14:val="none"/>
        </w:rPr>
        <w:t>mekted</w:t>
      </w:r>
      <w:r w:rsidRPr="00F42596">
        <w:rPr>
          <w:rFonts w:ascii="Times New Roman" w:eastAsia="Times New Roman" w:hAnsi="Times New Roman" w:cs="Times New Roman"/>
          <w:kern w:val="0"/>
          <w:sz w:val="24"/>
          <w:szCs w:val="24"/>
          <w14:ligatures w14:val="none"/>
        </w:rPr>
        <w:t>ir; resm-i Osmânî’ye uygunluk ise rivâyetin ortak mushaf geleneğiyle bağdaşıp bağdaşmadığını gösteren ölçülerden biridir.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nedenle resm-i Osmânî’ye uygunluk, kırâatlerin kabulünde tek başına yeterli veya diğer şartlara indirgenebilecek bir ölçü değildir. Rivâyetin güvenilirliği, Arap dilinde bir veche sahip olması ve resm-i Osmânî’ye uygunluk birlikte değerlendirilmiştir. Bu uygunluğun bulunması zayıf veya temelsiz bir nakli sahih hâle getirmediği gibi, isnadın varlığı da mushaf hattına açıkça aykırı bir okuyuşa genel tilâvet alanında bağlayıcılık kazandırmamaktadır. Sahih, meşhur, âhâd ve şâz okuyuşlara ilişkin değerlendirmeler de bu çoklu ölçü düzeni içinde anlam kazanmaktadır. Şâz rivâyetlerin tefs</w:t>
      </w:r>
      <w:r w:rsidR="00B35BC4">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Basılı mushaflar </w:t>
      </w:r>
      <w:r w:rsidR="00D34C8F" w:rsidRPr="00F42596">
        <w:rPr>
          <w:rFonts w:ascii="Times New Roman" w:eastAsia="Times New Roman" w:hAnsi="Times New Roman" w:cs="Times New Roman"/>
          <w:kern w:val="0"/>
          <w:sz w:val="24"/>
          <w:szCs w:val="24"/>
          <w14:ligatures w14:val="none"/>
        </w:rPr>
        <w:t xml:space="preserve">yalnız </w:t>
      </w:r>
      <w:r w:rsidRPr="00F42596">
        <w:rPr>
          <w:rFonts w:ascii="Times New Roman" w:eastAsia="Times New Roman" w:hAnsi="Times New Roman" w:cs="Times New Roman"/>
          <w:kern w:val="0"/>
          <w:sz w:val="24"/>
          <w:szCs w:val="24"/>
          <w14:ligatures w14:val="none"/>
        </w:rPr>
        <w:t>mevcut okuyuşları yansıtmamış, belirli rivâyetlerin standartlaşması ve geniş coğrafyalarda yaygınlaşması üzerinde de etkili olmuştur. Ana metinde ele alınan Hafs ve Verş örnekleri, mushaf neşri ile kırâatlerin bölgesel ve daha geniş dolaşımı arasındaki ilişkinin birlikte incelenmesi gerektiğini göstermektedir.</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Erken mushaf yazmaları, şehir mushaflarına nispet edilen farklılıklar, bölgesel kırâat gelenekleri ve çağdaş neşirlerin resm tercihleri, bu yaklaşımın daha ayrıntılı uygulanabileceği araştırma alanlarıdır.</w:t>
      </w:r>
    </w:p>
    <w:p w14:paraId="5B0BF432" w14:textId="38CA92E0"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Sonuç olarak resm-i Osmânî, kırâati doğuran bağımsız kaynak değil, rivâyet yoluyla nakledilen kırâatlerin ortak yazılı sınırıdır. Bu sınır, tek bir okuyuşu her durumda zorunlu kılan dar bir fonetik kalıp olmadığı gibi, sınırsız seslendirme ihtimallerine açık bir yazı alanı da değildir. Resm-i Osmânî, sahih rivâyetle sabit okuyuşların bir kısmını açık biçimde gösterip bir kısmıyla ihtimal yoluyla bağdaşarak metin ile edâ, yazılı birlik ile okuyuş çeşitliliği ve tarihsel süreklilik ile ilmî denetim arasında denge kurulmasına katkı sağlamıştır.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doğru aktarımı da mushaf metninin, güvenilir rivâyetin, ehil hocanın, müşâfehenin ve edâ geleneğinin birlikte korunmasına bağlıdır.</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2 Cilt.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24C7864" w14:textId="5D396EB6"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Abdullah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Selîm b. Îde’l-Hilâlî el-Eserî. Amman: Ğarâs, 2006.</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47F23E23" w14:textId="668F079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w:t>
      </w:r>
      <w:r w:rsidR="00A069EB"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mmed Abdullah b. Muslim. </w:t>
      </w:r>
      <w:r w:rsidRPr="0058794F">
        <w:rPr>
          <w:rFonts w:ascii="Times New Roman" w:eastAsia="Times New Roman" w:hAnsi="Times New Roman" w:cs="Times New Roman"/>
          <w:i/>
          <w:iCs/>
          <w:kern w:val="0"/>
          <w:sz w:val="24"/>
          <w:szCs w:val="24"/>
          <w:lang w:eastAsia="tr-TR"/>
          <w14:ligatures w14:val="none"/>
        </w:rPr>
        <w:t>Te’vîlu muhtelifi’l-hadîs</w:t>
      </w:r>
      <w:r w:rsidRPr="0058794F">
        <w:rPr>
          <w:rFonts w:ascii="Times New Roman" w:eastAsia="Times New Roman" w:hAnsi="Times New Roman" w:cs="Times New Roman"/>
          <w:kern w:val="0"/>
          <w:sz w:val="24"/>
          <w:szCs w:val="24"/>
          <w:lang w:eastAsia="tr-TR"/>
          <w14:ligatures w14:val="none"/>
        </w:rPr>
        <w:t>. thk. Muhammed Muhyiddîn el-Asfar. Beyrut: el-Mektebetü’l-İslâmî, 1999.</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 https://doi.org/http://doi.org/1051702/esoguifd.791085</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ed-Dânî,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ez-Zürkânî,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(bu dipnot daha önce geçmiş </w:t>
      </w:r>
      <w:proofErr w:type="gramStart"/>
      <w:r>
        <w:rPr>
          <w:color w:val="FF0000"/>
        </w:rPr>
        <w:t>midir.yoksa</w:t>
      </w:r>
      <w:proofErr w:type="gramEnd"/>
      <w:r>
        <w:rPr>
          <w:color w:val="FF0000"/>
        </w:rPr>
        <w:t xml:space="preserve"> kitabın ilk adı bu şekilde mi) buna bakılması.</w:t>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(bu eserin müellifi meçhuldür </w:t>
      </w:r>
      <w:proofErr w:type="gramStart"/>
      <w:r>
        <w:rPr>
          <w:color w:val="FF0000"/>
        </w:rPr>
        <w:t>literatürde</w:t>
      </w:r>
      <w:proofErr w:type="gramEnd"/>
      <w:r>
        <w:rPr>
          <w:color w:val="FF0000"/>
        </w:rPr>
        <w:t xml:space="preserve"> bu şekilde geçiyor.</w:t>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es-Suyûtî,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(el-Cum’â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w:t>
      </w:r>
      <w:r w:rsidRPr="00534B75">
        <w:rPr>
          <w:color w:val="FF0000"/>
        </w:rPr>
        <w:t>bu eser daha önce tam adıyla geçmişmiydi)</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eş</w:t>
      </w:r>
      <w:proofErr w:type="gramEnd"/>
      <w:r>
        <w:t>-</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ez</w:t>
      </w:r>
      <w:proofErr w:type="gramEnd"/>
      <w:r>
        <w:t>-</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en</w:t>
      </w:r>
      <w:proofErr w:type="gramEnd"/>
      <w:r>
        <w:t>-</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eş</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ez</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