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Bu sorular birbirinden bağımsız değildir.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Kitabın hareket noktası, resm-i Osmânî’nin kırâatleri meydana getiren bağımsız bir kaynak olmadığıdır. Çalışmada kırâatin aslî dayanağı, telakki ve müşâfehe yoluyla sürdürülen, edâ ve isnadla denetlenen rivâyet geleneği olarak kabul edilmektedir.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sebeple her mushaf yazısı resm-i Osmânî olmadığı gibi, resm-i mushaf ile resm-i Osmânî de bütün bağlamlarda birbirinin yerine kullanılamaz.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w:t>
      </w:r>
      <w:r w:rsidR="006572ED">
        <w:rPr>
          <w:rFonts w:ascii="Times New Roman" w:eastAsia="Times New Roman" w:hAnsi="Times New Roman" w:cs="Times New Roman"/>
          <w:kern w:val="0"/>
          <w:sz w:val="24"/>
          <w:szCs w:val="24"/>
          <w14:ligatures w14:val="none"/>
        </w:rPr>
        <w:t>m</w:t>
      </w:r>
      <w:r w:rsidRPr="00F42596">
        <w:rPr>
          <w:rFonts w:ascii="Times New Roman" w:eastAsia="Times New Roman" w:hAnsi="Times New Roman" w:cs="Times New Roman"/>
          <w:kern w:val="0"/>
          <w:sz w:val="24"/>
          <w:szCs w:val="24"/>
          <w14:ligatures w14:val="none"/>
        </w:rPr>
        <w:t xml:space="preserve">ushaf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 dil bakımından mümkün olan her seslendirme anlamına gelmez. 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Bir kırâat imamına nispet edilen genel okuyuş sistemi, bu okuyuşun belirli bir râvi üzerinden aktarılan rivâyeti ve </w:t>
      </w:r>
      <w:r w:rsidRPr="001C509C">
        <w:rPr>
          <w:rFonts w:ascii="Times New Roman" w:eastAsia="Times New Roman" w:hAnsi="Times New Roman" w:cs="Times New Roman"/>
          <w:kern w:val="0"/>
          <w:sz w:val="24"/>
          <w:szCs w:val="24"/>
          <w14:ligatures w14:val="none"/>
        </w:rPr>
        <w:t>râviden</w:t>
      </w:r>
      <w:r w:rsidRPr="00F42596">
        <w:rPr>
          <w:rFonts w:ascii="Times New Roman" w:eastAsia="Times New Roman" w:hAnsi="Times New Roman" w:cs="Times New Roman"/>
          <w:kern w:val="0"/>
          <w:sz w:val="24"/>
          <w:szCs w:val="24"/>
          <w14:ligatures w14:val="none"/>
        </w:rPr>
        <w:t xml:space="preserve"> sonraki nakil k</w:t>
      </w:r>
      <w:r w:rsidR="00A54E9E">
        <w:rPr>
          <w:rFonts w:ascii="Times New Roman" w:eastAsia="Times New Roman" w:hAnsi="Times New Roman" w:cs="Times New Roman"/>
          <w:kern w:val="0"/>
          <w:sz w:val="24"/>
          <w:szCs w:val="24"/>
          <w14:ligatures w14:val="none"/>
        </w:rPr>
        <w:t>ollarını gösteren tarî</w:t>
      </w:r>
      <w:r w:rsidRPr="00F42596">
        <w:rPr>
          <w:rFonts w:ascii="Times New Roman" w:eastAsia="Times New Roman" w:hAnsi="Times New Roman" w:cs="Times New Roman"/>
          <w:kern w:val="0"/>
          <w:sz w:val="24"/>
          <w:szCs w:val="24"/>
          <w14:ligatures w14:val="none"/>
        </w:rPr>
        <w:t>klerle aynı düzeyde değildir. Vecih i</w:t>
      </w:r>
      <w:r w:rsidR="00F2676C">
        <w:rPr>
          <w:rFonts w:ascii="Times New Roman" w:eastAsia="Times New Roman" w:hAnsi="Times New Roman" w:cs="Times New Roman"/>
          <w:kern w:val="0"/>
          <w:sz w:val="24"/>
          <w:szCs w:val="24"/>
          <w14:ligatures w14:val="none"/>
        </w:rPr>
        <w:t>se belirli bir rivâyet veya tarî</w:t>
      </w:r>
      <w:r w:rsidRPr="00F42596">
        <w:rPr>
          <w:rFonts w:ascii="Times New Roman" w:eastAsia="Times New Roman" w:hAnsi="Times New Roman" w:cs="Times New Roman"/>
          <w:kern w:val="0"/>
          <w:sz w:val="24"/>
          <w:szCs w:val="24"/>
          <w14:ligatures w14:val="none"/>
        </w:rPr>
        <w:t xml:space="preserve">k içinde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bakımından c</w:t>
      </w:r>
      <w:r w:rsidR="00080A29">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iz görülen uygulama seçeneğini belirtir.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’l-Kur’ân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 xml:space="preserve">mam </w:t>
      </w:r>
      <w:r w:rsidR="006572ED">
        <w:rPr>
          <w:rFonts w:ascii="Times New Roman" w:eastAsia="Times New Roman" w:hAnsi="Times New Roman" w:cs="Times New Roman"/>
          <w:kern w:val="0"/>
          <w:sz w:val="24"/>
          <w:szCs w:val="24"/>
          <w:lang w:eastAsia="tr-TR"/>
          <w14:ligatures w14:val="none"/>
        </w:rPr>
        <w:t>m</w:t>
      </w:r>
      <w:r w:rsidRPr="006572ED">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esas alınarak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w:t>
      </w:r>
      <w:r w:rsidRPr="00F42596">
        <w:rPr>
          <w:rFonts w:ascii="Times New Roman" w:eastAsia="Times New Roman" w:hAnsi="Times New Roman" w:cs="Times New Roman"/>
          <w:kern w:val="0"/>
          <w:sz w:val="24"/>
          <w:szCs w:val="24"/>
          <w:lang w:eastAsia="tr-TR"/>
          <w14:ligatures w14:val="none"/>
        </w:rPr>
        <w:t xml:space="preserve"> esas alınarak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ulûmu’l-Kur’ân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-Kur’ân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t>Bu normatif çizgiye, ilk mushaf hattının nebevî dönemle ve ümmet hafızasıyla kurduğu tarihî bağa ilişkin yorumlar da eklenmiştir.</w:t>
      </w:r>
      <w:r w:rsidR="00875C7B">
        <w:t xml:space="preserve"/>
      </w:r>
      <w:r w:rsidRPr="00F42596">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t xml:space="preserve">Bağlılık gerekçelerinin bir diğer kısmı, ilk neslin ilmî ve rivâyet otoritesine duyulan güven etrafında kurulmuştur.</w:t>
      </w:r>
      <w:r w:rsidRPr="00080A29">
        <w:t/>
      </w:r>
      <w:r w:rsidRPr="00F42596">
        <w:t xml:space="preserve"/>
      </w:r>
      <w:r w:rsidR="00AC4F69">
        <w:t/>
      </w:r>
      <w:r w:rsidRPr="00F42596">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t>Kur’an’ın okunma biçiminin yalnız yazıdan çıkarılmadığı, telakki ve müşâfehe yoluyla aktarıldığı hususu bu tartışmanın ilmî boyutunu oluşturur.</w:t>
      </w:r>
      <w:r w:rsidR="00F42596" w:rsidRPr="00F42596">
        <w:t xml:space="preserve"/>
      </w:r>
      <w:r w:rsidR="00F42596" w:rsidRPr="00AD2F5F">
        <w:t/>
      </w:r>
      <w:r w:rsidR="00F42596" w:rsidRPr="00F42596">
        <w:t xml:space="preserve"/>
      </w:r>
      <w:r w:rsidR="003C613A">
        <w:t/>
      </w:r>
      <w:r w:rsidR="00F42596" w:rsidRPr="00F42596">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ulûmu’l-Kur’ân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Kur’an'ın edâya ilişkin ayrıntıları tarih boyunca yalnız yazıdan çıkarılmamış; telakki, müşâfehe ve isnad yoluyla aktarılmıştır. Mushaf yazısı bu sözlü öğretim geleneğinin yerine geçmemiş, rivâyet edilen okuyuşların müşterek yazılı çerçevesini sağlamıştır.</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B35BC4">
        <w:rPr>
          <w:rFonts w:ascii="Times New Roman" w:eastAsia="Times New Roman" w:hAnsi="Times New Roman" w:cs="Times New Roman"/>
          <w:kern w:val="0"/>
          <w:sz w:val="24"/>
          <w:szCs w:val="24"/>
          <w:lang w:eastAsia="tr-TR"/>
          <w14:ligatures w14:val="none"/>
        </w:rPr>
        <w:t/>
      </w:r>
      <w:r w:rsidR="00B35BC4" w:rsidRPr="00567795">
        <w:rPr>
          <w:rFonts w:ascii="Times New Roman" w:eastAsia="Times New Roman" w:hAnsi="Times New Roman" w:cs="Times New Roman"/>
          <w:kern w:val="0"/>
          <w:sz w:val="24"/>
          <w:szCs w:val="24"/>
          <w:lang w:eastAsia="tr-TR"/>
          <w14:ligatures w14:val="none"/>
        </w:rPr>
        <w:t/>
      </w:r>
      <w:r w:rsidR="00F42596" w:rsidRP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E3E8D">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331CF7">
        <w:rPr>
          <w:rFonts w:ascii="Times New Roman" w:eastAsia="Times New Roman" w:hAnsi="Times New Roman" w:cs="Times New Roman"/>
          <w:kern w:val="0"/>
          <w:sz w:val="24"/>
          <w:szCs w:val="24"/>
          <w:lang w:eastAsia="tr-TR"/>
          <w14:ligatures w14:val="none"/>
        </w:rPr>
        <w:t/>
      </w:r>
      <w:r w:rsidR="00331CF7">
        <w:rPr>
          <w:rFonts w:ascii="Times New Roman" w:eastAsia="Times New Roman" w:hAnsi="Times New Roman" w:cs="Times New Roman"/>
          <w:kern w:val="0"/>
          <w:sz w:val="24"/>
          <w:szCs w:val="24"/>
          <w:lang w:eastAsia="tr-TR"/>
          <w14:ligatures w14:val="none"/>
        </w:rPr>
        <w:t/>
      </w:r>
      <w:r w:rsidR="00F42596" w:rsidRPr="00331CF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4504FC">
        <w:rPr>
          <w:rFonts w:ascii="Times New Roman" w:eastAsia="Times New Roman" w:hAnsi="Times New Roman" w:cs="Times New Roman"/>
          <w:kern w:val="0"/>
          <w:sz w:val="24"/>
          <w:szCs w:val="24"/>
          <w:lang w:eastAsia="tr-TR"/>
          <w14:ligatures w14:val="none"/>
        </w:rPr>
        <w:t xml:space="preserve"/>
      </w:r>
      <w:r w:rsidR="004504FC" w:rsidRPr="004504FC">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6F5760">
        <w:rPr>
          <w:rFonts w:asciiTheme="majorBidi" w:hAnsiTheme="majorBidi" w:cstheme="majorBidi"/>
          <w:color w:val="FF0000"/>
          <w:sz w:val="24"/>
          <w:szCs w:val="24"/>
        </w:rPr>
        <w:t xml:space="preserve"/>
      </w:r>
      <w:r>
        <w:rPr>
          <w:rFonts w:asciiTheme="majorBidi" w:hAnsiTheme="majorBidi" w:cstheme="majorBidi"/>
          <w:color w:val="FF0000"/>
          <w:sz w:val="24"/>
          <w:szCs w:val="24"/>
        </w:rPr>
        <w:t/>
      </w:r>
      <w:r w:rsidR="006F5760" w:rsidRPr="006F5760">
        <w:rPr>
          <w:rFonts w:asciiTheme="majorBidi" w:hAnsiTheme="majorBidi" w:cstheme="majorBidi"/>
          <w:color w:val="FF0000"/>
          <w:sz w:val="24"/>
          <w:szCs w:val="24"/>
        </w:rPr>
        <w:t/>
      </w:r>
      <w:r w:rsidR="006F5760">
        <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w:r>
      <w:r w:rsid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972BAD">
        <w:rPr>
          <w:rFonts w:asciiTheme="majorBidi" w:hAnsiTheme="majorBidi" w:cstheme="majorBidi"/>
          <w:color w:val="FF0000"/>
          <w:sz w:val="24"/>
          <w:szCs w:val="24"/>
        </w:rPr>
        <w:t xml:space="preserve"/>
      </w:r>
      <w:r w:rsidR="00F42596"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lastRenderedPageBreak/>
        <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9E61AB">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72BAD">
        <w:rPr>
          <w:rFonts w:ascii="Times New Roman" w:eastAsia="Times New Roman" w:hAnsi="Times New Roman" w:cs="Times New Roman"/>
          <w:kern w:val="0"/>
          <w:sz w:val="24"/>
          <w:szCs w:val="24"/>
          <w:lang w:eastAsia="tr-TR"/>
          <w14:ligatures w14:val="none"/>
        </w:rPr>
        <w:t xml:space="preserve"/>
      </w:r>
      <w:r w:rsidR="00972BAD" w:rsidRPr="00972BAD">
        <w:rPr>
          <w:rFonts w:ascii="Times New Roman" w:eastAsia="Times New Roman" w:hAnsi="Times New Roman" w:cs="Times New Roman"/>
          <w:color w:val="000000" w:themeColor="text1"/>
          <w:kern w:val="0"/>
          <w:sz w:val="24"/>
          <w:szCs w:val="24"/>
          <w:lang w:eastAsia="tr-TR"/>
          <w14:ligatures w14:val="none"/>
        </w:rPr>
        <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pStyle w:val="Normal"/>
        <w:spacing w:after="0" w:line="276" w:lineRule="auto"/>
        <w:rPr>
          <w:rFonts w:ascii="Times New Roman" w:eastAsia="Times New Roman" w:hAnsi="Times New Roman" w:cs="Times New Roman"/>
          <w:kern w:val="0"/>
          <w:sz w:val="24"/>
          <w:szCs w:val="24"/>
          <w:rtl/>
          <w:lang w:eastAsia="tr-TR"/>
          <w14:ligatures w14:val="none"/>
        </w:rPr>
      </w:pPr>
      <w:r w:rsidRPr="00187FC3">
        <w:t xml:space="preserve">Bazı resm kaynaklarında, 1960'lı yıllarda Afrika ülkelerinde tahrif edilmiş mushafların dağıtıldığına dair Mısır basınında iddialar yayımlandığı aktarılmaktadır. Ancak bu çalışmada söz konusu haberlerin dayandırıldığı gazete nüshaları doğrudan doğrulanamadığından, olayın ayrıntıları kesin tarihsel veri olarak kullanılmamalıdır.</w:t>
      </w:r>
      <w:r w:rsidRPr="00F42596">
        <w:t xml:space="preserve"/>
      </w:r>
      <w:r w:rsidR="00925F21">
        <w:t/>
      </w:r>
      <w:r w:rsidRPr="00F42596">
        <w:t xml:space="preserve"/>
      </w:r>
      <w:r w:rsidRPr="00567795">
        <w:t/>
      </w:r>
      <w:r w:rsidRPr="00F42596">
        <w:t xml:space="preserve"/>
      </w:r>
      <w:r w:rsidR="00925F21">
        <w:t/>
      </w:r>
      <w:r w:rsidRPr="00F42596">
        <w:t xml:space="preserve"/>
      </w:r>
      <w:r w:rsidRPr="00966AB5">
        <w:t/>
      </w:r>
      <w:r w:rsidRPr="00F42596">
        <w:t xml:space="preserve"/>
      </w:r>
      <w:r w:rsidRPr="005A799E">
        <w:t/>
      </w:r>
      <w:r w:rsidR="005A799E">
        <w:t/>
      </w:r>
      <w:r w:rsidRPr="005A799E">
        <w:t/>
      </w:r>
      <w:r w:rsidRPr="00F42596">
        <w:t xml:space="preserve"/>
      </w:r>
      <w:r w:rsidR="00925F21">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t xml:space="preserve"/>
      </w:r>
      <w:r w:rsidR="00187FC3">
        <w:t/>
      </w:r>
      <w:r w:rsidRPr="00F42596">
        <w:t/>
      </w:r>
      <w:r w:rsidR="003C613A">
        <w:t xml:space="preserve"/>
      </w:r>
      <w:r w:rsidRPr="00F42596">
        <w:t xml:space="preserve"/>
      </w:r>
      <w:r w:rsidR="00D65E2D">
        <w:t xml:space="preserve"/>
      </w:r>
      <w:r w:rsidR="00A43DA2" w:rsidRPr="00A43DA2">
        <w:t/>
      </w:r>
      <w:r w:rsidR="00A43DA2">
        <w:t xml:space="preserve"/>
      </w:r>
      <w:r w:rsidRPr="00F42596">
        <w:t/>
      </w:r>
      <w:r w:rsidR="001F3FD4" w:rsidRPr="001F3FD4">
        <w:t xml:space="preserve"/>
      </w:r>
      <w:r w:rsidR="001F3FD4">
        <w:t/>
      </w:r>
      <w:r w:rsidR="001F3FD4" w:rsidRPr="001F3FD4">
        <w:t/>
      </w:r>
      <w:r w:rsidRPr="00F42596">
        <w:t/>
      </w:r>
      <w:r w:rsidR="001F3FD4">
        <w:t xml:space="preserve"/>
      </w:r>
      <w:r w:rsidRPr="00F42596">
        <w:t/>
      </w:r>
    </w:p>
    <w:p w14:paraId="28A2370C" w14:textId="3D62B76B"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Bu nedenle ayrıntılar, olayın doğrulanmış unsurları olarak değil, ilgili kaynakların aktardığı iddiaların kapsamını göstermek üzere sınırlı biçimde anılmaktadır.</w:t>
      </w:r>
      <w:r w:rsidRPr="00F42596">
        <w:rPr>
          <w:rFonts w:ascii="Times New Roman" w:eastAsia="Times New Roman" w:hAnsi="Times New Roman" w:cs="Times New Roman"/>
          <w:kern w:val="0"/>
          <w:sz w:val="24"/>
          <w:szCs w:val="24"/>
          <w:rtl/>
          <w:lang w:eastAsia="tr-TR"/>
          <w14:ligatures w14:val="none"/>
        </w:rPr>
        <w:t/>
      </w:r>
      <w:r w:rsidRPr="00F42596">
        <w:t xml:space="preserve"/>
      </w:r>
      <w:r w:rsidR="00925F21">
        <w:t/>
      </w:r>
      <w:r w:rsidRPr="00F42596">
        <w:t/>
      </w:r>
    </w:p>
    <w:p w14:paraId="72269462" w14:textId="32F435EC"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İlgili kaynakta bazı âyetlerden lafız çıkarıldığına dair örnekler aktarılmaktadır; bu ayrıntılar burada doğrulanmış vaka olarak değil, kaynağın naklettiği iddialar olarak kaydedilmektedir.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t xml:space="preserve"/>
      </w:r>
      <w:r w:rsidRPr="00567795">
        <w:t/>
      </w:r>
      <w:r w:rsidR="00187FC3" w:rsidRPr="00567795">
        <w:t xml:space="preserve"/>
      </w:r>
      <w:r w:rsidRPr="00F42596">
        <w:t xml:space="preserve"/>
      </w:r>
      <w:r w:rsidR="00187FC3" w:rsidRPr="00567795">
        <w:t/>
      </w:r>
      <w:r w:rsidRPr="00F42596">
        <w:t/>
      </w:r>
      <w:r w:rsidR="00187FC3">
        <w:t/>
      </w:r>
      <w:r w:rsidRPr="00F42596">
        <w:t xml:space="preserve"/>
      </w:r>
      <w:r w:rsidR="00187FC3">
        <w:t/>
      </w:r>
      <w:r w:rsidRPr="00F42596">
        <w:t/>
      </w:r>
      <w:r w:rsidR="00187FC3">
        <w:t/>
      </w:r>
      <w:r w:rsidRPr="00F42596">
        <w:t xml:space="preserve"/>
      </w:r>
      <w:r w:rsidRPr="00567795">
        <w:t/>
      </w:r>
      <w:r w:rsidR="00187FC3">
        <w:t/>
      </w:r>
      <w:r w:rsidRPr="00F42596">
        <w:t xml:space="preserve"/>
      </w:r>
      <w:r w:rsidRPr="00F42596">
        <w:rPr>
          <w:rFonts w:ascii="Times New Roman" w:eastAsia="Times New Roman" w:hAnsi="Times New Roman" w:cs="Times New Roman"/>
          <w:kern w:val="0"/>
          <w:sz w:val="24"/>
          <w:szCs w:val="24"/>
          <w:rtl/>
          <w:lang w:eastAsia="tr-TR"/>
          <w14:ligatures w14:val="none"/>
        </w:rPr>
        <w:t/>
      </w:r>
      <w:r w:rsidRPr="00F42596">
        <w:t/>
      </w:r>
    </w:p>
    <w:p w14:paraId="4D176950" w14:textId="5DC56551"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Aynı anlatıda başka lafız çıkarma örnekleri de zikredilmektedir; bunlar bağımsız biçimde doğrulanamadığından kesin tarihsel veri olarak kullanılmamaktadır.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t xml:space="preserve"/>
      </w:r>
      <w:r w:rsidRPr="00F42596">
        <w:t/>
      </w:r>
      <w:r w:rsidRPr="00F42596">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163009B1" w14:textId="78CCB24F"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Kaynak ayrıca bazı lafızların başka lafızlarla değiştirildiğini ileri sürmektedir; bu ayrıntı da doğrudan doğrulanmış bir olgu olarak benimsenmemektedir.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t xml:space="preserve"/>
      </w:r>
      <w:r w:rsidRPr="00F42596">
        <w:t/>
      </w:r>
      <w:r w:rsidRPr="00F42596">
        <w:t xml:space="preserve"/>
      </w:r>
      <w:r w:rsidR="00187FC3" w:rsidRPr="00F42596">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656FFC20" w14:textId="66C7EA5C"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lastRenderedPageBreak/>
        <w:t xml:space="preserve">Filistin'deki bazı okul mushaflarına ilişkin çıkarma iddiaları da aynı anlatı içinde yer almaktadır; dayanak malzeme doğrudan doğrulanamadığından bu aktarım ihtiyatla değerlendirilmelidir.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t xml:space="preserve"/>
      </w:r>
      <w:r w:rsidRPr="00F42596">
        <w:t/>
      </w:r>
      <w:r w:rsidRPr="00F42596">
        <w:t xml:space="preserve"/>
      </w:r>
      <w:r w:rsidR="00FB04CB">
        <w:t/>
      </w:r>
      <w:r w:rsidRPr="00FB04CB">
        <w:t/>
      </w:r>
      <w:r w:rsidRPr="00F42596">
        <w:t xml:space="preserve"/>
      </w:r>
      <w:r w:rsidRPr="00F42596">
        <w:t/>
      </w:r>
    </w:p>
    <w:p w14:paraId="1428446D" w14:textId="1E76ADE1"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t xml:space="preserve">Aynı kaynak grubunda ikinci bir âyetin de okutulmadığı ileri sürülmektedir; dayandırıldığı basın nüshası doğrudan doğrulanmadığından ayrıntı kesin tarihsel veri sayılmamalıdır.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t xml:space="preserve"/>
      </w:r>
      <w:r w:rsidRPr="00F42596">
        <w:t/>
      </w:r>
      <w:r w:rsidRPr="00F42596">
        <w:t/>
      </w:r>
    </w:p>
    <w:p w14:paraId="67D5B32E" w14:textId="4F811B1A" w:rsidR="00F42596" w:rsidRPr="00F42596" w:rsidRDefault="00F42596" w:rsidP="00F42596">
      <w:pPr>
        <w:pStyle w:val="Normal"/>
        <w:spacing w:after="0" w:line="276" w:lineRule="auto"/>
        <w:rPr>
          <w:rFonts w:ascii="Times New Roman" w:eastAsia="Times New Roman" w:hAnsi="Times New Roman" w:cs="Times New Roman"/>
          <w:b/>
          <w:bCs/>
          <w:kern w:val="0"/>
          <w:sz w:val="24"/>
          <w:szCs w:val="24"/>
          <w:lang w:eastAsia="tr-TR"/>
          <w14:ligatures w14:val="none"/>
        </w:rPr>
      </w:pPr>
      <w:r w:rsidRPr="00F42596">
        <w:t xml:space="preserve">Kaynak, söz konusu iddialara karşı bazı resmî ve dinî çevrelerin tepki gösterdiğini de aktarmaktadır. Bununla birlikte failin amacı hakkında hüküm kuran açıklamalar doğrulanmış olgu olarak kullanılamaz.</w:t>
      </w:r>
      <w:r w:rsidR="00925F21">
        <w:t xml:space="preserve"/>
      </w:r>
      <w:r w:rsidRPr="00F42596">
        <w:t/>
      </w:r>
      <w:r w:rsidR="00187FC3">
        <w:t xml:space="preserve"/>
      </w:r>
      <w:r w:rsidRPr="00F42596">
        <w:t/>
      </w:r>
      <w:r w:rsidR="00187FC3">
        <w:t/>
      </w:r>
      <w:r w:rsidRPr="00F42596">
        <w:t/>
      </w:r>
      <w:r w:rsidR="00187FC3">
        <w:t/>
      </w:r>
      <w:r w:rsidRPr="00F42596">
        <w:t xml:space="preserve"/>
      </w:r>
      <w:r w:rsidRPr="00302B74">
        <w:t/>
      </w:r>
      <w:r w:rsidR="00302B74">
        <w:t/>
      </w:r>
      <w:r w:rsidRPr="00302B74">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pStyle w:val="Normal"/>
        <w:spacing w:after="0" w:line="276" w:lineRule="auto"/>
        <w:rPr>
          <w:rFonts w:asciiTheme="majorBidi" w:eastAsia="Times New Roman" w:hAnsiTheme="majorBidi" w:cstheme="majorBidi"/>
          <w:bCs/>
          <w:color w:val="FF0000"/>
          <w:kern w:val="0"/>
          <w:sz w:val="24"/>
          <w:szCs w:val="24"/>
          <w:lang w:eastAsia="tr-TR"/>
          <w14:ligatures w14:val="none"/>
        </w:rPr>
      </w:pPr>
      <w:r>
        <w:t>Bu örnek, resm literatüründe metin güvenliği kaygısının nasıl gerekçelendirildiğini gösteren bir aktarım olarak kullanılabilir; ancak olayın tarihsel ayrıntıları bağımsız doğrulama olmadan argümanın ampirik kanıtı hâline getirilmemelidir.</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imlâya göre yazım, bazı kırâat vecihlerinin resm-i Osmânî içindeki ihtimalî uygunluğunu görünür kılan tarihsel yazım özelliklerini ortadan kaldırabilir veya farklılaştırabilir. Bununla birlikte kırâatlerin varlığı yalnız bu grafik imkâna bağlı değildir; okuyuşların asıl aktarım zemini telakki, edâ ve rivâyet geleneğidir.</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t>Son olarak, müşterek mushaf yazısının farklı coğrafya ve nesiller arasında ortak bir yazılı hafıza oluşturması birlik gerekçesinin tarihsel yönünü açıklar.</w:t>
      </w:r>
      <w:r w:rsidR="003C613A">
        <w:t/>
      </w:r>
      <w:r w:rsidRPr="00F42596">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Resm-i Osmânî'ye bağlılığın tarihsel ve normatif gerekçeleri bu şekilde ayrıştırıldıktan sonra, resmin kırâat ilmindeki somut kullanım alanlarına dönmek gerekir. Dördüncü bölüm, resmin kırâat rivâyetlerinin tespiti ve tahdidi, sahâbe mushafları, şâz okuyuşlar, tercih, tevcîh ve sonraki mushaf neşriyle ilişkisini bu açıdan ele almaktadır.</w:t>
      </w: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Bu bağlamda “Kırâat sünnettir.” sözü ile Ebû Amr b. el-A‘lâ'dan nakledilen ifade, kırâat aktarımında rivâyet ve telakkinin merkezî konumuna işaret etmektedir.</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r>
      <w:proofErr w:type="gramStart"/>
      <w:r w:rsidRPr="00F42596">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567795">
        <w:rPr>
          <w:rFonts w:ascii="Times New Roman" w:eastAsia="Times New Roman" w:hAnsi="Times New Roman" w:cs="Times New Roman"/>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802A1">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Birinci Bölümde ayrıntıları verilen cem ve istinsah süreci bakımından burada vurgulanması gereken husus şudur: Osmânî mushafların yazılı çerçevesi, rivâyetle sabit ve müşterek kabul gören okuyuşların kaydedildiği tarihsel zemini oluşturmuştur; yazı bu okuyuşları üretmemiş, rivâyet edilen metni müşterek mushaf biçiminde kayda geçirmiştir.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kırâat rivâyetlerini meydana getiren bağımsız bir kaynak değildir. Bununla birlikte mushaf hattına uygunluk, rivâyetle nakledilen okuyuşların müşterek mushaf yazısıyla bağdaşma durumunu değerlendirmede kullanılan önemli ölçütlerden biridir.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F4D5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durum, resmin okuyuşları seçen bağımsız bir özne olduğunu değil, rivâyet edilen okuyuşların müşterek yazılı çerçeveyle uyumunun değerlendirilmesine katkı sağladığını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Okuyuşun varlığı ve edâsı rivâyet yoluyla bilinir; resm ise bu okuyuşun Osmânî mushafların yazılı çerçevesi içindeki konumunu değerlendirmeye katkı sağlar.</w:t>
      </w:r>
      <w:proofErr w:type="gramStart"/>
      <w:r w:rsidRPr="002F604F">
        <w:rPr>
          <w:rFonts w:ascii="Times New Roman" w:eastAsia="Times New Roman" w:hAnsi="Times New Roman" w:cs="Times New Roman"/>
          <w:kern w:val="0"/>
          <w:sz w:val="24"/>
          <w:szCs w:val="24"/>
          <w:lang w:eastAsia="tr-TR"/>
          <w14:ligatures w14:val="none"/>
        </w:rPr>
        <w:t/>
      </w:r>
      <w:r w:rsidR="00BD634C" w:rsidRPr="00567795">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 ümmetin müşterek yazılı başvuru zemini hâline gelirken, sahâbeye nispet edilen şahsî mushaflar erken dönemdeki okuyuş, tertip ve yazım çeşitliliğine ilişkin tarihsel veriler sunmaktadır. Bu iki malzemenin işlev ve otorite düzeyi aynı değildir. Bir sonraki başlık bu farkı ele almaktadır.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farklılıkları tek bir kategori altında değerlendirilmemelidir. Kaynaklarda farklı okuyuş rivâyetleri, açıklayıcı veya tefsirî ifadeler, kelime tertibi yahut yazım biçimine ilişkin aktarımlar ve isnadı veya yorumu tartışmalı kayıtlar birlikte yer almaktadır. Bu malzemenin tarihsel değeri, erken dönemdeki okuyuş ve yazı çeşitliliğine dair veri sunmasındadır. Buna karşılık ümmetin müşterek mushaf geleneğinde normatif ölçü, Osmânî mushafların yazılı çerçevesi ile sahih rivâyetin birlikte değerlendirilmesi üzerinden şekillenmiştir.</w:t>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w:t>
      </w:r>
      <w:r w:rsidRPr="006762F7">
        <w:rPr>
          <w:rFonts w:ascii="Times New Roman" w:eastAsia="Times New Roman" w:hAnsi="Times New Roman" w:cs="Times New Roman"/>
          <w:color w:val="FF0000"/>
          <w:kern w:val="0"/>
          <w:sz w:val="24"/>
          <w:szCs w:val="24"/>
          <w:lang w:eastAsia="tr-TR"/>
          <w14:ligatures w14:val="none"/>
        </w:rPr>
        <w:t xml:space="preserve"/>
      </w:r>
      <w:r w:rsidR="002700F3" w:rsidRPr="006762F7">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İbn Mes‘ûd'a nispet edilen rivâyetler, onun istinsah süreci ve kendi mushafıyla ilişkili bazı itirazlarının bulunduğunu göstermektedir. Bu tavrın hangi psikolojik saikle ortaya çıktığını kesin biçimde belirlemek yerine, nakledilen söz ve uygulamalar kendi tarihsel bağlamları içinde değerlendirilmelidir.</w:t>
      </w:r>
      <w:r w:rsidR="008067E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7A27">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6F7A2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1A5BA6">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rivâyetleri, erken Kur’an aktarımında bulunan okuyuş, tertip ve yazım çeşitliliğini incelemek bakımından önemlidir. Bununla birlikte sonraki müşterek mushaf geleneğinin normatif zemini Osmânî mushaflar etrafında şekillenmiştir. Bu sebeple şahsî mushaf rivâyetleri tarihsel tanıklık ile normatif metin otoritesi birbirine karıştırılmadan kullanılmalıdır.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fiilî sonuçlar doğurduğunu gösteren en dikkat çekici örneklerden biri, İbn Şenbûz (ö. 32</w:t>
      </w:r>
      <w:r w:rsidR="004A6E5D">
        <w:rPr>
          <w:rFonts w:ascii="Times New Roman" w:eastAsia="Times New Roman" w:hAnsi="Times New Roman" w:cs="Times New Roman"/>
          <w:kern w:val="0"/>
          <w:sz w:val="24"/>
          <w:szCs w:val="24"/>
          <w:lang w:eastAsia="tr-TR"/>
          <w14:ligatures w14:val="none"/>
        </w:rPr>
        <w:t>8/939) hadisesidir.</w:t>
      </w:r>
      <w:r w:rsidRPr="00F42596">
        <w:rPr>
          <w:rFonts w:ascii="Times New Roman" w:eastAsia="Times New Roman" w:hAnsi="Times New Roman" w:cs="Times New Roman"/>
          <w:kern w:val="0"/>
          <w:sz w:val="24"/>
          <w:szCs w:val="24"/>
          <w:lang w:eastAsia="tr-TR"/>
          <w14:ligatures w14:val="none"/>
        </w:rPr>
        <w:t xml:space="preserve"> İbn Mücâhid, senedin sahihliği ve Arapçaya uygunluğu yeterli sayarak mushaf hattına aykırı okuyuşları da savunan çağdaşı İbn Şenbûz’a karşı son derece sert bir tavır almıştır. Onu tevbeye çağırmış, meselesini vezir İbn Mukle’ye (ö. 328/940) taşımış ve neticede İbn Şenbûz,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hattının dışına çıkan okuyuşları sebebiyle cezalandırılmıştır. Bunun ardından yaptığı tevbe metninde, üzerinde sahâbenin ittifak ettiği Osman mushafına aykırı bazı harflerle okuduğunu, daha sonra bunun hata olduğunu anladığını, artık bundan vazgeçtiğini ve Osman mushafının muhalefet edilmesi câiz olmayan hak metin olduğunu açıkça ifade etmiştir.</w:t>
      </w:r>
      <w:r w:rsidR="0040487F">
        <w:rPr>
          <w:rStyle w:val="DipnotBavurusu"/>
          <w:rFonts w:ascii="Times New Roman" w:eastAsia="Times New Roman" w:hAnsi="Times New Roman" w:cs="Times New Roman"/>
          <w:kern w:val="0"/>
          <w:sz w:val="24"/>
          <w:szCs w:val="24"/>
          <w:lang w:eastAsia="tr-TR"/>
          <w14:ligatures w14:val="none"/>
        </w:rPr>
        <w:footnoteReference w:id="391"/>
      </w:r>
      <w:r w:rsidRPr="00F42596">
        <w:rPr>
          <w:rFonts w:ascii="Times New Roman" w:eastAsia="Times New Roman" w:hAnsi="Times New Roman" w:cs="Times New Roman"/>
          <w:kern w:val="0"/>
          <w:sz w:val="24"/>
          <w:szCs w:val="24"/>
          <w:lang w:eastAsia="tr-TR"/>
          <w14:ligatures w14:val="none"/>
        </w:rPr>
        <w:t xml:space="preserve"> Bu hadise,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yalnız teorik bir referans kabul edilmediğini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canlı, yürürlükte ve kurumsal yaptırım gücüne sahip bir ölçü olarak görüldüğünü göstermektedir. </w:t>
      </w:r>
      <w:r w:rsidR="00592151" w:rsidRPr="00592151">
        <w:rPr>
          <w:rFonts w:ascii="Times New Roman" w:eastAsia="Times New Roman" w:hAnsi="Times New Roman" w:cs="Times New Roman"/>
          <w:color w:val="FF0000"/>
          <w:kern w:val="0"/>
          <w:sz w:val="24"/>
          <w:szCs w:val="24"/>
          <w:lang w:eastAsia="tr-TR"/>
          <w14:ligatures w14:val="none"/>
        </w:rPr>
        <w:t xml:space="preserve">Bu itibarla </w:t>
      </w:r>
      <w:r w:rsidRPr="00F42596">
        <w:rPr>
          <w:rFonts w:ascii="Times New Roman" w:eastAsia="Times New Roman" w:hAnsi="Times New Roman" w:cs="Times New Roman"/>
          <w:kern w:val="0"/>
          <w:sz w:val="24"/>
          <w:szCs w:val="24"/>
          <w:lang w:eastAsia="tr-TR"/>
          <w14:ligatures w14:val="none"/>
        </w:rPr>
        <w:t xml:space="preserve">burada korunmak istenen sadece bir </w:t>
      </w:r>
      <w:r w:rsidRPr="00F42596">
        <w:rPr>
          <w:rFonts w:ascii="Times New Roman" w:eastAsia="Times New Roman" w:hAnsi="Times New Roman" w:cs="Times New Roman"/>
          <w:kern w:val="0"/>
          <w:sz w:val="24"/>
          <w:szCs w:val="24"/>
          <w:lang w:eastAsia="tr-TR"/>
          <w14:ligatures w14:val="none"/>
        </w:rPr>
        <w:lastRenderedPageBreak/>
        <w:t>yazı şeklinden ibaret olmayıp</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yazı etrafında oluşmuş müşterek kırâat alanı ve ümmetin ortak mushaf bilincidir</w:t>
      </w:r>
      <w:r w:rsidR="00803482">
        <w:rPr>
          <w:rFonts w:ascii="Times New Roman" w:eastAsia="Times New Roman" w:hAnsi="Times New Roman" w:cs="Times New Roman"/>
          <w:kern w:val="0"/>
          <w:sz w:val="24"/>
          <w:szCs w:val="24"/>
          <w:lang w:eastAsia="tr-TR"/>
          <w14:ligatures w14:val="none"/>
        </w:rPr>
        <w:t>.</w:t>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mushaf hattına aykırı olan kırâat vecihlerinin tedricen şâz kategorisine sevk edildiği görülmektedir. Rivâyetleri sahih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hattına uymayan okuyuşlar fi</w:t>
      </w:r>
      <w:r w:rsidR="0080348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lî kırâat alanının dışına çıkarılmış ve zamanla “şâz kırâat” adıyla anılmaya başlanmıştır.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Dolayısıyla bu yaklaşım, mushaf hattının kırâat ilminde pasif bir unsur olmadığını; sahih ile şâz arasındaki çizgiyi belirleyen bağlayıcı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geldiğini göstermektedir.</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ışığında,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aykırı kırâat vecihlerinin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ve şâz sayılması meselesinin, mushaf hattının kırâat ilmindeki merkezî konumunu gösterdiği anlaşılmaktadır. Burada üç temel sonuç dikkat çekmektedir</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 mushaf hattına aykırı kalan vecihlerin bir kısmı, geçmişte ruhsat kapsamında bulunmuş olsa da, son arza ve sahâbe icmâı ile bağlayıcılığını yitirmiş kabul edilmiştir. İkincisi, bu vecihler sadece amel dışı bırakılmamış, aynı zamanda şâz kategorisine dâhil edilerek müşterek kırâat alanının dışına çıkarılmıştır. Üçüncüsü ise, mushaf hattına uygunluk şartı ibadet alanına kadar taşınmış ve namazda okunabilecek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sınırları da bu ölçüyle belirlenmiştir. Bu itibarla resm-i Osmânî, kırâat ilminde sadece tarihî bir yazı düzeni olarak değerlendirilmemeli; makbul kırâat ile bağlayıcılığını kaybetmiş rivâyetler arasındaki çizgiyi tayin eden kurucu bir </w:t>
      </w:r>
      <w:r w:rsidR="00CC694A">
        <w:rPr>
          <w:rFonts w:ascii="Times New Roman" w:eastAsia="Times New Roman" w:hAnsi="Times New Roman" w:cs="Times New Roman"/>
          <w:kern w:val="0"/>
          <w:sz w:val="24"/>
          <w:szCs w:val="24"/>
          <w:lang w:eastAsia="tr-TR"/>
          <w14:ligatures w14:val="none"/>
        </w:rPr>
        <w:t xml:space="preserve">referans </w:t>
      </w:r>
      <w:r w:rsidR="00CC694A" w:rsidRPr="00CC694A">
        <w:rPr>
          <w:rFonts w:asciiTheme="majorBidi" w:hAnsiTheme="majorBidi" w:cstheme="majorBidi"/>
          <w:color w:val="FF0000"/>
          <w:sz w:val="24"/>
          <w:szCs w:val="24"/>
        </w:rPr>
        <w:t>işlevi gördüğü anlaşılmaktadır</w:t>
      </w:r>
      <w:r w:rsidRPr="00CC694A">
        <w:rPr>
          <w:rFonts w:asciiTheme="majorBidi" w:eastAsia="Times New Roman" w:hAnsiTheme="majorBidi" w:cstheme="majorBidi"/>
          <w:color w:val="FF0000"/>
          <w:kern w:val="0"/>
          <w:sz w:val="24"/>
          <w:szCs w:val="24"/>
          <w:lang w:eastAsia="tr-TR"/>
          <w14:ligatures w14:val="none"/>
        </w:rPr>
        <w:t>.</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nin Kırâatlerin </w:t>
      </w:r>
      <w:r w:rsidRPr="00E65633">
        <w:rPr>
          <w:rFonts w:ascii="Times New Roman" w:eastAsia="Times New Roman" w:hAnsi="Times New Roman" w:cs="Times New Roman"/>
          <w:b/>
          <w:bCs/>
          <w:kern w:val="0"/>
          <w:sz w:val="26"/>
          <w:szCs w:val="26"/>
          <w:lang w:eastAsia="tr-TR"/>
          <w14:ligatures w14:val="none"/>
        </w:rPr>
        <w:t>Tercîhî</w:t>
      </w:r>
      <w:r w:rsidRPr="00F42596">
        <w:rPr>
          <w:rFonts w:ascii="Times New Roman" w:eastAsia="Times New Roman" w:hAnsi="Times New Roman" w:cs="Times New Roman"/>
          <w:b/>
          <w:bCs/>
          <w:kern w:val="0"/>
          <w:sz w:val="26"/>
          <w:szCs w:val="26"/>
          <w:lang w:eastAsia="tr-TR"/>
          <w14:ligatures w14:val="none"/>
        </w:rPr>
        <w:t xml:space="preserve">, </w:t>
      </w:r>
      <w:r w:rsidRPr="00F13E9D">
        <w:rPr>
          <w:rFonts w:ascii="Times New Roman" w:eastAsia="Times New Roman" w:hAnsi="Times New Roman" w:cs="Times New Roman"/>
          <w:b/>
          <w:bCs/>
          <w:kern w:val="0"/>
          <w:sz w:val="26"/>
          <w:szCs w:val="26"/>
          <w:lang w:eastAsia="tr-TR"/>
          <w14:ligatures w14:val="none"/>
        </w:rPr>
        <w:t>Tevcîh</w:t>
      </w:r>
      <w:r w:rsidR="00F13E9D">
        <w:rPr>
          <w:rFonts w:ascii="Times New Roman" w:eastAsia="Times New Roman" w:hAnsi="Times New Roman" w:cs="Times New Roman"/>
          <w:b/>
          <w:bCs/>
          <w:kern w:val="0"/>
          <w:sz w:val="26"/>
          <w:szCs w:val="26"/>
          <w:lang w:eastAsia="tr-TR"/>
          <w14:ligatures w14:val="none"/>
        </w:rPr>
        <w:t>i</w:t>
      </w:r>
      <w:r w:rsidRPr="00F42596">
        <w:rPr>
          <w:rFonts w:ascii="Times New Roman" w:eastAsia="Times New Roman" w:hAnsi="Times New Roman" w:cs="Times New Roman"/>
          <w:b/>
          <w:bCs/>
          <w:kern w:val="0"/>
          <w:sz w:val="26"/>
          <w:szCs w:val="26"/>
          <w:lang w:eastAsia="tr-TR"/>
          <w14:ligatures w14:val="none"/>
        </w:rPr>
        <w:t xml:space="preserve"> ve Vakıf Uygulamalarına Etkisi</w:t>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etkinin ilk ve en belirgin tezahürü, kırâat imamlarının yaptıkları ihtiyarlarda görülmektedir. Sahâbenin okuduğu bütün vecihlerin umum kurrâ tarafından bütünüyle kuşatılması mümkün olmadığından, İslâm beldelerinin her biri tâbiîn döneminde bir kırâat imamına yönelmiş ve o imamın tercih ettiği okuyuşlar etrafında istikrar kazanmıştır. Ancak bu tercihler rastgele yahut keyfî biç</w:t>
      </w:r>
      <w:r w:rsidR="00F33826">
        <w:rPr>
          <w:rFonts w:ascii="Times New Roman" w:eastAsia="Times New Roman" w:hAnsi="Times New Roman" w:cs="Times New Roman"/>
          <w:kern w:val="0"/>
          <w:sz w:val="24"/>
          <w:szCs w:val="24"/>
          <w:lang w:eastAsia="tr-TR"/>
          <w14:ligatures w14:val="none"/>
        </w:rPr>
        <w:t>imde yapılmamıştır.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Böylece resm-i Osmânî, kırâat imamlarının ihtiyarında sessiz fakat belirleyici bir ölçü işlevi görmüştür.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Burada mushaf hattına uygunluk, yazılı şekle bağlı kalma düşüncesinin ötesinde, ümmetin üzerinde birleştiği kırâat alanının dışına çıkmama hassasiyeti olarak da anlaşılmaktadır.</w:t>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kırâat ilmindeki tesiri, yalnız kırâat vecihlerinin kabulü ve tercihiyle sınırlı kalmamış; vakıf uygulamalarına ve edâ tercihlerine kadar uzanan daha geniş bir alanda da belirginleşmiştir. Nitekim kırâat geleneğinde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vakıf, ilk bakışta sadece ses icrasıyla ilgili bir mesele gibi görünse de, gerçekte mushaf hattıyla doğrudan irtibatlandırılmıştır. Çünkü kelimenin son harfinin nasıl değerlendirileceği, hazif ve isbatın nasıl uygulanacağı, ayrıca iki kelimenin bitişik yahut ayrı yazılmış olmasının vakfa nasıl yansıyacağı gibi hususlar, çoğu zaman mushaf resmine göre tayin edilmiştir. </w:t>
      </w:r>
      <w:r w:rsidRPr="004A10DF">
        <w:rPr>
          <w:rFonts w:ascii="Times New Roman" w:eastAsia="Times New Roman" w:hAnsi="Times New Roman" w:cs="Times New Roman"/>
          <w:color w:val="FF0000"/>
          <w:kern w:val="0"/>
          <w:sz w:val="24"/>
          <w:szCs w:val="24"/>
          <w:lang w:eastAsia="tr-TR"/>
          <w14:ligatures w14:val="none"/>
        </w:rPr>
        <w:t xml:space="preserve">Bu sebeple resm-i </w:t>
      </w:r>
      <w:r w:rsidR="004A10DF" w:rsidRPr="004A10DF">
        <w:rPr>
          <w:rFonts w:ascii="Times New Roman" w:eastAsia="Times New Roman" w:hAnsi="Times New Roman" w:cs="Times New Roman"/>
          <w:color w:val="FF0000"/>
          <w:kern w:val="0"/>
          <w:sz w:val="24"/>
          <w:szCs w:val="24"/>
          <w:lang w:eastAsia="tr-TR"/>
          <w14:ligatures w14:val="none"/>
        </w:rPr>
        <w:t xml:space="preserve">Mushaf, </w:t>
      </w:r>
      <w:r w:rsidRPr="004A10DF">
        <w:rPr>
          <w:rFonts w:ascii="Times New Roman" w:eastAsia="Times New Roman" w:hAnsi="Times New Roman" w:cs="Times New Roman"/>
          <w:color w:val="FF0000"/>
          <w:kern w:val="0"/>
          <w:sz w:val="24"/>
          <w:szCs w:val="24"/>
          <w:lang w:eastAsia="tr-TR"/>
          <w14:ligatures w14:val="none"/>
        </w:rPr>
        <w:t>okuyuşun fiilî icr</w:t>
      </w:r>
      <w:r w:rsidR="00877CC4" w:rsidRPr="004A10DF">
        <w:rPr>
          <w:rFonts w:ascii="Times New Roman" w:eastAsia="Times New Roman" w:hAnsi="Times New Roman" w:cs="Times New Roman"/>
          <w:color w:val="FF0000"/>
          <w:kern w:val="0"/>
          <w:sz w:val="24"/>
          <w:szCs w:val="24"/>
          <w:lang w:eastAsia="tr-TR"/>
          <w14:ligatures w14:val="none"/>
        </w:rPr>
        <w:t>a</w:t>
      </w:r>
      <w:r w:rsidRPr="004A10DF">
        <w:rPr>
          <w:rFonts w:ascii="Times New Roman" w:eastAsia="Times New Roman" w:hAnsi="Times New Roman" w:cs="Times New Roman"/>
          <w:color w:val="FF0000"/>
          <w:kern w:val="0"/>
          <w:sz w:val="24"/>
          <w:szCs w:val="24"/>
          <w:lang w:eastAsia="tr-TR"/>
          <w14:ligatures w14:val="none"/>
        </w:rPr>
        <w:t>sına yön veren bağlayıcı bir ölçü olarak karşımıza çıkmaktadır.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 (</w:t>
      </w:r>
      <w:r w:rsidRPr="007A383B">
        <w:rPr>
          <w:rFonts w:ascii="Times New Roman" w:eastAsia="Times New Roman" w:hAnsi="Times New Roman" w:cs="Times New Roman"/>
          <w:color w:val="FF0000"/>
          <w:kern w:val="0"/>
          <w:sz w:val="24"/>
          <w:szCs w:val="24"/>
          <w:lang w:eastAsia="tr-TR"/>
          <w14:ligatures w14:val="none"/>
        </w:rPr>
        <w:t>ö. 440/1048</w:t>
      </w:r>
      <w:r w:rsidR="007A383B" w:rsidRPr="007A383B">
        <w:rPr>
          <w:rFonts w:ascii="Times New Roman" w:eastAsia="Times New Roman" w:hAnsi="Times New Roman" w:cs="Times New Roman"/>
          <w:color w:val="FF0000"/>
          <w:kern w:val="0"/>
          <w:sz w:val="24"/>
          <w:szCs w:val="24"/>
          <w:lang w:eastAsia="tr-TR"/>
          <w14:ligatures w14:val="none"/>
        </w:rPr>
        <w:t xml:space="preserve"> </w:t>
      </w:r>
      <w:r w:rsidR="007A383B">
        <w:rPr>
          <w:rFonts w:ascii="Times New Roman" w:eastAsia="Times New Roman" w:hAnsi="Times New Roman" w:cs="Times New Roman"/>
          <w:color w:val="FF0000"/>
          <w:kern w:val="0"/>
          <w:sz w:val="24"/>
          <w:szCs w:val="24"/>
          <w:lang w:eastAsia="tr-TR"/>
          <w14:ligatures w14:val="none"/>
        </w:rPr>
        <w:t>daha önce geçmişmi</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bilgisinin yalnız yazı </w:t>
      </w:r>
      <w:r w:rsidRPr="00F42596">
        <w:rPr>
          <w:rFonts w:ascii="Times New Roman" w:eastAsia="Times New Roman" w:hAnsi="Times New Roman" w:cs="Times New Roman"/>
          <w:kern w:val="0"/>
          <w:sz w:val="24"/>
          <w:szCs w:val="24"/>
          <w:lang w:eastAsia="tr-TR"/>
          <w14:ligatures w14:val="none"/>
        </w:rPr>
        <w:lastRenderedPageBreak/>
        <w:t>tarihine ilişkin yardımcı tali bir veri alanı şeklinde görülmemesi gerektiğini; bilakis kırâat farklılıklarının anlaşılması için kurucu bir zemin teşkil ettiğini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Nitekim bir grup imamın, kurrânın, âlimin, kâti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in ve edi</w:t>
      </w:r>
      <w:r w:rsidR="00055D2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 xml:space="preserve">in mushaf hattındaki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bilmeleri, ona uymaları ve onu aşmamaları gerektiğini vurgulaması da aynı anlayışın devamıdır. Çünkü onlara göre bu yazı, vahiy kâtibi ve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sûlullah’ın</w:t>
      </w:r>
      <w:r w:rsidRPr="00F42596">
        <w:rPr>
          <w:rFonts w:ascii="Times New Roman" w:eastAsia="Times New Roman" w:hAnsi="Times New Roman" w:cs="Times New Roman"/>
          <w:kern w:val="0"/>
          <w:sz w:val="24"/>
          <w:szCs w:val="24"/>
          <w:lang w:eastAsia="tr-TR"/>
          <w14:ligatures w14:val="none"/>
        </w:rPr>
        <w:t xml:space="preserve"> emini olan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idir; onun yazdığı hiçbir şey hikmetsiz ve ince bir illetten yoksun değildir. Böylece resm-i mushaf, korunmuş bir yazı biçiminin ötesinde, güvenilir naklin </w:t>
      </w:r>
      <w:r w:rsidRPr="006565C3">
        <w:rPr>
          <w:rFonts w:ascii="Times New Roman" w:eastAsia="Times New Roman" w:hAnsi="Times New Roman" w:cs="Times New Roman"/>
          <w:kern w:val="0"/>
          <w:sz w:val="24"/>
          <w:szCs w:val="24"/>
          <w:lang w:eastAsia="tr-TR"/>
          <w14:ligatures w14:val="none"/>
        </w:rPr>
        <w:t>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zemini olarak değerlendirilmektedir.</w:t>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w:t>
      </w:r>
      <w:r w:rsidRPr="009B3EC0">
        <w:rPr>
          <w:rFonts w:ascii="Times New Roman" w:eastAsia="Times New Roman" w:hAnsi="Times New Roman" w:cs="Times New Roman"/>
          <w:color w:val="FF0000"/>
          <w:kern w:val="0"/>
          <w:sz w:val="24"/>
          <w:szCs w:val="24"/>
          <w:lang w:eastAsia="tr-TR"/>
          <w14:ligatures w14:val="none"/>
        </w:rPr>
        <w:t>ö. 154/771</w:t>
      </w:r>
      <w:r w:rsidR="009B3EC0" w:rsidRPr="009B3EC0">
        <w:rPr>
          <w:rFonts w:ascii="Times New Roman" w:eastAsia="Times New Roman" w:hAnsi="Times New Roman" w:cs="Times New Roman"/>
          <w:color w:val="FF0000"/>
          <w:kern w:val="0"/>
          <w:sz w:val="24"/>
          <w:szCs w:val="24"/>
          <w:lang w:eastAsia="tr-TR"/>
          <w14:ligatures w14:val="none"/>
        </w:rPr>
        <w:t xml:space="preserve"> </w:t>
      </w:r>
      <w:r w:rsidR="009B3EC0">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Zuhruf sûresin</w:t>
      </w:r>
      <w:r w:rsidR="00055D2E">
        <w:rPr>
          <w:rFonts w:ascii="Times New Roman" w:eastAsia="Times New Roman" w:hAnsi="Times New Roman" w:cs="Times New Roman"/>
          <w:kern w:val="0"/>
          <w:sz w:val="24"/>
          <w:szCs w:val="24"/>
          <w:lang w:eastAsia="tr-TR"/>
          <w14:ligatures w14:val="none"/>
        </w:rPr>
        <w:t xml:space="preserve">de geçen,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denilebilir ki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hecâsına dair rivâyetler, yalnız yazı tarihine ilişkin malumat sunan tali veriler değildir. Aksine bunlar, kırâat ihtilaflarının tespiti, sınırlarının belirlenmesi ve yorumlanmasında kurucu işleve sahiptir. Bir taraftan mushaflar arasındaki yazım farklılıklarının sahih rivâyet temelinde anlaşılmasını sağlamakta, diğer taraftan kırâat vecihlerinin hangi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zemin üzerinde okunup aktarıldığını göstermektedir. Bu sebeple resm rivâyetleri, kırâat ilminin kenarında duran yardımcı bir alan sayılmamalı; kırâat rivâyetlerinin tarihi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meşruiyeti</w:t>
      </w:r>
      <w:r w:rsidR="00055D2E">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farklılık yapısını açıklayan temel bilgi kaynaklarından biri olarak değerlendirilmelidir.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w:t>
      </w:r>
      <w:r w:rsidRPr="00EB5050">
        <w:rPr>
          <w:rFonts w:ascii="Times New Roman" w:eastAsia="Times New Roman" w:hAnsi="Times New Roman" w:cs="Times New Roman"/>
          <w:color w:val="FF0000"/>
          <w:kern w:val="0"/>
          <w:sz w:val="24"/>
          <w:szCs w:val="24"/>
          <w:lang w:eastAsia="tr-TR"/>
          <w14:ligatures w14:val="none"/>
        </w:rPr>
        <w:t>. 442/10509</w:t>
      </w:r>
      <w:r w:rsidR="00EB5050" w:rsidRPr="00EB5050">
        <w:rPr>
          <w:rFonts w:ascii="Times New Roman" w:eastAsia="Times New Roman" w:hAnsi="Times New Roman" w:cs="Times New Roman"/>
          <w:color w:val="FF0000"/>
          <w:kern w:val="0"/>
          <w:sz w:val="24"/>
          <w:szCs w:val="24"/>
          <w:lang w:eastAsia="tr-TR"/>
          <w14:ligatures w14:val="none"/>
        </w:rPr>
        <w:t xml:space="preserve"> </w:t>
      </w:r>
      <w:r w:rsidR="00EB5050" w:rsidRPr="00793B2A">
        <w:rPr>
          <w:rFonts w:ascii="Times New Roman" w:eastAsia="Times New Roman" w:hAnsi="Times New Roman" w:cs="Times New Roman"/>
          <w:color w:val="FF0000"/>
          <w:kern w:val="0"/>
          <w:sz w:val="24"/>
          <w:szCs w:val="24"/>
          <w:lang w:eastAsia="tr-TR"/>
          <w14:ligatures w14:val="none"/>
        </w:rPr>
        <w:t>daha önce geçti mi</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 (</w:t>
      </w:r>
      <w:r w:rsidRPr="00C9186B">
        <w:rPr>
          <w:rFonts w:ascii="Times New Roman" w:eastAsia="Times New Roman" w:hAnsi="Times New Roman" w:cs="Times New Roman"/>
          <w:color w:val="FF0000"/>
          <w:kern w:val="0"/>
          <w:sz w:val="24"/>
          <w:szCs w:val="24"/>
          <w:lang w:eastAsia="tr-TR"/>
          <w14:ligatures w14:val="none"/>
        </w:rPr>
        <w:t>ö. 642/1244</w:t>
      </w:r>
      <w:r w:rsidR="00C9186B" w:rsidRPr="00C9186B">
        <w:rPr>
          <w:rFonts w:ascii="Times New Roman" w:eastAsia="Times New Roman" w:hAnsi="Times New Roman" w:cs="Times New Roman"/>
          <w:color w:val="FF0000"/>
          <w:kern w:val="0"/>
          <w:sz w:val="24"/>
          <w:szCs w:val="24"/>
          <w:lang w:eastAsia="tr-TR"/>
          <w14:ligatures w14:val="none"/>
        </w:rPr>
        <w:t xml:space="preserve"> </w:t>
      </w:r>
      <w:r w:rsidR="00C9186B" w:rsidRPr="00793B2A">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w:t>
      </w:r>
      <w:r w:rsidR="0035357E">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hattı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dair görüşlerin günümüzde basılan, kırâat rivâyetlerine göre düzenlenmiş mushaflarda uygulanan yazı sisteminin teorik arka planını oluşturmaktadır. Tevk</w:t>
      </w:r>
      <w:r w:rsidR="00BF704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fîlik, bağlayıcılık ve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düşüncesi ne kadar güçlü kabul edilirse, matbu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muhafaza etme eğilimi de o ölçüde güçlenmektedir. Buna karşılık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daha çok tarihî veya teknik bir alan olarak gören yaklaşımlar, çağdaş yazı kurallarına daha yakın basım tercihlerine kapı aralayabilmektedir. Bu sebeple bugün belirli kırâat rivâyetleri esas alınarak basılan mushaflarda görülen uygulama farklılıkları, yalnız baskı tekniğiyle ilgili bir mesele olmayıp resm-i Osmânî hakkında benimsenen nazariyenin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sonucudur. Böylece erken dönemde şekillenen </w:t>
      </w:r>
      <w:r w:rsidR="00612855">
        <w:rPr>
          <w:rFonts w:ascii="Times New Roman" w:eastAsia="Times New Roman" w:hAnsi="Times New Roman" w:cs="Times New Roman"/>
          <w:kern w:val="0"/>
          <w:sz w:val="24"/>
          <w:szCs w:val="24"/>
          <w:lang w:eastAsia="tr-TR"/>
          <w14:ligatures w14:val="none"/>
        </w:rPr>
        <w:t>res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görülmektedir.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960170">
        <w:rPr>
          <w:rFonts w:ascii="Times New Roman" w:eastAsia="Times New Roman" w:hAnsi="Times New Roman" w:cs="Times New Roman"/>
          <w:color w:val="FF0000"/>
          <w:kern w:val="0"/>
          <w:sz w:val="24"/>
          <w:szCs w:val="24"/>
          <w:lang w:eastAsia="tr-TR"/>
          <w14:ligatures w14:val="none"/>
        </w:rPr>
        <w:t>Bütün bu veriler birlikte değerlendirildiğinde</w:t>
      </w:r>
      <w:r w:rsidRPr="00F42596">
        <w:rPr>
          <w:rFonts w:ascii="Times New Roman" w:eastAsia="Times New Roman" w:hAnsi="Times New Roman" w:cs="Times New Roman"/>
          <w:kern w:val="0"/>
          <w:sz w:val="24"/>
          <w:szCs w:val="24"/>
          <w:lang w:eastAsia="tr-TR"/>
          <w14:ligatures w14:val="none"/>
        </w:rPr>
        <w:t>, çağdaş matbu mushaflarda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gelişigüzel bir tercih olmadığı açıkça anlaşılmaktadır. Burada belirleyici olan husus, resm kaynaklarının güvenilirliği ve mushaf yazımında ölçü kabul edilmeleridir. Nitekim Dânî ile Ebû Dâ</w:t>
      </w:r>
      <w:r w:rsidR="00DD77AC">
        <w:rPr>
          <w:rFonts w:ascii="Times New Roman" w:eastAsia="Times New Roman" w:hAnsi="Times New Roman" w:cs="Times New Roman"/>
          <w:kern w:val="0"/>
          <w:sz w:val="24"/>
          <w:szCs w:val="24"/>
          <w:lang w:eastAsia="tr-TR"/>
          <w14:ligatures w14:val="none"/>
        </w:rPr>
        <w:t>vu</w:t>
      </w:r>
      <w:r w:rsidRPr="00F42596">
        <w:rPr>
          <w:rFonts w:ascii="Times New Roman" w:eastAsia="Times New Roman" w:hAnsi="Times New Roman" w:cs="Times New Roman"/>
          <w:kern w:val="0"/>
          <w:sz w:val="24"/>
          <w:szCs w:val="24"/>
          <w:lang w:eastAsia="tr-TR"/>
          <w14:ligatures w14:val="none"/>
        </w:rPr>
        <w:t xml:space="preserve">d </w:t>
      </w:r>
      <w:r w:rsidRPr="00302B74">
        <w:rPr>
          <w:rFonts w:ascii="Times New Roman" w:eastAsia="Times New Roman" w:hAnsi="Times New Roman" w:cs="Times New Roman"/>
          <w:kern w:val="0"/>
          <w:sz w:val="24"/>
          <w:szCs w:val="24"/>
          <w:lang w:eastAsia="tr-TR"/>
          <w14:ligatures w14:val="none"/>
        </w:rPr>
        <w:t>Süleymân</w:t>
      </w:r>
      <w:r w:rsidRPr="00F42596">
        <w:rPr>
          <w:rFonts w:ascii="Times New Roman" w:eastAsia="Times New Roman" w:hAnsi="Times New Roman" w:cs="Times New Roman"/>
          <w:kern w:val="0"/>
          <w:sz w:val="24"/>
          <w:szCs w:val="24"/>
          <w:lang w:eastAsia="tr-TR"/>
          <w14:ligatures w14:val="none"/>
        </w:rPr>
        <w:t xml:space="preserve"> b. Necâḥ’ın eserleri, yalnız geçmiş mushafların yazım özelliklerini nakleden tarihî kayıtlar olarak kalmamış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modern mushaf neşrinin fiilî temelini teşkil etmiştir. Bu sebeple günümüzde basılan mushaflarda görülen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yazım biçimi, klasik resm rivâyeti geleneğinin çağdaş döneme taşınmış de</w:t>
      </w:r>
      <w:r w:rsidR="00927B3E">
        <w:rPr>
          <w:rFonts w:ascii="Times New Roman" w:eastAsia="Times New Roman" w:hAnsi="Times New Roman" w:cs="Times New Roman"/>
          <w:kern w:val="0"/>
          <w:sz w:val="24"/>
          <w:szCs w:val="24"/>
          <w:lang w:eastAsia="tr-TR"/>
          <w14:ligatures w14:val="none"/>
        </w:rPr>
        <w:t>vamı olarak değerlendirilebilir</w:t>
      </w:r>
      <w:r w:rsidRPr="00F42596">
        <w:rPr>
          <w:rFonts w:ascii="Times New Roman" w:eastAsia="Times New Roman" w:hAnsi="Times New Roman" w:cs="Times New Roman"/>
          <w:kern w:val="0"/>
          <w:sz w:val="24"/>
          <w:szCs w:val="24"/>
          <w:lang w:eastAsia="tr-TR"/>
          <w14:ligatures w14:val="none"/>
        </w:rPr>
        <w:t>. Böylece modern matbu mushaflar ile ilk dönem mushaf yazımı arasında doğrudan rivâyet temelli bir süreklilik hattı kurulmuş olmaktadır.</w:t>
      </w:r>
    </w:p>
    <w:p w14:paraId="323564E5" w14:textId="1D8905D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çerçevede çağdaş mushaf neşirlerinde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 üç temel amaca hizmet etmektedir. İlk olarak, mushaf yazımını ilk nesilden gelen rivâyet zincirine bağlı tutmaktadır. İkinci olarak, istinsah ve matbaa süreçlerinde doğabilecek keyfî yazım farklılıklarını önlemektedir. Üçüncü olarak ise, ümmetin elindeki matbu mushafları ortak bir yazı standardı etrafında toplayarak mushaf birliğini güçlendirmektedir. Bu</w:t>
      </w:r>
      <w:r w:rsidR="00927B3E">
        <w:rPr>
          <w:rFonts w:ascii="Times New Roman" w:eastAsia="Times New Roman" w:hAnsi="Times New Roman" w:cs="Times New Roman"/>
          <w:kern w:val="0"/>
          <w:sz w:val="24"/>
          <w:szCs w:val="24"/>
          <w:lang w:eastAsia="tr-TR"/>
          <w14:ligatures w14:val="none"/>
        </w:rPr>
        <w:t xml:space="preserve"> sebeple </w:t>
      </w:r>
      <w:r w:rsidR="00927B3E" w:rsidRPr="00927B3E">
        <w:rPr>
          <w:rFonts w:ascii="Times New Roman" w:eastAsia="Times New Roman" w:hAnsi="Times New Roman" w:cs="Times New Roman"/>
          <w:color w:val="FF0000"/>
          <w:kern w:val="0"/>
          <w:sz w:val="24"/>
          <w:szCs w:val="24"/>
          <w:lang w:eastAsia="tr-TR"/>
          <w14:ligatures w14:val="none"/>
        </w:rPr>
        <w:t xml:space="preserve">ilk dönem </w:t>
      </w:r>
      <w:r w:rsidRPr="00F42596">
        <w:rPr>
          <w:rFonts w:ascii="Times New Roman" w:eastAsia="Times New Roman" w:hAnsi="Times New Roman" w:cs="Times New Roman"/>
          <w:kern w:val="0"/>
          <w:sz w:val="24"/>
          <w:szCs w:val="24"/>
          <w:lang w:eastAsia="tr-TR"/>
          <w14:ligatures w14:val="none"/>
        </w:rPr>
        <w:t>resm kaynaklarına dönüş, modern dönemde yalnız filolojik bir tercih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otoritesini, güvenilirliğini ve yazıdaki sürekliliğini koruma teşebbüsü olarak değerlendirilmiştir. Böylece erken dönemde şekillenen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anlayışının, modern dönemde matbu mushaflara doğrudan yön verdiği daha açık biçimde anlaşılmaktadır.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 tarihi boyunca mushaf istinsahı yalnız bir çoğaltma faaliyeti olarak görülmemiş, aynı zamanda güçlü bir hat ve yazı geleneği içinde gelişmiştir. Müstensihler ve hattatlar, güzel yazı, düzgün istinsah, tezhip ve tezyin hususunda birbirleriyle yarışmış; bu rekabet özellikle </w:t>
      </w:r>
      <w:r w:rsidR="00E3360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 şerifin yazımında belirginleşmiştir. Rivâyete göre Velîd b. Abdülmelik (ö. 96/715) devrinin meşhur hattatı Hâlid b. Ebü’l-Heyyâc’dan (?) kendisi için bir mushaf yazmasını istemiş, o da bu nüshada hattının inceliğini ve ustalığını göstermiştir. Daha sonraki dönemlerde İbn Mukle (ö. 328/940), İbnü’l-Bevvâb (ö. 413/1022) ve benzeri hattatlar da mushaf yazımı ve hat sanatında temayüz ederek bu geleneğin gelişmesine katkıda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Nitekim İbn Kesîr’in de işaret ettiği üzere, ilk dönemlerde yaygın olan yazı biçimi daha sade ve kapalı bir görünüm arz etm</w:t>
      </w:r>
      <w:r w:rsidR="00E3360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w:t>
      </w:r>
      <w:r w:rsidR="009C016C">
        <w:rPr>
          <w:rFonts w:ascii="Times New Roman" w:eastAsia="Times New Roman" w:hAnsi="Times New Roman" w:cs="Times New Roman"/>
          <w:kern w:val="0"/>
          <w:sz w:val="24"/>
          <w:szCs w:val="24"/>
          <w:lang w:eastAsia="tr-TR"/>
          <w14:ligatures w14:val="none"/>
        </w:rPr>
        <w:t>aha sonra İbn Mukle</w:t>
      </w:r>
      <w:r w:rsidRPr="00F42596">
        <w:rPr>
          <w:rFonts w:ascii="Times New Roman" w:eastAsia="Times New Roman" w:hAnsi="Times New Roman" w:cs="Times New Roman"/>
          <w:kern w:val="0"/>
          <w:sz w:val="24"/>
          <w:szCs w:val="24"/>
          <w:lang w:eastAsia="tr-TR"/>
          <w14:ligatures w14:val="none"/>
        </w:rPr>
        <w:t xml:space="preserve"> bu yazıyı belirli kaidelere bağlayarak daha sistemli bir üsluba kavuşturmuş, ardından İbnü’l-Bevvâ</w:t>
      </w:r>
      <w:r w:rsidR="00595403">
        <w:rPr>
          <w:rFonts w:ascii="Times New Roman" w:eastAsia="Times New Roman" w:hAnsi="Times New Roman" w:cs="Times New Roman"/>
          <w:kern w:val="0"/>
          <w:sz w:val="24"/>
          <w:szCs w:val="24"/>
          <w:lang w:eastAsia="tr-TR"/>
          <w14:ligatures w14:val="none"/>
        </w:rPr>
        <w:t>b</w:t>
      </w:r>
      <w:r w:rsidRPr="00E64677">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çizgiyi daha da geliştirerek olgunlaştırmıştır.</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Bu tarihî gelişimin yanı sıra, mushaf yazımının biçim, estetik ve teknik bakımından sürekli gelişen bir alan olduğu</w:t>
      </w:r>
      <w:r w:rsidR="00E33606">
        <w:rPr>
          <w:rFonts w:ascii="Times New Roman" w:eastAsia="Times New Roman" w:hAnsi="Times New Roman" w:cs="Times New Roman"/>
          <w:kern w:val="0"/>
          <w:sz w:val="24"/>
          <w:szCs w:val="24"/>
          <w:lang w:eastAsia="tr-TR"/>
          <w14:ligatures w14:val="none"/>
        </w:rPr>
        <w:t xml:space="preserve"> ortaya çıkmaktadır</w:t>
      </w:r>
      <w:r w:rsidRPr="00F42596">
        <w:rPr>
          <w:rFonts w:ascii="Times New Roman" w:eastAsia="Times New Roman" w:hAnsi="Times New Roman" w:cs="Times New Roman"/>
          <w:kern w:val="0"/>
          <w:sz w:val="24"/>
          <w:szCs w:val="24"/>
          <w:lang w:eastAsia="tr-TR"/>
          <w14:ligatures w14:val="none"/>
        </w:rPr>
        <w:t>.</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w:t>
      </w:r>
      <w:r w:rsidR="00E33606">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ilk şekli</w:t>
      </w:r>
      <w:r w:rsidR="00E33606">
        <w:rPr>
          <w:rFonts w:ascii="Times New Roman" w:eastAsia="Times New Roman" w:hAnsi="Times New Roman" w:cs="Times New Roman"/>
          <w:kern w:val="0"/>
          <w:sz w:val="24"/>
          <w:szCs w:val="24"/>
          <w:lang w:eastAsia="tr-TR"/>
          <w14:ligatures w14:val="none"/>
        </w:rPr>
        <w:t>nde</w:t>
      </w:r>
      <w:r w:rsidRPr="00F42596">
        <w:rPr>
          <w:rFonts w:ascii="Times New Roman" w:eastAsia="Times New Roman" w:hAnsi="Times New Roman" w:cs="Times New Roman"/>
          <w:kern w:val="0"/>
          <w:sz w:val="24"/>
          <w:szCs w:val="24"/>
          <w:lang w:eastAsia="tr-TR"/>
          <w14:ligatures w14:val="none"/>
        </w:rPr>
        <w:t xml:space="preserve"> nokta ve hareke</w:t>
      </w:r>
      <w:r w:rsidR="00E33606">
        <w:rPr>
          <w:rFonts w:ascii="Times New Roman" w:eastAsia="Times New Roman" w:hAnsi="Times New Roman" w:cs="Times New Roman"/>
          <w:kern w:val="0"/>
          <w:sz w:val="24"/>
          <w:szCs w:val="24"/>
          <w:lang w:eastAsia="tr-TR"/>
          <w14:ligatures w14:val="none"/>
        </w:rPr>
        <w:t xml:space="preserve"> bulunmamaktadır</w:t>
      </w:r>
      <w:r w:rsidRPr="00F42596">
        <w:rPr>
          <w:rFonts w:ascii="Times New Roman" w:eastAsia="Times New Roman" w:hAnsi="Times New Roman" w:cs="Times New Roman"/>
          <w:kern w:val="0"/>
          <w:sz w:val="24"/>
          <w:szCs w:val="24"/>
          <w:lang w:eastAsia="tr-TR"/>
          <w14:ligatures w14:val="none"/>
        </w:rPr>
        <w:t xml:space="preserve">. Bunun temel sebebi,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farklı kırâat vecihlerini ihtimal dâhilinde taşıyabilecek bir esnekliğe sahip olmasıdı</w:t>
      </w:r>
      <w:r w:rsidR="00E3360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İslâm dünyası içindeki matbu serüveni, 1201/1787’de Rusya’nın Saint Petersburg şehrinde Mevlây Osman (?) tarafından gerçekleştirilen baskıyla yeni bir safhaya girmiştir.</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1C27F2E8" w14:textId="007C00F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veriler, matbu mushafların sadece mevcut okuyuşları pasif biçimde yansıtan araçlar olmadığını göstermektedir. Aksine onlar, belirli kırâat rivâyetlerinin yaygınlaşmasında, standartlaşmasında ve geniş kitlelerce benimsenmesinde aktif rol oynamıştır. Verş rivâyetinin Mağrib’de, Hafs rivâyetinin ise Mısır ve ardından İslâm dünyasının büyük bölümünde yerleşmesi, mushaf neşri ile kırâat dolaşımı arasındaki ilişkinin ne kadar güçlü olduğunu ortaya koymaktadır. Bu sebeple çağdaş mushaf neşri tarihi incelenirken, hangi mushafın hangi kırâat rivâyetine göre yazıldığı ve hangi resm anlayışına göre basıldığı meselesi, doğrudan kırâat tarihinin seyriyle birlikte ele alınmalıdır.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w:t>
      </w:r>
      <w:r w:rsidRPr="00227C41">
        <w:rPr>
          <w:rFonts w:ascii="Times New Roman" w:eastAsia="Times New Roman" w:hAnsi="Times New Roman" w:cs="Times New Roman"/>
          <w:bCs/>
          <w:kern w:val="0"/>
          <w:sz w:val="24"/>
          <w:szCs w:val="24"/>
          <w:lang w:eastAsia="tr-TR"/>
          <w14:ligatures w14:val="none"/>
        </w:rPr>
        <w:t>Teftîş-i Mesâhif-i Şerîfe Meclisi</w:t>
      </w:r>
      <w:r w:rsidRPr="00F42596">
        <w:rPr>
          <w:rFonts w:ascii="Times New Roman" w:eastAsia="Times New Roman" w:hAnsi="Times New Roman" w:cs="Times New Roman"/>
          <w:kern w:val="0"/>
          <w:sz w:val="24"/>
          <w:szCs w:val="24"/>
          <w:lang w:eastAsia="tr-TR"/>
          <w14:ligatures w14:val="none"/>
        </w:rPr>
        <w:t>nin ve devamındaki denetim yapılarının, matbu İslâmî eserlerle birlikte mushaf neşrini de kontrol altına aldığını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Bu, Osmanlı’nın mushaf basımında hem metin güvenliğini hem de dinî meşruiyeti korumaya çalıştığını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Özetle, Türkiye’de mushaf basımının tarihî seyri üç temel nitelikle öne çıkmaktadır: geç başlaması, sıkı biçimde denetlenmesi ve nihayet Diyanet İşleri Başkanlığı bünyesinde kurumsal bir standarda bağlanması. Bu durum, mushafın Türkiye’de tarih boyunca hem metin güvenliği hem de dinî otorite açısından özel bir konuma sahip old</w:t>
      </w:r>
      <w:r w:rsidR="000570A2">
        <w:rPr>
          <w:rFonts w:ascii="Times New Roman" w:eastAsia="Times New Roman" w:hAnsi="Times New Roman" w:cs="Times New Roman"/>
          <w:kern w:val="0"/>
          <w:sz w:val="24"/>
          <w:szCs w:val="24"/>
          <w:lang w:eastAsia="tr-TR"/>
          <w14:ligatures w14:val="none"/>
        </w:rPr>
        <w:t>uğunu teyit etmektedir.</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araştırmanın ortaya koyduğu temel sonuç, resm-i mushaf ile kırâat rivâyeti arasındaki ilişkinin yazı ile söz karşıtlığı üzerinden açıklanamayacağıdır. Kırâatlerin aslî aktarım zemini telakki, müşâfehe, edâ, </w:t>
      </w:r>
      <w:r w:rsidRPr="00FB1750">
        <w:rPr>
          <w:rFonts w:ascii="Times New Roman" w:eastAsia="Times New Roman" w:hAnsi="Times New Roman" w:cs="Times New Roman"/>
          <w:kern w:val="0"/>
          <w:sz w:val="24"/>
          <w:szCs w:val="24"/>
          <w14:ligatures w14:val="none"/>
        </w:rPr>
        <w:t>isnad</w:t>
      </w:r>
      <w:r w:rsidRPr="00F42596">
        <w:rPr>
          <w:rFonts w:ascii="Times New Roman" w:eastAsia="Times New Roman" w:hAnsi="Times New Roman" w:cs="Times New Roman"/>
          <w:kern w:val="0"/>
          <w:sz w:val="24"/>
          <w:szCs w:val="24"/>
          <w14:ligatures w14:val="none"/>
        </w:rPr>
        <w:t xml:space="preserve"> ve </w:t>
      </w:r>
      <w:r w:rsidRPr="00DB7320">
        <w:rPr>
          <w:rFonts w:ascii="Times New Roman" w:eastAsia="Times New Roman" w:hAnsi="Times New Roman" w:cs="Times New Roman"/>
          <w:kern w:val="0"/>
          <w:sz w:val="24"/>
          <w:szCs w:val="24"/>
          <w14:ligatures w14:val="none"/>
        </w:rPr>
        <w:t>rivâyettir</w:t>
      </w:r>
      <w:r w:rsidRPr="00F42596">
        <w:rPr>
          <w:rFonts w:ascii="Times New Roman" w:eastAsia="Times New Roman" w:hAnsi="Times New Roman" w:cs="Times New Roman"/>
          <w:kern w:val="0"/>
          <w:sz w:val="24"/>
          <w:szCs w:val="24"/>
          <w14:ligatures w14:val="none"/>
        </w:rPr>
        <w:t xml:space="preserve">. Mushaf yazısı, hocadan öğrenilen okuyuşun yerine geçmez ve harf iskeletinden hareketle bağımsız kırâat üretmez. Buna karşılık sözlü olarak nakledilen okuyuşlar da ortak mushaf metninden bütünüyle bağımsız değildir.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tarihsel sürekliliği, lafzın sözlü icrası ile bu lafzın ortak yazılı kaydının birlikte işlemesi sayesinde korunmuştur.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Osmânî istinsahın önemli sonuçlarından biri, okuyuş farklılıklarını ortadan kaldırmadan kabul edilebilir çeşitliliği ortak bir yazım çerçevesi içinde korumasıdır. Resm-i Osmânî bazı okuyuşları harf yapısıyla doğrudan göster</w:t>
      </w:r>
      <w:r w:rsidR="00A23EB2">
        <w:rPr>
          <w:rFonts w:ascii="Times New Roman" w:eastAsia="Times New Roman" w:hAnsi="Times New Roman" w:cs="Times New Roman"/>
          <w:kern w:val="0"/>
          <w:sz w:val="24"/>
          <w:szCs w:val="24"/>
          <w14:ligatures w14:val="none"/>
        </w:rPr>
        <w:t xml:space="preserve">miş, </w:t>
      </w:r>
      <w:r w:rsidRPr="00F42596">
        <w:rPr>
          <w:rFonts w:ascii="Times New Roman" w:eastAsia="Times New Roman" w:hAnsi="Times New Roman" w:cs="Times New Roman"/>
          <w:kern w:val="0"/>
          <w:sz w:val="24"/>
          <w:szCs w:val="24"/>
          <w14:ligatures w14:val="none"/>
        </w:rPr>
        <w:t xml:space="preserve">bazı okuyuşlarla ihtimal yoluyla bağdaşabilmiştir. Gerçek uygunluk ile </w:t>
      </w:r>
      <w:r w:rsidRPr="00564B8A">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uygunluk arasındaki ayrım, aynı yazı iskeletinin sahih rivâyetle sabit birden fazla okuyuşa imkân verebilmesini açıklamaktadır. Bununla birlikte yazının bir okuyuşu mümkün kılması, o okuyuşun kendiliğinden sahih olduğunu gösterme</w:t>
      </w:r>
      <w:r w:rsidR="00A23EB2">
        <w:rPr>
          <w:rFonts w:ascii="Times New Roman" w:eastAsia="Times New Roman" w:hAnsi="Times New Roman" w:cs="Times New Roman"/>
          <w:kern w:val="0"/>
          <w:sz w:val="24"/>
          <w:szCs w:val="24"/>
          <w14:ligatures w14:val="none"/>
        </w:rPr>
        <w:t>mekte, h</w:t>
      </w:r>
      <w:r w:rsidRPr="00F42596">
        <w:rPr>
          <w:rFonts w:ascii="Times New Roman" w:eastAsia="Times New Roman" w:hAnsi="Times New Roman" w:cs="Times New Roman"/>
          <w:kern w:val="0"/>
          <w:sz w:val="24"/>
          <w:szCs w:val="24"/>
          <w14:ligatures w14:val="none"/>
        </w:rPr>
        <w:t>angi okuyuşun kırâat olarak sabit olduğu telakki, isnad ve edâ yoluyla belirlen</w:t>
      </w:r>
      <w:r w:rsidR="00A23EB2">
        <w:rPr>
          <w:rFonts w:ascii="Times New Roman" w:eastAsia="Times New Roman" w:hAnsi="Times New Roman" w:cs="Times New Roman"/>
          <w:kern w:val="0"/>
          <w:sz w:val="24"/>
          <w:szCs w:val="24"/>
          <w14:ligatures w14:val="none"/>
        </w:rPr>
        <w:t>mekted</w:t>
      </w:r>
      <w:r w:rsidRPr="00F42596">
        <w:rPr>
          <w:rFonts w:ascii="Times New Roman" w:eastAsia="Times New Roman" w:hAnsi="Times New Roman" w:cs="Times New Roman"/>
          <w:kern w:val="0"/>
          <w:sz w:val="24"/>
          <w:szCs w:val="24"/>
          <w14:ligatures w14:val="none"/>
        </w:rPr>
        <w:t>ir; resm-i Osmânî’ye uygunluk ise rivâyetin ortak mushaf geleneğiyle bağdaşıp bağdaşmadığını gösteren ölçülerden biridir.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nedenle resm-i Osmânî’ye uygunluk, kırâatlerin kabulünde tek başına yeterli veya diğer şartlara indirgenebilecek bir ölçü değildir. Rivâyetin güvenilirliği, Arap dilinde bir veche sahip olması ve resm-i Osmânî’ye uygunluk birlikte değerlendirilmiştir. Bu uygunluğun bulunması zayıf veya temelsiz bir nakli sahih hâle getirmediği gibi, isnadın varlığı da mushaf hattına açıkça aykırı bir okuyuşa genel tilâvet alanında bağlayıcılık kazandırmamaktadır. Sahih, meşhur, âhâd ve şâz okuyuşlara ilişkin değerlendirmeler de bu çoklu ölçü düzeni içinde anlam kazanmaktadır. Şâz rivâyetlerin tefs</w:t>
      </w:r>
      <w:r w:rsidR="00B35BC4">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Basılı mushaflar </w:t>
      </w:r>
      <w:r w:rsidR="00D34C8F" w:rsidRPr="00F42596">
        <w:rPr>
          <w:rFonts w:ascii="Times New Roman" w:eastAsia="Times New Roman" w:hAnsi="Times New Roman" w:cs="Times New Roman"/>
          <w:kern w:val="0"/>
          <w:sz w:val="24"/>
          <w:szCs w:val="24"/>
          <w14:ligatures w14:val="none"/>
        </w:rPr>
        <w:t xml:space="preserve">yalnız </w:t>
      </w:r>
      <w:r w:rsidRPr="00F42596">
        <w:rPr>
          <w:rFonts w:ascii="Times New Roman" w:eastAsia="Times New Roman" w:hAnsi="Times New Roman" w:cs="Times New Roman"/>
          <w:kern w:val="0"/>
          <w:sz w:val="24"/>
          <w:szCs w:val="24"/>
          <w14:ligatures w14:val="none"/>
        </w:rPr>
        <w:t>mevcut okuyuşları yansıtmamış, belirli rivâyetlerin standartlaşması ve geniş coğrafyalarda yaygınlaşması üzerinde de etkili olmuştur. Ana metinde ele alınan Hafs ve Verş örnekleri, mushaf neşri ile kırâatlerin bölgesel ve daha geniş dolaşımı arasındaki ilişkinin birlikte incelenmesi gerektiğini göstermektedir.</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Erken mushaf yazmaları, şehir mushaflarına nispet edilen farklılıklar, bölgesel kırâat gelenekleri ve çağdaş neşirlerin resm tercihleri, bu yaklaşımın daha ayrıntılı uygulanabileceği araştırma alanlarıdır.</w:t>
      </w:r>
    </w:p>
    <w:p w14:paraId="5B0BF432" w14:textId="38CA92E0"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Sonuç olarak resm-i Osmânî, kırâati doğuran bağımsız kaynak değil, rivâyet yoluyla nakledilen kırâatlerin ortak yazılı sınırıdır. Bu sınır, tek bir okuyuşu her durumda zorunlu kılan dar bir fonetik kalıp olmadığı gibi, sınırsız seslendirme ihtimallerine açık bir yazı alanı da değildir. Resm-i Osmânî, sahih rivâyetle sabit okuyuşların bir kısmını açık biçimde gösterip bir kısmıyla ihtimal yoluyla bağdaşarak metin ile edâ, yazılı birlik ile okuyuş çeşitliliği ve tarihsel süreklilik ile ilmî denetim arasında denge kurulmasına katkı sağlamıştır.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’ın doğru aktarımı da mushaf metninin, güvenilir rivâyetin, ehil hocanın, müşâfehenin ve edâ geleneğinin birlikte korunmasına bağlıdır.</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2 Cilt.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24C7864" w14:textId="5D396EB6"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Abdullah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Selîm b. Îde’l-Hilâlî el-Eserî. Amman: Ğarâs, 2006.</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47F23E23" w14:textId="668F079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w:t>
      </w:r>
      <w:r w:rsidR="00A069EB"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mmed Abdullah b. Muslim. </w:t>
      </w:r>
      <w:r w:rsidRPr="0058794F">
        <w:rPr>
          <w:rFonts w:ascii="Times New Roman" w:eastAsia="Times New Roman" w:hAnsi="Times New Roman" w:cs="Times New Roman"/>
          <w:i/>
          <w:iCs/>
          <w:kern w:val="0"/>
          <w:sz w:val="24"/>
          <w:szCs w:val="24"/>
          <w:lang w:eastAsia="tr-TR"/>
          <w14:ligatures w14:val="none"/>
        </w:rPr>
        <w:t>Te’vîlu muhtelifi’l-hadîs</w:t>
      </w:r>
      <w:r w:rsidRPr="0058794F">
        <w:rPr>
          <w:rFonts w:ascii="Times New Roman" w:eastAsia="Times New Roman" w:hAnsi="Times New Roman" w:cs="Times New Roman"/>
          <w:kern w:val="0"/>
          <w:sz w:val="24"/>
          <w:szCs w:val="24"/>
          <w:lang w:eastAsia="tr-TR"/>
          <w14:ligatures w14:val="none"/>
        </w:rPr>
        <w:t>. thk. Muhammed Muhyiddîn el-Asfar. Beyrut: el-Mektebetü’l-İslâmî, 1999.</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 https://doi.org/http://doi.org/1051702/esoguifd.791085</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ed-Dânî,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ez-Zürkânî,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(bu dipnot daha önce geçmiş </w:t>
      </w:r>
      <w:proofErr w:type="gramStart"/>
      <w:r>
        <w:rPr>
          <w:color w:val="FF0000"/>
        </w:rPr>
        <w:t>midir.yoksa</w:t>
      </w:r>
      <w:proofErr w:type="gramEnd"/>
      <w:r>
        <w:rPr>
          <w:color w:val="FF0000"/>
        </w:rPr>
        <w:t xml:space="preserve"> kitabın ilk adı bu şekilde mi) buna bakılması.</w:t>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(bu eserin müellifi meçhuldür </w:t>
      </w:r>
      <w:proofErr w:type="gramStart"/>
      <w:r>
        <w:rPr>
          <w:color w:val="FF0000"/>
        </w:rPr>
        <w:t>literatürde</w:t>
      </w:r>
      <w:proofErr w:type="gramEnd"/>
      <w:r>
        <w:rPr>
          <w:color w:val="FF0000"/>
        </w:rPr>
        <w:t xml:space="preserve"> bu şekilde geçiyor.</w:t>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es-Suyûtî,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(el-Cum’â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w:t>
      </w:r>
      <w:r w:rsidRPr="00534B75">
        <w:rPr>
          <w:color w:val="FF0000"/>
        </w:rPr>
        <w:t>bu eser daha önce tam adıyla geçmişmiydi)</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eş</w:t>
      </w:r>
      <w:proofErr w:type="gramEnd"/>
      <w:r>
        <w:t>-</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ez</w:t>
      </w:r>
      <w:proofErr w:type="gramEnd"/>
      <w:r>
        <w:t>-</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en</w:t>
      </w:r>
      <w:proofErr w:type="gramEnd"/>
      <w:r>
        <w:t>-</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eş</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ez</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el</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el</w:t>
      </w:r>
      <w:proofErr w:type="gramEnd"/>
      <w:r>
        <w:t>-</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