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Araştırma soruları birbirine bağlıdır.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Kırâatlerin aslî kaynağı, telakki ve müşâfehe yoluyla sürdürülen, edâ ve isnadla denetlenen rivâyet geleneğidir.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iki terim, kapsamları farklı olduğu için bağlama göre ayrı kullanılmalıdır.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Mushaf</w:t>
      </w:r>
      <w:r w:rsidR="006572ED">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Kırâat, rivâyet, tarîk ve vecih, aktarım zincirinin farklı düzeylerini gösterir: kırâat imama, rivâyet râviye, tarîk râviden sonraki nakil koluna, vecih ise ilgili rivâyet veya tarîk içindeki edâ seçeneğine işaret eder.</w:t>
      </w:r>
      <w:r w:rsidRPr="001C509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A54E9E">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w:r>
      <w:r w:rsidR="00F2676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Pr="0083707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080A29">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gerçek veya ihtimalî biçimde gerçekleşebilir.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naklin güvenilirliği, yaygınlığı, kabulü ve genel tilâvet alanındaki konumuyla ilgili farklı değerlendirme boyutlarını ifade eder. Şâz bir rivâyetin tefsîrî veya dilsel bilgi değeri ile bağlayıcı kırâat statüsü ayrı ayrı değerlendirilmelidir.</w:t>
      </w:r>
      <w:r w:rsidRPr="006A1DC7">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Pr="00B35BC4">
        <w:rPr>
          <w:rFonts w:ascii="Times New Roman" w:eastAsia="Times New Roman" w:hAnsi="Times New Roman" w:cs="Times New Roman"/>
          <w:kern w:val="0"/>
          <w:sz w:val="24"/>
          <w:szCs w:val="24"/>
          <w14:ligatures w14:val="none"/>
        </w:rPr>
        <w:t/>
      </w:r>
      <w:r w:rsidR="00B35BC4">
        <w:rPr>
          <w:rFonts w:ascii="Times New Roman" w:eastAsia="Times New Roman" w:hAnsi="Times New Roman" w:cs="Times New Roman"/>
          <w:kern w:val="0"/>
          <w:sz w:val="24"/>
          <w:szCs w:val="24"/>
          <w14:ligatures w14:val="none"/>
        </w:rPr>
        <w:t/>
      </w:r>
      <w:r w:rsidRPr="00B35BC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geleneğindeki bağlayıcılığı ile bütün yazım ayrıntılarının tevkîfî olduğu görüşü ayrı meselelerdir.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şekil özellikleriyle birlikte bağdaştıkları veya dışladıkları kırâat ihtimalleri açısından ele alınmaktadır.</w:t>
      </w:r>
      <w:r w:rsidRPr="00877B83">
        <w:rPr>
          <w:rFonts w:ascii="Times New Roman" w:eastAsia="Times New Roman" w:hAnsi="Times New Roman" w:cs="Times New Roman"/>
          <w:color w:val="FF0000"/>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’l-Kur’an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 kaynaklarında İslâm öncesi Mekke’de yazının kullanımına ilişkin başka örnekler de aktarılır. Kusay b. Kilâb’ın Razâh b. Rebîa’ya bir mektup gönderdiğine dair rivâyet bunlardan biridir.</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İmam Mushaf esas alınarak</w:t>
      </w:r>
      <w:r w:rsidRPr="006572ED">
        <w:rPr>
          <w:rFonts w:ascii="Times New Roman" w:eastAsia="Times New Roman" w:hAnsi="Times New Roman" w:cs="Times New Roman"/>
          <w:kern w:val="0"/>
          <w:sz w:val="24"/>
          <w:szCs w:val="24"/>
          <w:lang w:eastAsia="tr-TR"/>
          <w14:ligatures w14:val="none"/>
        </w:rPr>
        <w:t xml:space="preserve"/>
      </w:r>
      <w:r w:rsidR="006572ED">
        <w:rPr>
          <w:rFonts w:ascii="Times New Roman" w:eastAsia="Times New Roman" w:hAnsi="Times New Roman" w:cs="Times New Roman"/>
          <w:kern w:val="0"/>
          <w:sz w:val="24"/>
          <w:szCs w:val="24"/>
          <w:lang w:eastAsia="tr-TR"/>
          <w14:ligatures w14:val="none"/>
        </w:rPr>
        <w:t/>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 esas alınarak</w:t>
      </w:r>
      <w:r w:rsidRPr="00F42596">
        <w:rPr>
          <w:rFonts w:ascii="Times New Roman" w:eastAsia="Times New Roman" w:hAnsi="Times New Roman" w:cs="Times New Roman"/>
          <w:kern w:val="0"/>
          <w:sz w:val="24"/>
          <w:szCs w:val="24"/>
          <w:lang w:eastAsia="tr-TR"/>
          <w14:ligatures w14:val="none"/>
        </w:rPr>
        <w:t xml:space="preserve">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ulûmu’l-Kur’an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-Kur’an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ulûmu’l-Kur’an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Mushafının hattı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keepNext w:val="0"/>
        <w:pageBreakBefore w:val="0"/>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ageBreakBefore w:val="1"/>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w:r>
      <w:proofErr w:type="gramStart"/>
      <w:r>
        <w:rPr>
          <w:color w:val="FF0000"/>
        </w:rPr>
        <w:t/>
      </w:r>
      <w:proofErr w:type="gramEnd"/>
      <w:r>
        <w:rPr>
          <w:color w:val="FF0000"/>
        </w:rPr>
        <w:t xml:space="preserve"/>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w:r>
      <w:proofErr w:type="gramStart"/>
      <w:r>
        <w:rPr>
          <w:color w:val="FF0000"/>
        </w:rPr>
        <w:t/>
      </w:r>
      <w:proofErr w:type="gramEnd"/>
      <w:r>
        <w:rPr>
          <w:color w:val="FF0000"/>
        </w:rPr>
        <w:t xml:space="preserve"/>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
      </w:r>
      <w:r w:rsidRPr="00534B75">
        <w:rPr>
          <w:color w:val="FF0000"/>
        </w:rPr>
        <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
      </w:r>
      <w:proofErr w:type="gramEnd"/>
      <w:r>
        <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