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ye Bağlılığın Hata ve Tahriften Koruyucu İşlevi</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6" w:name="_Toc235035701"/>
      <w:r w:rsidRPr="00F42596">
        <w:rPr>
          <w:rFonts w:ascii="Times New Roman" w:eastAsia="Times New Roman" w:hAnsi="Times New Roman" w:cs="Times New Roman"/>
          <w:b/>
          <w:bCs/>
          <w:kern w:val="0"/>
          <w:sz w:val="26"/>
          <w:szCs w:val="26"/>
          <w:lang w:eastAsia="tr-TR"/>
          <w14:ligatures w14:val="none"/>
        </w:rPr>
        <w:t>Nebevî Rehberliğin ve Sünnetin Muhafazası Bağlamında Resm-i Osmânî’ye</w:t>
      </w:r>
      <w:r w:rsidR="00875C7B">
        <w:rPr>
          <w:rFonts w:ascii="Times New Roman" w:eastAsia="Times New Roman" w:hAnsi="Times New Roman" w:cs="Times New Roman"/>
          <w:b/>
          <w:bCs/>
          <w:kern w:val="0"/>
          <w:sz w:val="26"/>
          <w:szCs w:val="26"/>
          <w:lang w:eastAsia="tr-TR"/>
          <w14:ligatures w14:val="none"/>
        </w:rPr>
        <w:t xml:space="preserve"> </w:t>
      </w:r>
      <w:r w:rsidRPr="00F42596">
        <w:rPr>
          <w:rFonts w:ascii="Times New Roman" w:eastAsia="Times New Roman" w:hAnsi="Times New Roman" w:cs="Times New Roman"/>
          <w:b/>
          <w:bCs/>
          <w:kern w:val="0"/>
          <w:sz w:val="26"/>
          <w:szCs w:val="26"/>
          <w:lang w:eastAsia="tr-TR"/>
          <w14:ligatures w14:val="none"/>
        </w:rPr>
        <w:t>Bağlılık</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5DFBD437" w14:textId="718AA8E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resm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doğrudan bu manevi dil her zaman aynı yoğunlukta kullanılmasa da, ilk mushaf hattının korunmasını müstakil bir ilim ve ihtimam alanı hâline getirmesi bakımından aynı istikamete işaret etmektedir. Dânî’nin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 mushafların resmini tespit ve muhafaza eden temel kaynaklardan biri olarak, resm-i Osmânî’nin sıradan bir imlâ meselesi şeklinde değerlendirilmediğini </w:t>
      </w:r>
      <w:r w:rsidRPr="00112DAE">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Aynı şekilde </w:t>
      </w:r>
      <w:r w:rsidRPr="00080A29">
        <w:rPr>
          <w:rFonts w:ascii="Times New Roman" w:eastAsia="Times New Roman" w:hAnsi="Times New Roman" w:cs="Times New Roman"/>
          <w:kern w:val="0"/>
          <w:sz w:val="24"/>
          <w:szCs w:val="24"/>
          <w:lang w:eastAsia="tr-TR"/>
          <w14:ligatures w14:val="none"/>
        </w:rPr>
        <w:t>Zürkânî</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Menâhilu’l-irfân</w:t>
      </w:r>
      <w:r w:rsidRPr="00F42596">
        <w:rPr>
          <w:rFonts w:ascii="Times New Roman" w:eastAsia="Times New Roman" w:hAnsi="Times New Roman" w:cs="Times New Roman"/>
          <w:kern w:val="0"/>
          <w:sz w:val="24"/>
          <w:szCs w:val="24"/>
          <w:lang w:eastAsia="tr-TR"/>
          <w14:ligatures w14:val="none"/>
        </w:rPr>
        <w:t>’ında Osmânî resmin faydalarını zikrederken, onun yalnızca biçimsel bir yazı geleneğinden ziyade, kırâatlerin korunmasına, bazı lügavî özelliklerin muhafazasına ve anlam inceliklerinin taşınmasına hizmet eden bir yapı olduğunu belirtmektedir. Bu sebeple çağdaş dönemde geliştirilen söz konusu manevi yorum klasik muhafaza çizgisinden tamamen kopuk değildir; bilakis o çizginin tarih</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kültürel ve hiss</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boyutunu daha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getiren bir devam niteliği taşımaktadır.</w:t>
      </w:r>
    </w:p>
    <w:p w14:paraId="21093586" w14:textId="6A0DD5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Çağdaş dönemde de bu yaklaşımın tamamen ortadan kalkmadığı görülmektedir. Özellikle Osmânî resm üzere mushaf neşrini esas alan kurumlar, resm-i Osmânî’yi yalnızca tarih</w:t>
      </w:r>
      <w:r w:rsidR="00290AF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kalıntı olarak saymamakta, korunup yaşatılması gereken yerleşik bir norm olarak değerlendirmektedir. Bu durum modern teknik imkânların bile çoğu zaman resm-i Osmânî’yi tasfiye etmek için </w:t>
      </w:r>
      <w:r w:rsidRPr="00C15D0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onu daha doğru, daha yaygın ve daha istikrarlı biçimde aktarmak için kullanıldığını göstermektedir. Böylece resm-i Osmânî bir yandan ilim ve rivâyet geleneğinin taşıyıcısı, diğer yandan da ümmet hafızasının sembolik unsurlarından biri olarak varlığını sürdürmektedir.</w:t>
      </w:r>
    </w:p>
    <w:p w14:paraId="79570C99" w14:textId="7ED9C8B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Sonuç olarak denilebilir ki resm-i Osm</w:t>
      </w:r>
      <w:r w:rsidR="003C613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nî’ye bağlılık, bazı âlimler ve müellifler nezdinde yalnızca ilk mushaf hattına sadakat anlamı taşımamakta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’la kurduğu tarihî ilişkinin, </w:t>
      </w:r>
      <w:r w:rsidR="00290AF9" w:rsidRPr="00080A29">
        <w:rPr>
          <w:rFonts w:ascii="Times New Roman" w:eastAsia="Times New Roman" w:hAnsi="Times New Roman" w:cs="Times New Roman"/>
          <w:kern w:val="0"/>
          <w:sz w:val="24"/>
          <w:szCs w:val="24"/>
          <w:lang w:eastAsia="tr-TR"/>
          <w14:ligatures w14:val="none"/>
        </w:rPr>
        <w:t>n</w:t>
      </w:r>
      <w:r w:rsidRPr="00080A29">
        <w:rPr>
          <w:rFonts w:ascii="Times New Roman" w:eastAsia="Times New Roman" w:hAnsi="Times New Roman" w:cs="Times New Roman"/>
          <w:kern w:val="0"/>
          <w:sz w:val="24"/>
          <w:szCs w:val="24"/>
          <w:lang w:eastAsia="tr-TR"/>
          <w14:ligatures w14:val="none"/>
        </w:rPr>
        <w:t>ebevî</w:t>
      </w:r>
      <w:r w:rsidRPr="00F42596">
        <w:rPr>
          <w:rFonts w:ascii="Times New Roman" w:eastAsia="Times New Roman" w:hAnsi="Times New Roman" w:cs="Times New Roman"/>
          <w:kern w:val="0"/>
          <w:sz w:val="24"/>
          <w:szCs w:val="24"/>
          <w:lang w:eastAsia="tr-TR"/>
          <w14:ligatures w14:val="none"/>
        </w:rPr>
        <w:t xml:space="preserve"> mirasa duyduğu aidiyetin ve mushaf karşısındaki edep bilincinin sürdürülmesi anlamına gelmektedir.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burada teknik bir yazı sistemi olmanın ötesinde, nübüvvet çağını bugüne taşıyan tarihî, sembolik ve manevi bir emanet olarak değerlendirmek gerekir.</w:t>
      </w:r>
    </w:p>
    <w:p w14:paraId="1B8B4F42" w14:textId="50573D51"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7" w:name="_Toc235035702"/>
      <w:r w:rsidRPr="00F42596">
        <w:rPr>
          <w:rFonts w:ascii="Times New Roman" w:eastAsia="Times New Roman" w:hAnsi="Times New Roman" w:cs="Times New Roman"/>
          <w:b/>
          <w:bCs/>
          <w:kern w:val="0"/>
          <w:sz w:val="26"/>
          <w:szCs w:val="26"/>
          <w:lang w:eastAsia="tr-TR"/>
          <w14:ligatures w14:val="none"/>
        </w:rPr>
        <w:t xml:space="preserve">Selef-i Sâlihînin İlmî Faziletini </w:t>
      </w:r>
      <w:r w:rsidRPr="00080A29">
        <w:rPr>
          <w:rFonts w:ascii="Times New Roman" w:eastAsia="Times New Roman" w:hAnsi="Times New Roman" w:cs="Times New Roman"/>
          <w:b/>
          <w:bCs/>
          <w:kern w:val="0"/>
          <w:sz w:val="26"/>
          <w:szCs w:val="26"/>
          <w:lang w:eastAsia="tr-TR"/>
          <w14:ligatures w14:val="none"/>
        </w:rPr>
        <w:t>İdrâk</w:t>
      </w:r>
      <w:r w:rsidRPr="00F42596">
        <w:rPr>
          <w:rFonts w:ascii="Times New Roman" w:eastAsia="Times New Roman" w:hAnsi="Times New Roman" w:cs="Times New Roman"/>
          <w:b/>
          <w:bCs/>
          <w:kern w:val="0"/>
          <w:sz w:val="26"/>
          <w:szCs w:val="26"/>
          <w:lang w:eastAsia="tr-TR"/>
          <w14:ligatures w14:val="none"/>
        </w:rPr>
        <w:t xml:space="preserve"> ve 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Bu Fazilete Delaleti</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0138D4BC" w14:textId="2D8EFAF2" w:rsidR="00F42596" w:rsidRPr="00567795"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lastRenderedPageBreak/>
        <w:t>Bundan ötürü denilebilir ki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bazı müelliflere göre yalnız mushafın tarihî şeklini muhafaza etme çabasıyla sınırlı değildir; bu bağlılık, aynı zamanda selef-i sâlihînin kitâbet, rivâyet ve zabt ilmindeki üstünlüğünü ortaya koyan tavrı da yansıtmaktadır. İlk neslin yazım tercihlerini korumak, onların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’a yaklaşımındaki ciddiyeti, ilmî dirayeti ve rivâyet konusundaki titizliğini de korumak anlamına gelmektedir. Zira resm-i mushaf bu bakış açısına göre, ilk neslin sadece bir yazım alışkanlığından ibaret olmayıp,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’ın nakli ve tespiti hususunda benimsediği ilmî yöntemi de yansıtmaktadır. Bu sebeple ilk mushaf hattına bağlılık, geçmişe duyulan sıradan bir saygının ötesinde, vahiy metninin hangi ilmî dikkat ve sorumluluk bilinci içinde yazıya geçirildiğini görünür kılan tarihî bir sadakat olarak </w:t>
      </w:r>
      <w:r w:rsidR="00507978" w:rsidRPr="00507978">
        <w:rPr>
          <w:rFonts w:asciiTheme="majorBidi" w:hAnsiTheme="majorBidi" w:cstheme="majorBidi"/>
          <w:color w:val="FF0000"/>
          <w:sz w:val="24"/>
          <w:szCs w:val="24"/>
        </w:rPr>
        <w:t>değerlendirilebilir</w:t>
      </w:r>
      <w:r w:rsidRPr="00567795">
        <w:rPr>
          <w:rFonts w:ascii="Times New Roman" w:eastAsia="Times New Roman" w:hAnsi="Times New Roman" w:cs="Times New Roman"/>
          <w:bCs/>
          <w:kern w:val="0"/>
          <w:sz w:val="24"/>
          <w:szCs w:val="24"/>
          <w:lang w:eastAsia="tr-TR"/>
          <w14:ligatures w14:val="none"/>
        </w:rPr>
        <w:t>.</w:t>
      </w:r>
    </w:p>
    <w:p w14:paraId="7C45F441" w14:textId="116ED5E9" w:rsidR="00F42596" w:rsidRPr="001C35BE" w:rsidRDefault="00F42596" w:rsidP="001C35BE">
      <w:pPr>
        <w:spacing w:after="0" w:line="276" w:lineRule="auto"/>
        <w:ind w:firstLine="708"/>
        <w:jc w:val="both"/>
        <w:rPr>
          <w:rFonts w:asciiTheme="majorBidi" w:eastAsia="Times New Roman" w:hAnsiTheme="majorBidi" w:cstheme="majorBidi"/>
          <w:b/>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çerçevede mushaf hattına yönelen müdahaleler de sadece bir imlâ değişikliği olarak değerlendirilmemektedir. Bilakis bu tür müdahaleler, selefin yazı ve rivâyet mirasıyla kurulan bağın zayıflaması, dolayısıyla ilk neslin ilmî otoritesine duyulan güvenin aşınması ihtimaliyle birlikte ele alınmaktadır. Çünkü resm-i mushaf, burada tashih edilebilir sıradan bir yazı sistemi olmanın ötesinde ümmetin üzerinde güven inşa ettiği, rivâyet ve kırâat geleneğiyle iç içe geçmiş yerleşik bir ölçü olarak görülmektedir. Bundan dolayı resm-i Osmânî, sadece tarihî bir kalıntı olmayıp, ilk neslin ilmî faziletini,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karşısındaki sorumluluk bilincini ve ümmetin bu mirasa duyduğu güveni bugüne taşıyan canlı bir şahit hüviyeti kazanmaktadır</w:t>
      </w:r>
      <w:r w:rsidRPr="001C35BE">
        <w:rPr>
          <w:rFonts w:asciiTheme="majorBidi" w:eastAsia="Times New Roman" w:hAnsiTheme="majorBidi" w:cstheme="majorBidi"/>
          <w:bCs/>
          <w:color w:val="FF0000"/>
          <w:kern w:val="0"/>
          <w:sz w:val="24"/>
          <w:szCs w:val="24"/>
          <w:lang w:eastAsia="tr-TR"/>
          <w14:ligatures w14:val="none"/>
        </w:rPr>
        <w:t xml:space="preserve">. </w:t>
      </w:r>
      <w:r w:rsidR="001C35BE" w:rsidRPr="001C35BE">
        <w:rPr>
          <w:rFonts w:asciiTheme="majorBidi" w:hAnsiTheme="majorBidi" w:cstheme="majorBidi"/>
          <w:color w:val="FF0000"/>
          <w:sz w:val="24"/>
          <w:szCs w:val="24"/>
        </w:rPr>
        <w:t xml:space="preserve">Böyle bir anlayış içinde resm-i Osmânî'ye bağlılık, metnin dış görünüşünü koruma iradesinin ötesinde, </w:t>
      </w:r>
      <w:r w:rsidR="00925F21">
        <w:rPr>
          <w:rFonts w:asciiTheme="majorBidi" w:hAnsiTheme="majorBidi" w:cstheme="majorBidi"/>
          <w:color w:val="FF0000"/>
          <w:sz w:val="24"/>
          <w:szCs w:val="24"/>
        </w:rPr>
        <w:t>Kur’an</w:t>
      </w:r>
      <w:r w:rsidR="001C35BE" w:rsidRPr="001C35BE">
        <w:rPr>
          <w:rFonts w:asciiTheme="majorBidi" w:hAnsiTheme="majorBidi" w:cstheme="majorBidi"/>
          <w:color w:val="FF0000"/>
          <w:sz w:val="24"/>
          <w:szCs w:val="24"/>
        </w:rPr>
        <w:t xml:space="preserve">'ın nakil sürecinde teşekkül eden tarihî sürekliliği, ilmî meşruiyeti ve geleneksel güven zeminini muhafaza etme </w:t>
      </w:r>
      <w:r w:rsidR="001C35BE" w:rsidRPr="001C35BE">
        <w:rPr>
          <w:rStyle w:val="Gl"/>
          <w:rFonts w:asciiTheme="majorBidi" w:hAnsiTheme="majorBidi" w:cstheme="majorBidi"/>
          <w:b w:val="0"/>
          <w:bCs w:val="0"/>
          <w:color w:val="FF0000"/>
          <w:sz w:val="24"/>
          <w:szCs w:val="24"/>
        </w:rPr>
        <w:t>çabasının bir tezahürü olarak yorumlanabilir.</w:t>
      </w:r>
      <w:r w:rsidR="001C35BE" w:rsidRPr="001C35BE">
        <w:rPr>
          <w:rFonts w:asciiTheme="majorBidi" w:hAnsiTheme="majorBidi" w:cstheme="majorBidi"/>
          <w:color w:val="FF0000"/>
          <w:sz w:val="24"/>
          <w:szCs w:val="24"/>
        </w:rPr>
        <w:t xml:space="preserve"> </w:t>
      </w:r>
    </w:p>
    <w:p w14:paraId="22B85827" w14:textId="51C9337E" w:rsidR="00F42596" w:rsidRPr="00F42596" w:rsidRDefault="00925F21"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8" w:name="_Toc235035703"/>
      <w:r>
        <w:rPr>
          <w:rFonts w:ascii="Times New Roman" w:eastAsia="Times New Roman" w:hAnsi="Times New Roman" w:cs="Times New Roman"/>
          <w:b/>
          <w:bCs/>
          <w:kern w:val="0"/>
          <w:sz w:val="26"/>
          <w:szCs w:val="26"/>
          <w:lang w:eastAsia="tr-TR"/>
          <w14:ligatures w14:val="none"/>
        </w:rPr>
        <w:t>Kur’an-ı Keri</w:t>
      </w:r>
      <w:r w:rsidR="00F42596" w:rsidRPr="00F42596">
        <w:rPr>
          <w:rFonts w:ascii="Times New Roman" w:eastAsia="Times New Roman" w:hAnsi="Times New Roman" w:cs="Times New Roman"/>
          <w:b/>
          <w:bCs/>
          <w:kern w:val="0"/>
          <w:sz w:val="26"/>
          <w:szCs w:val="26"/>
          <w:lang w:eastAsia="tr-TR"/>
          <w14:ligatures w14:val="none"/>
        </w:rPr>
        <w:t xml:space="preserve">m’in Öğreniminde </w:t>
      </w:r>
      <w:r w:rsidR="00F42596" w:rsidRPr="00AD2F5F">
        <w:rPr>
          <w:rFonts w:ascii="Times New Roman" w:eastAsia="Times New Roman" w:hAnsi="Times New Roman" w:cs="Times New Roman"/>
          <w:b/>
          <w:bCs/>
          <w:kern w:val="0"/>
          <w:sz w:val="26"/>
          <w:szCs w:val="26"/>
          <w:lang w:eastAsia="tr-TR"/>
          <w14:ligatures w14:val="none"/>
        </w:rPr>
        <w:t>Müşâfehe</w:t>
      </w:r>
      <w:r w:rsidR="00F42596" w:rsidRPr="00F42596">
        <w:rPr>
          <w:rFonts w:ascii="Times New Roman" w:eastAsia="Times New Roman" w:hAnsi="Times New Roman" w:cs="Times New Roman"/>
          <w:b/>
          <w:bCs/>
          <w:kern w:val="0"/>
          <w:sz w:val="26"/>
          <w:szCs w:val="26"/>
          <w:lang w:eastAsia="tr-TR"/>
          <w14:ligatures w14:val="none"/>
        </w:rPr>
        <w:t xml:space="preserve"> Geleneğinin İhyası ve Resm-i Osmânî</w:t>
      </w:r>
      <w:r w:rsidR="003C613A">
        <w:rPr>
          <w:rFonts w:ascii="Times New Roman" w:eastAsia="Times New Roman" w:hAnsi="Times New Roman" w:cs="Times New Roman"/>
          <w:b/>
          <w:bCs/>
          <w:kern w:val="0"/>
          <w:sz w:val="26"/>
          <w:szCs w:val="26"/>
          <w:lang w:eastAsia="tr-TR"/>
          <w14:ligatures w14:val="none"/>
        </w:rPr>
        <w:t>’</w:t>
      </w:r>
      <w:r w:rsidR="00F42596" w:rsidRPr="00F42596">
        <w:rPr>
          <w:rFonts w:ascii="Times New Roman" w:eastAsia="Times New Roman" w:hAnsi="Times New Roman" w:cs="Times New Roman"/>
          <w:b/>
          <w:bCs/>
          <w:kern w:val="0"/>
          <w:sz w:val="26"/>
          <w:szCs w:val="26"/>
          <w:lang w:eastAsia="tr-TR"/>
          <w14:ligatures w14:val="none"/>
        </w:rPr>
        <w:t>nin Bu Sürece Katkısı</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itibarla senedin Kur’an-ı Keri</w:t>
      </w:r>
      <w:r w:rsidR="00F42596" w:rsidRPr="00F42596">
        <w:rPr>
          <w:rFonts w:ascii="Times New Roman" w:eastAsia="Times New Roman" w:hAnsi="Times New Roman" w:cs="Times New Roman"/>
          <w:kern w:val="0"/>
          <w:sz w:val="24"/>
          <w:szCs w:val="24"/>
          <w:lang w:eastAsia="tr-TR"/>
          <w14:ligatures w14:val="none"/>
        </w:rPr>
        <w:t xml:space="preserve">m’e bağlı kalması, diğer </w:t>
      </w:r>
      <w:r w:rsidR="00F42596" w:rsidRPr="006565C3">
        <w:rPr>
          <w:rFonts w:ascii="Times New Roman" w:eastAsia="Times New Roman" w:hAnsi="Times New Roman" w:cs="Times New Roman"/>
          <w:kern w:val="0"/>
          <w:sz w:val="24"/>
          <w:szCs w:val="24"/>
          <w:lang w:eastAsia="tr-TR"/>
          <w14:ligatures w14:val="none"/>
        </w:rPr>
        <w:t>semav</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kitaplara nispetle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’a mahsus koruyucu vasıflardan biri </w:t>
      </w:r>
      <w:r w:rsidR="005B5008">
        <w:rPr>
          <w:rFonts w:ascii="Times New Roman" w:eastAsia="Times New Roman" w:hAnsi="Times New Roman" w:cs="Times New Roman"/>
          <w:kern w:val="0"/>
          <w:sz w:val="24"/>
          <w:szCs w:val="24"/>
          <w:lang w:eastAsia="tr-TR"/>
          <w14:ligatures w14:val="none"/>
        </w:rPr>
        <w:t xml:space="preserve">olarak </w:t>
      </w:r>
      <w:r w:rsidR="00F42596" w:rsidRPr="00F42596">
        <w:rPr>
          <w:rFonts w:ascii="Times New Roman" w:eastAsia="Times New Roman" w:hAnsi="Times New Roman" w:cs="Times New Roman"/>
          <w:kern w:val="0"/>
          <w:sz w:val="24"/>
          <w:szCs w:val="24"/>
          <w:lang w:eastAsia="tr-TR"/>
          <w14:ligatures w14:val="none"/>
        </w:rPr>
        <w:t xml:space="preserve">değerlendirilmiştir. Çünkü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muhafazası yalnız mushaf nüshalarının korunması</w:t>
      </w:r>
      <w:r w:rsidR="005B5008">
        <w:rPr>
          <w:rFonts w:ascii="Times New Roman" w:eastAsia="Times New Roman" w:hAnsi="Times New Roman" w:cs="Times New Roman"/>
          <w:kern w:val="0"/>
          <w:sz w:val="24"/>
          <w:szCs w:val="24"/>
          <w:lang w:eastAsia="tr-TR"/>
          <w14:ligatures w14:val="none"/>
        </w:rPr>
        <w:t xml:space="preserve"> olmamakta</w:t>
      </w:r>
      <w:r w:rsidR="00F42596" w:rsidRPr="00F42596">
        <w:rPr>
          <w:rFonts w:ascii="Times New Roman" w:eastAsia="Times New Roman" w:hAnsi="Times New Roman" w:cs="Times New Roman"/>
          <w:kern w:val="0"/>
          <w:sz w:val="24"/>
          <w:szCs w:val="24"/>
          <w:lang w:eastAsia="tr-TR"/>
          <w14:ligatures w14:val="none"/>
        </w:rPr>
        <w:t>, aynı zamanda okuyuş biçimlerinin,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yollarının ve </w:t>
      </w:r>
      <w:r w:rsidR="00F42596"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00F42596" w:rsidRPr="00B35BC4">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özelliklerinin hocadan talebeye intikaliyle gerçekleşmektedir. Şayet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lafızlarının tamamı telaffuza tam uygun biçimde yazılmış olsaydı, birçok kimse onu herhangi bir rivâyet silsilesine başvurmaksızın okumaya cesaret edecek; bu durumda med, tahf</w:t>
      </w:r>
      <w:r w:rsidR="009E3E8D">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f, imâle ve </w:t>
      </w:r>
      <w:r w:rsidR="00F42596" w:rsidRPr="00331CF7">
        <w:rPr>
          <w:rFonts w:ascii="Times New Roman" w:eastAsia="Times New Roman" w:hAnsi="Times New Roman" w:cs="Times New Roman"/>
          <w:kern w:val="0"/>
          <w:sz w:val="24"/>
          <w:szCs w:val="24"/>
          <w:lang w:eastAsia="tr-TR"/>
          <w14:ligatures w14:val="none"/>
        </w:rPr>
        <w:t>izh</w:t>
      </w:r>
      <w:r w:rsidR="00331CF7">
        <w:rPr>
          <w:rFonts w:ascii="Times New Roman" w:eastAsia="Times New Roman" w:hAnsi="Times New Roman" w:cs="Times New Roman"/>
          <w:kern w:val="0"/>
          <w:sz w:val="24"/>
          <w:szCs w:val="24"/>
          <w:lang w:eastAsia="tr-TR"/>
          <w14:ligatures w14:val="none"/>
        </w:rPr>
        <w:t>a</w:t>
      </w:r>
      <w:r w:rsidR="00F42596" w:rsidRPr="00331CF7">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gibi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vecihlerinin büyük kısmı ya zayıflayacak ya da bütünüyle ihmal edilecekti. Bu sebeple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lafız ile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arasında muhafaza ettiği mesafe, eks</w:t>
      </w:r>
      <w:r w:rsidR="004504FC">
        <w:rPr>
          <w:rFonts w:ascii="Times New Roman" w:eastAsia="Times New Roman" w:hAnsi="Times New Roman" w:cs="Times New Roman"/>
          <w:kern w:val="0"/>
          <w:sz w:val="24"/>
          <w:szCs w:val="24"/>
          <w:lang w:eastAsia="tr-TR"/>
          <w14:ligatures w14:val="none"/>
        </w:rPr>
        <w:t xml:space="preserve">iklik </w:t>
      </w:r>
      <w:r w:rsidR="004504FC" w:rsidRPr="004504FC">
        <w:rPr>
          <w:rFonts w:ascii="Times New Roman" w:eastAsia="Times New Roman" w:hAnsi="Times New Roman" w:cs="Times New Roman"/>
          <w:color w:val="FF0000"/>
          <w:kern w:val="0"/>
          <w:sz w:val="24"/>
          <w:szCs w:val="24"/>
          <w:lang w:eastAsia="tr-TR"/>
          <w14:ligatures w14:val="none"/>
        </w:rPr>
        <w:t>olarak görülmeyip</w:t>
      </w:r>
      <w:r w:rsidR="00F42596" w:rsidRPr="00F42596">
        <w:rPr>
          <w:rFonts w:ascii="Times New Roman" w:eastAsia="Times New Roman" w:hAnsi="Times New Roman" w:cs="Times New Roman"/>
          <w:kern w:val="0"/>
          <w:sz w:val="24"/>
          <w:szCs w:val="24"/>
          <w:lang w:eastAsia="tr-TR"/>
          <w14:ligatures w14:val="none"/>
        </w:rPr>
        <w:t xml:space="preserve">, kırâat isnadını ve sahih sözlü icrayı koruyan hikmetli bir özellik olarak değerlendirilmiştir. </w:t>
      </w:r>
      <w:r w:rsidR="006F5760" w:rsidRPr="006F5760">
        <w:rPr>
          <w:rFonts w:asciiTheme="majorBidi" w:hAnsiTheme="majorBidi" w:cstheme="majorBidi"/>
          <w:color w:val="FF0000"/>
          <w:sz w:val="24"/>
          <w:szCs w:val="24"/>
        </w:rPr>
        <w:t xml:space="preserve">Böylece resm-i mushaf, tarihî bir yazı geleneği olmanın yanı sıra, </w:t>
      </w:r>
      <w:r>
        <w:rPr>
          <w:rFonts w:asciiTheme="majorBidi" w:hAnsiTheme="majorBidi" w:cstheme="majorBidi"/>
          <w:color w:val="FF0000"/>
          <w:sz w:val="24"/>
          <w:szCs w:val="24"/>
        </w:rPr>
        <w:t>Kur’an</w:t>
      </w:r>
      <w:r w:rsidR="006F5760" w:rsidRPr="006F5760">
        <w:rPr>
          <w:rFonts w:asciiTheme="majorBidi" w:hAnsiTheme="majorBidi" w:cstheme="majorBidi"/>
          <w:color w:val="FF0000"/>
          <w:sz w:val="24"/>
          <w:szCs w:val="24"/>
        </w:rPr>
        <w:t>'ın sözlü rivâyetini, sened zincirini ve sahih okuyuş disiplinini muhafaza eden temel unsurlardan biri hâline gelmiştir</w:t>
      </w:r>
      <w:r w:rsidR="006F5760">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Başka bir ifadeyle, yazı ile ses arasındaki bu tam örtüşmezlik, okuyucuyu kendi başına yeterli olduğu vehminden uzaklaştırmakta ve onu ehil bir muallime, yerleşik kır</w:t>
      </w:r>
      <w:r w:rsidR="00B35BC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at geleneğine ve canlı telakki usûlüne yöneltmektedir. Böylece resm-i Osmânî, yalnız metnin dış yapısını koruyan bir unsur olmanın ötesinde,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’ın öğrenilme biçimini de şekillendiren bir disiplin işlevi görmektedir. </w:t>
      </w:r>
      <w:r w:rsidR="006F5760" w:rsidRPr="00972BAD">
        <w:rPr>
          <w:rFonts w:asciiTheme="majorBidi" w:hAnsiTheme="majorBidi" w:cstheme="majorBidi"/>
          <w:color w:val="FF0000"/>
          <w:sz w:val="24"/>
          <w:szCs w:val="24"/>
        </w:rPr>
        <w:t xml:space="preserve">Bu bağlamda </w:t>
      </w:r>
      <w:r w:rsidR="00F42596" w:rsidRPr="00F42596">
        <w:rPr>
          <w:rFonts w:ascii="Times New Roman" w:eastAsia="Times New Roman" w:hAnsi="Times New Roman" w:cs="Times New Roman"/>
          <w:kern w:val="0"/>
          <w:sz w:val="24"/>
          <w:szCs w:val="24"/>
          <w:lang w:eastAsia="tr-TR"/>
          <w14:ligatures w14:val="none"/>
        </w:rPr>
        <w:t>dikkat çekici olan husus,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yazılı metni korumakla yetinmeyip, </w:t>
      </w: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’ın sahih aktarımını mümkün kılan sözlü ve isnadlı öğrenim düzenini de zımnen muhafaza etmesidir. Bu yönüyle mushaf hattı, kırâat ilminin sadece </w:t>
      </w:r>
      <w:r w:rsidR="00F42596"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zemini</w:t>
      </w:r>
      <w:r w:rsidR="005B5008">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w:t>
      </w:r>
      <w:r w:rsidR="00F42596" w:rsidRPr="009E61AB">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aynı zamanda onun usûlünü ve otoritesini besleyen tarihî bir çerç</w:t>
      </w:r>
      <w:r w:rsidR="00972BAD">
        <w:rPr>
          <w:rFonts w:ascii="Times New Roman" w:eastAsia="Times New Roman" w:hAnsi="Times New Roman" w:cs="Times New Roman"/>
          <w:kern w:val="0"/>
          <w:sz w:val="24"/>
          <w:szCs w:val="24"/>
          <w:lang w:eastAsia="tr-TR"/>
          <w14:ligatures w14:val="none"/>
        </w:rPr>
        <w:t xml:space="preserve">eve olarak </w:t>
      </w:r>
      <w:r w:rsidR="00972BAD" w:rsidRPr="00972BAD">
        <w:rPr>
          <w:rFonts w:ascii="Times New Roman" w:eastAsia="Times New Roman" w:hAnsi="Times New Roman" w:cs="Times New Roman"/>
          <w:color w:val="000000" w:themeColor="text1"/>
          <w:kern w:val="0"/>
          <w:sz w:val="24"/>
          <w:szCs w:val="24"/>
          <w:lang w:eastAsia="tr-TR"/>
          <w14:ligatures w14:val="none"/>
        </w:rPr>
        <w:t>değerlendirilebilir.</w:t>
      </w:r>
    </w:p>
    <w:p w14:paraId="32552768"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9" w:name="_Toc235035704"/>
      <w:r w:rsidRPr="00F42596">
        <w:rPr>
          <w:rFonts w:ascii="Times New Roman" w:eastAsia="Times New Roman" w:hAnsi="Times New Roman" w:cs="Times New Roman"/>
          <w:b/>
          <w:bCs/>
          <w:kern w:val="0"/>
          <w:sz w:val="26"/>
          <w:szCs w:val="26"/>
          <w:lang w:eastAsia="tr-TR"/>
          <w14:ligatures w14:val="none"/>
        </w:rPr>
        <w:t>Mushafın Aslî Yazım Geleneğinin Korunması ve Bunun Gerekçeleri</w:t>
      </w:r>
      <w:bookmarkEnd w:id="39"/>
    </w:p>
    <w:p w14:paraId="07D59AD9" w14:textId="50D438E1" w:rsidR="00F42596" w:rsidRPr="00F42596" w:rsidRDefault="00F42596" w:rsidP="00D65E2D">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187FC3">
        <w:rPr>
          <w:rFonts w:ascii="Times New Roman" w:eastAsia="Times New Roman" w:hAnsi="Times New Roman" w:cs="Times New Roman"/>
          <w:kern w:val="0"/>
          <w:sz w:val="24"/>
          <w:szCs w:val="24"/>
          <w:lang w:eastAsia="tr-TR"/>
          <w14:ligatures w14:val="none"/>
        </w:rPr>
        <w:t>Mushafın</w:t>
      </w:r>
      <w:r w:rsidRPr="00F42596">
        <w:rPr>
          <w:rFonts w:ascii="Times New Roman" w:eastAsia="Times New Roman" w:hAnsi="Times New Roman" w:cs="Times New Roman"/>
          <w:kern w:val="0"/>
          <w:sz w:val="24"/>
          <w:szCs w:val="24"/>
          <w:lang w:eastAsia="tr-TR"/>
          <w14:ligatures w14:val="none"/>
        </w:rPr>
        <w:t xml:space="preserve"> aslî yazım biçiminin korunması meselesi, kaynaklarda yalnızca şekle ilişkin bir yazım tercihi olarak ele alınmamış; bilakis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muhafazası, kırâat geleneğinin devamı ve bu alan etrafında teşekkül etmiş ilimlerin bekasıyla doğrudan irtibatlı bir mesele olarak değerlendirilmiştir. Nitekim kaynaklarda açıkça ifade edildiği üzere, eğer mü’minler mushafın aslî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korumaz, ona bağlı kalmaz ve onun yerine zamanla değişebilen yaygın imlâ kurallarını ikame ederlerse, bunun birtakım ağır sonuçları ortaya çıkacaktır. Bu sonuçların ilki,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tahrife açık hâle gelmesidir. Bu durumun temelinde genel imlâ kurallarının insanlar tarafından </w:t>
      </w:r>
      <w:r w:rsidRPr="00966AB5">
        <w:rPr>
          <w:rFonts w:ascii="Times New Roman" w:eastAsia="Times New Roman" w:hAnsi="Times New Roman" w:cs="Times New Roman"/>
          <w:kern w:val="0"/>
          <w:sz w:val="24"/>
          <w:szCs w:val="24"/>
          <w:lang w:eastAsia="tr-TR"/>
          <w14:ligatures w14:val="none"/>
        </w:rPr>
        <w:t>vazedilmiş</w:t>
      </w:r>
      <w:r w:rsidRPr="00F42596">
        <w:rPr>
          <w:rFonts w:ascii="Times New Roman" w:eastAsia="Times New Roman" w:hAnsi="Times New Roman" w:cs="Times New Roman"/>
          <w:kern w:val="0"/>
          <w:sz w:val="24"/>
          <w:szCs w:val="24"/>
          <w:lang w:eastAsia="tr-TR"/>
          <w14:ligatures w14:val="none"/>
        </w:rPr>
        <w:t xml:space="preserve">, üzerinde kesin bir ittifak sağlanmamış ve zamanla değişime açık nitelik taşıyan kurallar olması yatmaktadır. Dolayısıyla mushaf yazımının bu tür kurallara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kılınması, uzun vadede Müslümanlar arasında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yazımı konusunda farklılaşmalara yol açabilir; bu da metnin birliğini zedeleyerek tahrif ihtimalini güçlendirebilir.</w:t>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rPr>
          <w:rFonts w:ascii="Times New Roman" w:eastAsia="Times New Roman" w:hAnsi="Times New Roman" w:cs="Times New Roman"/>
          <w:kern w:val="0"/>
          <w:sz w:val="24"/>
          <w:szCs w:val="24"/>
          <w:lang w:eastAsia="tr-TR"/>
          <w14:ligatures w14:val="none"/>
        </w:rPr>
        <w:t xml:space="preserve"> Kaynaklarda söz konusu tehlike</w:t>
      </w:r>
      <w:r w:rsidR="00187FC3">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teorik düzeyde bırakılmayıp somut örneklerle desteklendiği görülmektedir. Nitekim İsrail’in Fas, Gana, Gine, Mali ve diğer bazı Afrika ülkelerinde tahrif edilmiş mushaf nüshaları dağıttığı ve bu nüshalarda yüz</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bin </w:t>
      </w:r>
      <w:r w:rsidR="00D65E2D">
        <w:rPr>
          <w:rFonts w:ascii="Times New Roman" w:eastAsia="Times New Roman" w:hAnsi="Times New Roman" w:cs="Times New Roman"/>
          <w:kern w:val="0"/>
          <w:sz w:val="24"/>
          <w:szCs w:val="24"/>
          <w:lang w:eastAsia="tr-TR"/>
          <w14:ligatures w14:val="none"/>
        </w:rPr>
        <w:t xml:space="preserve">adetlik baskı içinde bini aşkın </w:t>
      </w:r>
      <w:r w:rsidR="00A43DA2" w:rsidRPr="00A43DA2">
        <w:rPr>
          <w:rFonts w:asciiTheme="majorBidi" w:hAnsiTheme="majorBidi" w:cstheme="majorBidi"/>
          <w:color w:val="FF0000"/>
          <w:sz w:val="24"/>
          <w:szCs w:val="24"/>
        </w:rPr>
        <w:t>kasıtlı tahrifin yer aldığı</w:t>
      </w:r>
      <w:r w:rsidR="00A43DA2">
        <w:t xml:space="preserve">, </w:t>
      </w:r>
      <w:r w:rsidRPr="00F42596">
        <w:rPr>
          <w:rFonts w:ascii="Times New Roman" w:eastAsia="Times New Roman" w:hAnsi="Times New Roman" w:cs="Times New Roman"/>
          <w:kern w:val="0"/>
          <w:sz w:val="24"/>
          <w:szCs w:val="24"/>
          <w:lang w:eastAsia="tr-TR"/>
          <w14:ligatures w14:val="none"/>
        </w:rPr>
        <w:t>bazı âyetlerden harf veya kelime düşürüldüğü ve bu yolla âyetlerin manasının tersine çevrildiği</w:t>
      </w:r>
      <w:r w:rsidR="001F3FD4" w:rsidRPr="001F3FD4">
        <w:rPr>
          <w:rFonts w:ascii="Times New Roman" w:hAnsi="Times New Roman" w:cs="Times New Roman"/>
        </w:rPr>
        <w:t xml:space="preserve"> </w:t>
      </w:r>
      <w:r w:rsidR="001F3FD4">
        <w:rPr>
          <w:rFonts w:ascii="Times New Roman" w:hAnsi="Times New Roman" w:cs="Times New Roman"/>
          <w:color w:val="FF0000"/>
          <w:sz w:val="24"/>
          <w:szCs w:val="24"/>
        </w:rPr>
        <w:t>i</w:t>
      </w:r>
      <w:r w:rsidR="001F3FD4" w:rsidRPr="001F3FD4">
        <w:rPr>
          <w:rFonts w:ascii="Times New Roman" w:hAnsi="Times New Roman" w:cs="Times New Roman"/>
          <w:color w:val="FF0000"/>
          <w:sz w:val="24"/>
          <w:szCs w:val="24"/>
        </w:rPr>
        <w:t>ddia edilmiştir</w:t>
      </w:r>
      <w:r w:rsidRPr="00F42596">
        <w:rPr>
          <w:rFonts w:ascii="Times New Roman" w:eastAsia="Times New Roman" w:hAnsi="Times New Roman" w:cs="Times New Roman"/>
          <w:kern w:val="0"/>
          <w:sz w:val="24"/>
          <w:szCs w:val="24"/>
          <w:lang w:eastAsia="tr-TR"/>
          <w14:ligatures w14:val="none"/>
        </w:rPr>
        <w:t>. Bu teşebbüs, Kahire’deki bazı resmî çevrelerin dikkatini çekmiş; bazı tahrif edi</w:t>
      </w:r>
      <w:r w:rsidR="001F3FD4">
        <w:rPr>
          <w:rFonts w:ascii="Times New Roman" w:eastAsia="Times New Roman" w:hAnsi="Times New Roman" w:cs="Times New Roman"/>
          <w:kern w:val="0"/>
          <w:sz w:val="24"/>
          <w:szCs w:val="24"/>
          <w:lang w:eastAsia="tr-TR"/>
          <w14:ligatures w14:val="none"/>
        </w:rPr>
        <w:t xml:space="preserve">lmiş nüshalara da ulaşılmıştır. Tespit </w:t>
      </w:r>
      <w:r w:rsidRPr="00F42596">
        <w:rPr>
          <w:rFonts w:ascii="Times New Roman" w:eastAsia="Times New Roman" w:hAnsi="Times New Roman" w:cs="Times New Roman"/>
          <w:kern w:val="0"/>
          <w:sz w:val="24"/>
          <w:szCs w:val="24"/>
          <w:lang w:eastAsia="tr-TR"/>
          <w14:ligatures w14:val="none"/>
        </w:rPr>
        <w:t>edilen yöntem ve görünümler arasında şunlar zikredilmiştir:</w:t>
      </w:r>
    </w:p>
    <w:p w14:paraId="28A2370C" w14:textId="3D62B76B"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yerlerde ikinci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”nın kaldırılarak mananın,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indirilen anlamın tersine çevirmesi.</w:t>
      </w:r>
    </w:p>
    <w:p w14:paraId="72269462" w14:textId="32F435EC"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وَقَالَتِ الْيَهُودَُ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النَّصَارَى عَلَى شَيْءٍ وَقَالَتِ النَّصَارَى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الْيَهُودُ عَلَى شَيْءٍ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Yahudiler</w:t>
      </w:r>
      <w:r w:rsidR="00187FC3" w:rsidRPr="00567795">
        <w:rPr>
          <w:rFonts w:ascii="Times New Roman" w:eastAsia="Times New Roman" w:hAnsi="Times New Roman" w:cs="Times New Roman"/>
          <w:i/>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 xml:space="preserve"> </w:t>
      </w:r>
      <w:r w:rsidR="00187FC3" w:rsidRPr="00567795">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Hıristiyanlar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 Hıristiyanlar da</w:t>
      </w:r>
      <w:r w:rsidR="00187FC3">
        <w:rPr>
          <w:rFonts w:ascii="Times New Roman" w:eastAsia="Times New Roman" w:hAnsi="Times New Roman" w:cs="Times New Roman"/>
          <w:i/>
          <w:iCs/>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Yahudiler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w:t>
      </w:r>
      <w:r w:rsidRPr="00567795">
        <w:rPr>
          <w:rFonts w:ascii="Times New Roman" w:eastAsia="Times New Roman" w:hAnsi="Times New Roman" w:cs="Times New Roman"/>
          <w:iCs/>
          <w:kern w:val="0"/>
          <w:sz w:val="24"/>
          <w:szCs w:val="24"/>
          <w:lang w:eastAsia="tr-TR"/>
          <w14:ligatures w14:val="none"/>
        </w:rPr>
        <w:t>.</w:t>
      </w:r>
      <w:r w:rsidR="00187FC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âyetinden “</w:t>
      </w:r>
      <w:r w:rsidRPr="00F42596">
        <w:rPr>
          <w:rFonts w:ascii="Times New Roman" w:eastAsia="Times New Roman" w:hAnsi="Times New Roman" w:cs="Times New Roman"/>
          <w:kern w:val="0"/>
          <w:sz w:val="24"/>
          <w:szCs w:val="24"/>
          <w:rtl/>
          <w:lang w:eastAsia="tr-TR"/>
          <w14:ligatures w14:val="none"/>
        </w:rPr>
        <w:t>لَيْسَت</w:t>
      </w:r>
      <w:r w:rsidRPr="00F42596">
        <w:rPr>
          <w:rFonts w:ascii="Times New Roman" w:eastAsia="Times New Roman" w:hAnsi="Times New Roman" w:cs="Times New Roman"/>
          <w:kern w:val="0"/>
          <w:sz w:val="24"/>
          <w:szCs w:val="24"/>
          <w:lang w:eastAsia="tr-TR"/>
          <w14:ligatures w14:val="none"/>
        </w:rPr>
        <w:t>” kelimesinin çıkarılması.</w:t>
      </w:r>
    </w:p>
    <w:p w14:paraId="4D176950" w14:textId="5DC56551"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وَمَنْ يَبْتَغِ </w:t>
      </w:r>
      <w:r w:rsidRPr="00F42596">
        <w:rPr>
          <w:rFonts w:ascii="Times New Roman" w:eastAsia="Times New Roman" w:hAnsi="Times New Roman" w:cs="Times New Roman"/>
          <w:kern w:val="0"/>
          <w:sz w:val="24"/>
          <w:szCs w:val="24"/>
          <w:u w:val="single"/>
          <w:rtl/>
          <w:lang w:eastAsia="tr-TR"/>
          <w14:ligatures w14:val="none"/>
        </w:rPr>
        <w:t>غَيْر</w:t>
      </w:r>
      <w:r w:rsidRPr="00F42596">
        <w:rPr>
          <w:rFonts w:ascii="Times New Roman" w:eastAsia="Times New Roman" w:hAnsi="Times New Roman" w:cs="Times New Roman"/>
          <w:kern w:val="0"/>
          <w:sz w:val="24"/>
          <w:szCs w:val="24"/>
          <w:rtl/>
          <w:lang w:eastAsia="tr-TR"/>
          <w14:ligatures w14:val="none"/>
        </w:rPr>
        <w:t>َ الْإسْلَامِ دِينًا فَلَنْ يُقْبَلَ مِنْهُ وَهُوَ فِى الْآخِرَةِ مِنَ الْخَاسِرِين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Kim İslâm’dan başka bir din ararsa, bilsin ki kendisinden (böyle bir din) asla kabul edilmeyecek ve o, ahirette ziyan edenlerden olacaktır.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âyetinden “</w:t>
      </w:r>
      <w:r w:rsidRPr="00F42596">
        <w:rPr>
          <w:rFonts w:ascii="Times New Roman" w:eastAsia="Times New Roman" w:hAnsi="Times New Roman" w:cs="Times New Roman"/>
          <w:kern w:val="0"/>
          <w:sz w:val="24"/>
          <w:szCs w:val="24"/>
          <w:rtl/>
          <w:lang w:eastAsia="tr-TR"/>
          <w14:ligatures w14:val="none"/>
        </w:rPr>
        <w:t>غَيْرَ</w:t>
      </w:r>
      <w:r w:rsidRPr="00F42596">
        <w:rPr>
          <w:rFonts w:ascii="Times New Roman" w:eastAsia="Times New Roman" w:hAnsi="Times New Roman" w:cs="Times New Roman"/>
          <w:kern w:val="0"/>
          <w:sz w:val="24"/>
          <w:szCs w:val="24"/>
          <w:lang w:eastAsia="tr-TR"/>
          <w14:ligatures w14:val="none"/>
        </w:rPr>
        <w:t>” kelimesinin çıkarılması.</w:t>
      </w:r>
    </w:p>
    <w:p w14:paraId="163009B1" w14:textId="78CCB24F"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Hırsızlık âyetinde geçen “</w:t>
      </w:r>
      <w:r w:rsidRPr="00F42596">
        <w:rPr>
          <w:rFonts w:ascii="Times New Roman" w:eastAsia="Times New Roman" w:hAnsi="Times New Roman" w:cs="Times New Roman"/>
          <w:kern w:val="0"/>
          <w:sz w:val="24"/>
          <w:szCs w:val="24"/>
          <w:rtl/>
          <w:lang w:eastAsia="tr-TR"/>
          <w14:ligatures w14:val="none"/>
        </w:rPr>
        <w:t xml:space="preserve">وَالسَّارِقُ وَالسَّارِقَةُ فَاقْطَعُوا أيْدِيَهُمَا جَزَاءً بِمَا كَسَبَا نَكَالًا مِنَ اللهِ </w:t>
      </w:r>
      <w:r w:rsidRPr="00F42596">
        <w:rPr>
          <w:rFonts w:ascii="Times New Roman" w:eastAsia="Times New Roman" w:hAnsi="Times New Roman" w:cs="Times New Roman"/>
          <w:kern w:val="0"/>
          <w:sz w:val="24"/>
          <w:szCs w:val="24"/>
          <w:u w:val="single"/>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Hırsızlık eden erkek ve kadının, yaptıklarına karşılık bir ceza ve Allah’tan bir ibret olmak üzere ellerini kesin. Allah izzet ve hikmet sahibidir.</w:t>
      </w:r>
      <w:r w:rsidRPr="00F42596">
        <w:rPr>
          <w:rFonts w:ascii="Times New Roman" w:eastAsia="Times New Roman" w:hAnsi="Times New Roman" w:cs="Times New Roman"/>
          <w:kern w:val="0"/>
          <w:sz w:val="24"/>
          <w:szCs w:val="24"/>
          <w:lang w:eastAsia="tr-TR"/>
          <w14:ligatures w14:val="none"/>
        </w:rPr>
        <w:t xml:space="preserve">” </w:t>
      </w:r>
      <w:r w:rsidR="00187FC3" w:rsidRPr="00F42596">
        <w:rPr>
          <w:rFonts w:ascii="Times New Roman" w:eastAsia="Times New Roman" w:hAnsi="Times New Roman" w:cs="Times New Roman"/>
          <w:kern w:val="0"/>
          <w:sz w:val="24"/>
          <w:szCs w:val="24"/>
          <w:lang w:eastAsia="tr-TR"/>
          <w14:ligatures w14:val="none"/>
        </w:rPr>
        <w:t xml:space="preserve">âyetinden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 ibaresinin “</w:t>
      </w:r>
      <w:r w:rsidRPr="00F42596">
        <w:rPr>
          <w:rFonts w:ascii="Times New Roman" w:eastAsia="Times New Roman" w:hAnsi="Times New Roman" w:cs="Times New Roman"/>
          <w:kern w:val="0"/>
          <w:sz w:val="24"/>
          <w:szCs w:val="24"/>
          <w:rtl/>
          <w:lang w:eastAsia="tr-TR"/>
          <w14:ligatures w14:val="none"/>
        </w:rPr>
        <w:t>وَاللهُ غَفُورٌ رَحِيم</w:t>
      </w:r>
      <w:r w:rsidRPr="00F42596">
        <w:rPr>
          <w:rFonts w:ascii="Times New Roman" w:eastAsia="Times New Roman" w:hAnsi="Times New Roman" w:cs="Times New Roman"/>
          <w:kern w:val="0"/>
          <w:sz w:val="24"/>
          <w:szCs w:val="24"/>
          <w:lang w:eastAsia="tr-TR"/>
          <w14:ligatures w14:val="none"/>
        </w:rPr>
        <w:t>” şeklinde değiştirilmesi.</w:t>
      </w:r>
    </w:p>
    <w:p w14:paraId="4BF086CB" w14:textId="77777777"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İşgal altındaki Filistin’de Arap Müslüman okullarında şu iki âyetin mushaflardan çıkarılması ve okutulmaması:</w:t>
      </w:r>
    </w:p>
    <w:p w14:paraId="656FFC20" w14:textId="66C7EA5C"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w:t>
      </w:r>
      <w:r w:rsidRPr="00F42596">
        <w:rPr>
          <w:rFonts w:ascii="Times New Roman" w:eastAsia="Times New Roman" w:hAnsi="Times New Roman" w:cs="Times New Roman"/>
          <w:kern w:val="0"/>
          <w:sz w:val="24"/>
          <w:szCs w:val="24"/>
          <w:rtl/>
          <w:lang w:eastAsia="tr-TR"/>
          <w14:ligatures w14:val="none"/>
        </w:rPr>
        <w:t>لَا يَنْهَاكُمُ اللهُ عَنِ اللَّذِينَ لَمْ يُقَاتِلُوكُمْ فِى الدِّينِ وَلَمْ يُخْرِجُوكُمْ مِنْ دِيَارِكُمْ اَنْ تَبَرُّوهُمْ وَتُقْسِطُوا اِلَيْهِمْ إنَّ اللهَ يُحِبُّ الْمُقْسِطِينَ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Allah sizinle din uğrunda savaşmayan ve sizi yurtlarınızdan çıkarmayanlara iyilik yapmanızı ve onlara </w:t>
      </w:r>
      <w:r w:rsidR="00FB04CB">
        <w:rPr>
          <w:rFonts w:ascii="Times New Roman" w:eastAsia="Times New Roman" w:hAnsi="Times New Roman" w:cs="Times New Roman"/>
          <w:i/>
          <w:iCs/>
          <w:kern w:val="0"/>
          <w:sz w:val="24"/>
          <w:szCs w:val="24"/>
          <w:lang w:eastAsia="tr-TR"/>
          <w14:ligatures w14:val="none"/>
        </w:rPr>
        <w:t>a</w:t>
      </w:r>
      <w:r w:rsidRPr="00FB04CB">
        <w:rPr>
          <w:rFonts w:ascii="Times New Roman" w:eastAsia="Times New Roman" w:hAnsi="Times New Roman" w:cs="Times New Roman"/>
          <w:i/>
          <w:iCs/>
          <w:kern w:val="0"/>
          <w:sz w:val="24"/>
          <w:szCs w:val="24"/>
          <w:lang w:eastAsia="tr-TR"/>
          <w14:ligatures w14:val="none"/>
        </w:rPr>
        <w:t>dil</w:t>
      </w:r>
      <w:r w:rsidRPr="00F42596">
        <w:rPr>
          <w:rFonts w:ascii="Times New Roman" w:eastAsia="Times New Roman" w:hAnsi="Times New Roman" w:cs="Times New Roman"/>
          <w:i/>
          <w:iCs/>
          <w:kern w:val="0"/>
          <w:sz w:val="24"/>
          <w:szCs w:val="24"/>
          <w:lang w:eastAsia="tr-TR"/>
          <w14:ligatures w14:val="none"/>
        </w:rPr>
        <w:t xml:space="preserve"> davranmanızı yasaklamaz. Çünkü Allah, adaletli olanları sever.</w:t>
      </w:r>
      <w:r w:rsidRPr="00F42596">
        <w:rPr>
          <w:rFonts w:ascii="Times New Roman" w:eastAsia="Times New Roman" w:hAnsi="Times New Roman" w:cs="Times New Roman"/>
          <w:kern w:val="0"/>
          <w:sz w:val="24"/>
          <w:szCs w:val="24"/>
          <w:lang w:eastAsia="tr-TR"/>
          <w14:ligatures w14:val="none"/>
        </w:rPr>
        <w:t>”</w:t>
      </w:r>
    </w:p>
    <w:p w14:paraId="1428446D" w14:textId="1E76ADE1"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إنَّمَا يَنْهَاكُمُ اللهُ عَنِ الَّذِينَ قَاتَلُوكُمْ فِى الدِّينِ وَأخْرَجُوكُمْْ مِنْ دِيَارِكُمْ وَظَاهَرُوا عَلَى اِخْرَاجِكُمْ أنْ تَوَلَّوْهُمْ وَمَنْ يَتَوَلَّهُمْ فَأُؤلَائِكَ هُمُ الظَّالِمُونَ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Allah, yalnız sizinle din uğrunda savaşanları, sizi yurtlarınızdan çıkaranları ve çıkarılmanız için onlara yardım edenleri dost edinmenizi yasaklar. Kim onlarla dost olursa işte zalimler onlardır.</w:t>
      </w:r>
      <w:r w:rsidRPr="00F42596">
        <w:rPr>
          <w:rFonts w:ascii="Times New Roman" w:eastAsia="Times New Roman" w:hAnsi="Times New Roman" w:cs="Times New Roman"/>
          <w:kern w:val="0"/>
          <w:sz w:val="24"/>
          <w:szCs w:val="24"/>
          <w:lang w:eastAsia="tr-TR"/>
          <w14:ligatures w14:val="none"/>
        </w:rPr>
        <w:t>”</w:t>
      </w:r>
    </w:p>
    <w:p w14:paraId="67D5B32E" w14:textId="4F811B1A" w:rsidR="00F42596" w:rsidRPr="00F42596" w:rsidRDefault="00F42596" w:rsidP="00F42596">
      <w:pPr>
        <w:spacing w:after="0" w:line="276" w:lineRule="auto"/>
        <w:ind w:firstLine="708"/>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son silmenin amacı, daha önce İsrail’in, Arapları yurtlarından çıkararak işlediği suçlardan dikkati uzaklaştırmaktır. Müslümanlar ise, bu tehlikeli olaya büyük önem vermiştir. Nitekim Evkaf Bakanı, Ezher şeyhiyle görüşerek bu saldırganlığa karşı alınması gereken tedbirleri ele almış; bunlar arasında tahrif edilmiş mushafları incelemek, yanlışlarını ortaya koymak ve Müslümanları bundan sakındırmak üzere ortak bir komisyon kurulması da yer almıştır. Ezher şeyhi, cumhurbaşkanına gönderdiği mesajda İsrail’in, kutsallara ve mukaddesata yönelik saldırı çizgisini</w:t>
      </w:r>
      <w:r w:rsidR="00925F21">
        <w:rPr>
          <w:rFonts w:ascii="Times New Roman" w:eastAsia="Times New Roman" w:hAnsi="Times New Roman" w:cs="Times New Roman"/>
          <w:kern w:val="0"/>
          <w:sz w:val="24"/>
          <w:szCs w:val="24"/>
          <w:lang w:eastAsia="tr-TR"/>
          <w14:ligatures w14:val="none"/>
        </w:rPr>
        <w:t xml:space="preserve"> sürdürdüğünü; bu bağlamda Kur’an-ı Keri</w:t>
      </w:r>
      <w:r w:rsidRPr="00F42596">
        <w:rPr>
          <w:rFonts w:ascii="Times New Roman" w:eastAsia="Times New Roman" w:hAnsi="Times New Roman" w:cs="Times New Roman"/>
          <w:kern w:val="0"/>
          <w:sz w:val="24"/>
          <w:szCs w:val="24"/>
          <w:lang w:eastAsia="tr-TR"/>
          <w14:ligatures w14:val="none"/>
        </w:rPr>
        <w:t>m’i tahrif ederek Müslümanların akidesini ve dinini hedef aldığını belirtmiştir. Sudan’da da mahkeme görevlileri ve kamu kütüphaneleri sahiplerine, dolaşıma sokulmadan önce mushafların kontrol edilmesi emredilmiş; âlimler, Müslümanları bu tehlikeye karşı uyarmış ve Ezher veya İslâm ülkelerindeki resmî dinî kurumlardan biri tarafından onaylanmamış hiçbir mushafın kabul edilmemesi gerektiği</w:t>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ifade e</w:t>
      </w:r>
      <w:r w:rsidR="00187FC3">
        <w:rPr>
          <w:rFonts w:ascii="Times New Roman" w:eastAsia="Times New Roman" w:hAnsi="Times New Roman" w:cs="Times New Roman"/>
          <w:kern w:val="0"/>
          <w:sz w:val="24"/>
          <w:szCs w:val="24"/>
          <w:lang w:eastAsia="tr-TR"/>
          <w14:ligatures w14:val="none"/>
        </w:rPr>
        <w:t>dil</w:t>
      </w:r>
      <w:r w:rsidRPr="00F42596">
        <w:rPr>
          <w:rFonts w:ascii="Times New Roman" w:eastAsia="Times New Roman" w:hAnsi="Times New Roman" w:cs="Times New Roman"/>
          <w:kern w:val="0"/>
          <w:sz w:val="24"/>
          <w:szCs w:val="24"/>
          <w:lang w:eastAsia="tr-TR"/>
          <w14:ligatures w14:val="none"/>
        </w:rPr>
        <w:t>miş</w:t>
      </w:r>
      <w:r w:rsidR="00187FC3">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ir. Ürdün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w:t>
      </w:r>
      <w:r w:rsidRPr="00F42596">
        <w:rPr>
          <w:rFonts w:ascii="Times New Roman" w:eastAsia="Times New Roman" w:hAnsi="Times New Roman" w:cs="Times New Roman"/>
          <w:kern w:val="0"/>
          <w:sz w:val="24"/>
          <w:szCs w:val="24"/>
          <w:lang w:eastAsia="tr-TR"/>
          <w14:ligatures w14:val="none"/>
        </w:rPr>
        <w:t xml:space="preserve"> de bir bildiri yayımlayarak bu tahrifi kınamış ve bunun, Afrika ülkelerine tahrif edilmiş mushaflar ve bozuk nüshalar göndermek suretiyle İsrail’in sürdürdüğü faaliyetlerin bir parçası olduğunu belirtmiştir.</w:t>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Kaynaklar, </w:t>
      </w:r>
      <w:r w:rsidRPr="00567795">
        <w:rPr>
          <w:rFonts w:ascii="Times New Roman" w:eastAsia="Times New Roman" w:hAnsi="Times New Roman" w:cs="Times New Roman"/>
          <w:bCs/>
          <w:kern w:val="0"/>
          <w:sz w:val="24"/>
          <w:szCs w:val="24"/>
          <w:lang w:eastAsia="tr-TR"/>
          <w14:ligatures w14:val="none"/>
        </w:rPr>
        <w:t xml:space="preserve">bu örnekleri,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inden uzaklaşmanın sadece teorik bir kaygı olmayıp, pratikte tahrif kapısını aralayabilecek bir süreç olduğuna delil olarak sunmaktadır. Bu çerçevede Müslüman toplumların bu tahrif girişimlerine karşı gösterdiği tepki ayrıca dikkat çekicidir. Ezher şeyhi, Sudan’daki ilmî çevreler ve Ürdün makamları, tahrif edilmiş mushaf nüshalarının dolaşıma sokulmasını ciddi bir tehdit olarak görmüş; bu sebeple ortak komisyonlar teşkil etmiş, ilgili nüshaları incelemiş ve Müslüman kamuoyunu bu hususta uyarmıştır. Bu tepkiler,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korunmasının sadece ilmî bir mesele </w:t>
      </w:r>
      <w:r w:rsidRPr="002504E9">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ümmetin ortak din</w:t>
      </w:r>
      <w:r w:rsidR="00187FC3">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hafızasını savunma çabası olarak da görüldüğünü göstermektedir. </w:t>
      </w:r>
      <w:r w:rsidR="00A43DA2" w:rsidRPr="002F1074">
        <w:rPr>
          <w:rFonts w:asciiTheme="majorBidi" w:hAnsiTheme="majorBidi" w:cstheme="majorBidi"/>
          <w:color w:val="FF0000"/>
          <w:sz w:val="24"/>
          <w:szCs w:val="24"/>
        </w:rPr>
        <w:t>Böylece resm-i mushaf, metnin güvenliğini sağlayan pasif bir yazı düzeni olmaktan çıkarak ümmetin dinî ve kültürel varlığını koruyan aktif bir muhafaza zemini olarak ortaya çıkmıştır.</w:t>
      </w:r>
      <w:r w:rsidR="002F1074" w:rsidRPr="002F1074">
        <w:rPr>
          <w:rFonts w:asciiTheme="majorBidi" w:hAnsiTheme="majorBidi" w:cstheme="majorBidi"/>
          <w:color w:val="FF0000"/>
          <w:sz w:val="24"/>
          <w:szCs w:val="24"/>
        </w:rPr>
        <w:t xml:space="preserve"> </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konusunda gevşeklik gösterilmesi, yalnız yazı alanında bir dönüşüm meydana getirmekle kalmayacak, aynı zamanda mevcut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ihtiva ettiği birçok kırâat vechinin de zayi olmasına yol açacaktır. Çünkü bazı kırâat vecihleri, tam da </w:t>
      </w:r>
      <w:r w:rsidRPr="00964556">
        <w:rPr>
          <w:rFonts w:ascii="Times New Roman" w:eastAsia="Times New Roman" w:hAnsi="Times New Roman" w:cs="Times New Roman"/>
          <w:kern w:val="0"/>
          <w:sz w:val="24"/>
          <w:szCs w:val="24"/>
          <w:lang w:eastAsia="tr-TR"/>
          <w14:ligatures w14:val="none"/>
        </w:rPr>
        <w:t>Osm</w:t>
      </w:r>
      <w:r w:rsidR="00964556" w:rsidRPr="00567795">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harf yapısı, hazif-isbat dengesi ve ihtimalli yazım düzeni sayesinde muhafaza edilebilmektedir. Yeni yazım biçimlerinin bu ihtimal alanını daraltması hâlinde, mevcut kırâat vecihlerinin bir kısmı da taşınamaz duruma gelecektir. Bu itibarla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değiştirilmesi, dolaylı biçimde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nakledilmiş anlam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zenginliğinin daralması sonucunu doğuracaktır. </w:t>
      </w:r>
      <w:r w:rsidRPr="00F42596">
        <w:rPr>
          <w:rFonts w:ascii="Times New Roman" w:eastAsia="Times New Roman" w:hAnsi="Times New Roman" w:cs="Times New Roman"/>
          <w:kern w:val="0"/>
          <w:sz w:val="24"/>
          <w:szCs w:val="24"/>
          <w:lang w:eastAsia="tr-TR"/>
          <w14:ligatures w14:val="none"/>
        </w:rPr>
        <w:lastRenderedPageBreak/>
        <w:t xml:space="preserve">Nitekim </w:t>
      </w:r>
      <w:r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vecihlerinin kaybı, sadece bazı okuyuş farklılıklarının ortadan kalkması anlamına gelmemekte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mushafın tarih boyunca taşıdığı rivâyet ufkunun daralması anlamına da gelmektedir. </w:t>
      </w:r>
      <w:r w:rsidR="00BE3536" w:rsidRPr="00BE3536">
        <w:rPr>
          <w:rFonts w:asciiTheme="majorBidi" w:hAnsiTheme="majorBidi" w:cstheme="majorBidi"/>
          <w:color w:val="FF0000"/>
          <w:sz w:val="24"/>
          <w:szCs w:val="24"/>
        </w:rPr>
        <w:t>Bu bakımdan resm-i mushaf, sahih kırâatlerin devamlılığını temin eden ve onların yazı içindeki imkân alanını koruyan kurucu bir unsur olarak değerlendirilebilir</w:t>
      </w:r>
      <w:r w:rsidRPr="00BE3536">
        <w:rPr>
          <w:rFonts w:asciiTheme="majorBidi" w:eastAsia="Times New Roman" w:hAnsiTheme="majorBidi" w:cstheme="majorBidi"/>
          <w:color w:val="FF0000"/>
          <w:kern w:val="0"/>
          <w:sz w:val="24"/>
          <w:szCs w:val="24"/>
          <w:lang w:eastAsia="tr-TR"/>
          <w14:ligatures w14:val="none"/>
        </w:rPr>
        <w:t>.</w:t>
      </w:r>
    </w:p>
    <w:p w14:paraId="33988EFB" w14:textId="04952A09" w:rsidR="006F27AA"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1A357C">
        <w:rPr>
          <w:rFonts w:ascii="Times New Roman" w:eastAsia="Times New Roman" w:hAnsi="Times New Roman" w:cs="Times New Roman"/>
          <w:bCs/>
          <w:color w:val="FF0000"/>
          <w:kern w:val="0"/>
          <w:sz w:val="24"/>
          <w:szCs w:val="24"/>
          <w:lang w:eastAsia="tr-TR"/>
          <w14:ligatures w14:val="none"/>
        </w:rPr>
        <w:t>Bütün bu tespitler birlikte değerlendirildiğinde</w:t>
      </w:r>
      <w:r w:rsidRPr="00567795">
        <w:rPr>
          <w:rFonts w:ascii="Times New Roman" w:eastAsia="Times New Roman" w:hAnsi="Times New Roman" w:cs="Times New Roman"/>
          <w:bCs/>
          <w:kern w:val="0"/>
          <w:sz w:val="24"/>
          <w:szCs w:val="24"/>
          <w:lang w:eastAsia="tr-TR"/>
          <w14:ligatures w14:val="none"/>
        </w:rPr>
        <w:t xml:space="preserv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 meselesinin </w:t>
      </w:r>
      <w:r w:rsidR="0003070D" w:rsidRPr="0003070D">
        <w:rPr>
          <w:rFonts w:asciiTheme="majorBidi" w:hAnsiTheme="majorBidi" w:cstheme="majorBidi"/>
          <w:color w:val="FF0000"/>
          <w:sz w:val="24"/>
          <w:szCs w:val="24"/>
        </w:rPr>
        <w:t xml:space="preserve">ilk dönem </w:t>
      </w:r>
      <w:proofErr w:type="gramStart"/>
      <w:r w:rsidR="0003070D" w:rsidRPr="0003070D">
        <w:rPr>
          <w:rFonts w:asciiTheme="majorBidi" w:hAnsiTheme="majorBidi" w:cstheme="majorBidi"/>
          <w:color w:val="FF0000"/>
          <w:sz w:val="24"/>
          <w:szCs w:val="24"/>
        </w:rPr>
        <w:t>literatüründe</w:t>
      </w:r>
      <w:proofErr w:type="gramEnd"/>
      <w:r w:rsidRPr="0003070D">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çok boyutlu bir muhafaza anlayışına dayandığı görülmektedir. Bu anlayış çerçevesinde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bir taraftan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metnini tahrif tehlikesine karşı korumakta, diğer taraftan resm ilmi</w:t>
      </w:r>
      <w:r w:rsidR="00D65D9B">
        <w:rPr>
          <w:rFonts w:ascii="Times New Roman" w:eastAsia="Times New Roman" w:hAnsi="Times New Roman" w:cs="Times New Roman"/>
          <w:bCs/>
          <w:kern w:val="0"/>
          <w:sz w:val="24"/>
          <w:szCs w:val="24"/>
          <w:lang w:eastAsia="tr-TR"/>
          <w14:ligatures w14:val="none"/>
        </w:rPr>
        <w:t xml:space="preserve"> etrafında teşekkül etmiş </w:t>
      </w:r>
      <w:r w:rsidR="00D65D9B" w:rsidRPr="00D65D9B">
        <w:rPr>
          <w:rFonts w:ascii="Times New Roman" w:eastAsia="Times New Roman" w:hAnsi="Times New Roman" w:cs="Times New Roman"/>
          <w:bCs/>
          <w:color w:val="FF0000"/>
          <w:kern w:val="0"/>
          <w:sz w:val="24"/>
          <w:szCs w:val="24"/>
          <w:lang w:eastAsia="tr-TR"/>
          <w14:ligatures w14:val="none"/>
        </w:rPr>
        <w:t>geleneksel</w:t>
      </w:r>
      <w:r w:rsidRPr="00D65D9B">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ilmî mirası yaşatmakta</w:t>
      </w:r>
      <w:r w:rsidR="0012129A">
        <w:rPr>
          <w:rFonts w:ascii="Times New Roman" w:eastAsia="Times New Roman" w:hAnsi="Times New Roman" w:cs="Times New Roman"/>
          <w:bCs/>
          <w:kern w:val="0"/>
          <w:sz w:val="24"/>
          <w:szCs w:val="24"/>
          <w:lang w:eastAsia="tr-TR"/>
          <w14:ligatures w14:val="none"/>
        </w:rPr>
        <w:t>dır. A</w:t>
      </w:r>
      <w:r w:rsidRPr="00567795">
        <w:rPr>
          <w:rFonts w:ascii="Times New Roman" w:eastAsia="Times New Roman" w:hAnsi="Times New Roman" w:cs="Times New Roman"/>
          <w:bCs/>
          <w:kern w:val="0"/>
          <w:sz w:val="24"/>
          <w:szCs w:val="24"/>
          <w:lang w:eastAsia="tr-TR"/>
          <w14:ligatures w14:val="none"/>
        </w:rPr>
        <w:t xml:space="preserve">yrıca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’da saklı bulunan dil ve lehçe özelliklerini muhafaza etmekte ve nihayet sahih kırâat geleneğinin sürekliliğini temin etmektedir. Dolayısıyla burada söz konusu olan husus, yalnızca geçmişten devralınmış bir yazı biçimine sadakat değildir; aynı zamanda metnin güvenliğini, ilmin sürekliliğini, dilsel hafızayı ve kırâat mirasını birlikte koruma iradesidir. Bu itibarla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muhafazası,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yalnız yazılı görünümünü sabit tutma meselesiyle sınırlandırılamaz. Burada korunan şey, metnin güvenliği, ilmî meşruiyet, dilsel hafıza ve kırâat otoritesini aynı anda muhafaza eden bütüncül bir yapıdır.</w:t>
      </w:r>
    </w:p>
    <w:p w14:paraId="344222EF" w14:textId="3EA870FA" w:rsidR="00F42596" w:rsidRPr="006F27AA" w:rsidRDefault="00F42596" w:rsidP="006F27AA">
      <w:pPr>
        <w:spacing w:after="0" w:line="276" w:lineRule="auto"/>
        <w:ind w:firstLine="708"/>
        <w:jc w:val="both"/>
        <w:rPr>
          <w:rFonts w:asciiTheme="majorBidi" w:eastAsia="Times New Roman" w:hAnsiTheme="majorBidi" w:cstheme="majorBidi"/>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 </w:t>
      </w:r>
      <w:r w:rsidR="006F27AA" w:rsidRPr="006F27AA">
        <w:rPr>
          <w:rFonts w:asciiTheme="majorBidi" w:hAnsiTheme="majorBidi" w:cstheme="majorBidi"/>
          <w:color w:val="FF0000"/>
          <w:sz w:val="24"/>
          <w:szCs w:val="24"/>
        </w:rPr>
        <w:t xml:space="preserve">Bu sebeple resm-i Osmânî, basit bir yazım geleneği olarak görülemeyecek ölçüde, ümmetin </w:t>
      </w:r>
      <w:r w:rsidR="00925F21">
        <w:rPr>
          <w:rFonts w:asciiTheme="majorBidi" w:hAnsiTheme="majorBidi" w:cstheme="majorBidi"/>
          <w:color w:val="FF0000"/>
          <w:sz w:val="24"/>
          <w:szCs w:val="24"/>
        </w:rPr>
        <w:t>Kur’an</w:t>
      </w:r>
      <w:r w:rsidR="006F27AA" w:rsidRPr="006F27AA">
        <w:rPr>
          <w:rFonts w:asciiTheme="majorBidi" w:hAnsiTheme="majorBidi" w:cstheme="majorBidi"/>
          <w:color w:val="FF0000"/>
          <w:sz w:val="24"/>
          <w:szCs w:val="24"/>
        </w:rPr>
        <w:t xml:space="preserve"> karşısındaki tarihî dikkatini ve ilim merkezli sadakatini temsil eden kurucu bir zemin olarak değerlendirilebilir.</w:t>
      </w:r>
    </w:p>
    <w:p w14:paraId="6842EBB6" w14:textId="3BC10968"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0" w:name="_Toc235035705"/>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Ümmet Birliği ve Ortak Dinî Hafıza Açısından İşlevi</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7EA9A28C" w14:textId="631ADAE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bu bakış açısına göre, yalnızca mushafın ilkyazım biçimini koruma iradesiyle açıklanamaz. Bunun yanında,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oluşan ortak hattını, müşterek hafızasını ve birlik düşüncesini belirgin kılan bir unsur olarak da anlam kazanmaktadır. Bu sebeple mushaf yazımında, farklılaşma veya ikili uygulama sadece imlâ farklılığı şeklinde görülmemekte; dinî birlik, toplumsal uyum ve ortak otorite zemini bakımından da sakıncalı bulunmaktadır. Böylece resm-i Osmânî, yazılı metnin kalıbını koruyan bir unsur olmanın ötesinde,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karşısındaki ortak duruşunu belirginleştiren ve bu müşterekliği muhafaza eden bir birlik zemini</w:t>
      </w:r>
      <w:r w:rsidR="00EC73B1">
        <w:rPr>
          <w:rFonts w:ascii="Times New Roman" w:eastAsia="Times New Roman" w:hAnsi="Times New Roman" w:cs="Times New Roman"/>
          <w:kern w:val="0"/>
          <w:sz w:val="24"/>
          <w:szCs w:val="24"/>
          <w:lang w:eastAsia="tr-TR"/>
          <w14:ligatures w14:val="none"/>
        </w:rPr>
        <w:t xml:space="preserve"> olarak öne çıkmaktadır. Bizce b</w:t>
      </w:r>
      <w:r w:rsidRPr="00F42596">
        <w:rPr>
          <w:rFonts w:ascii="Times New Roman" w:eastAsia="Times New Roman" w:hAnsi="Times New Roman" w:cs="Times New Roman"/>
          <w:kern w:val="0"/>
          <w:sz w:val="24"/>
          <w:szCs w:val="24"/>
          <w:lang w:eastAsia="tr-TR"/>
          <w14:ligatures w14:val="none"/>
        </w:rPr>
        <w:t>u yaklaşımın dikkat çekici yönü, yazı meselesini salt şekil düzeyinde ele almaması; bilakis onu ortak hafızayı, tarihî sürekliliği ve dinî aidiyeti taşıyan kurucu bir unsur olarak yorumlamasıdır. Bu bakımdan mushaf yazımına ilişkin bu anlayış, meseleyi yalnız biçimsel bağlılıkla açıklamamakta; ümmetin müşterek hafızası, ortak yönelişi ve birlik tasavvuruyla doğrudan irtibatlı bir alan olarak görmektedir.</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çerçevede resm-i Osmânî, ihtilafı azaltmak ve sahih olanı muhafaza etmek için en başta sabit rivâyete bağlı kalmayı, </w:t>
      </w:r>
      <w:r w:rsidRPr="006572ED">
        <w:rPr>
          <w:rFonts w:ascii="Times New Roman" w:eastAsia="Times New Roman" w:hAnsi="Times New Roman" w:cs="Times New Roman"/>
          <w:kern w:val="0"/>
          <w:sz w:val="24"/>
          <w:szCs w:val="24"/>
          <w:lang w:eastAsia="tr-TR"/>
          <w14:ligatures w14:val="none"/>
        </w:rPr>
        <w:t>neshedilmiş</w:t>
      </w:r>
      <w:r w:rsidRPr="00F42596">
        <w:rPr>
          <w:rFonts w:ascii="Times New Roman" w:eastAsia="Times New Roman" w:hAnsi="Times New Roman" w:cs="Times New Roman"/>
          <w:kern w:val="0"/>
          <w:sz w:val="24"/>
          <w:szCs w:val="24"/>
          <w:lang w:eastAsia="tr-TR"/>
          <w14:ligatures w14:val="none"/>
        </w:rPr>
        <w:t xml:space="preserve"> olanı ve hakkında sadece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 bulunan yahut fiilen okunmayan vecihleri dışarıda bırakmıştır. Özellikle mushafların yazımında Hz. Peygamber’den telakki edilen okuyuşun esas alınması, bu yöntemin en belirgin göstergelerinden biridir. Zeyd b. Sâbit ve onunla birlikte çalışan istinsah heyetinin, bir âyet hakkında tereddüt ortaya çıktığında o âyeti </w:t>
      </w:r>
      <w:r w:rsidRPr="006A1DC7">
        <w:rPr>
          <w:rFonts w:ascii="Times New Roman" w:eastAsia="Times New Roman" w:hAnsi="Times New Roman" w:cs="Times New Roman"/>
          <w:kern w:val="0"/>
          <w:sz w:val="24"/>
          <w:szCs w:val="24"/>
          <w:lang w:eastAsia="tr-TR"/>
          <w14:ligatures w14:val="none"/>
        </w:rPr>
        <w:t>Rasûlullah’tan</w:t>
      </w:r>
      <w:r w:rsidRPr="00F42596">
        <w:rPr>
          <w:rFonts w:ascii="Times New Roman" w:eastAsia="Times New Roman" w:hAnsi="Times New Roman" w:cs="Times New Roman"/>
          <w:kern w:val="0"/>
          <w:sz w:val="24"/>
          <w:szCs w:val="24"/>
          <w:lang w:eastAsia="tr-TR"/>
          <w14:ligatures w14:val="none"/>
        </w:rPr>
        <w:t xml:space="preserve"> öğrenen kimseyi getirterek okuyuş biçimini tespit etmeleri, yazının doğrudan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feheye tabi kılındığını göstermektedir. Bu nedenle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bağımsız bir imlâ şekli görülmeyip; sahih rivâyetle doğrulanmış okuyuşun yazıda tespit edilmiş biçimi olarak </w:t>
      </w:r>
      <w:r w:rsidR="00FC565E" w:rsidRPr="00FC565E">
        <w:rPr>
          <w:rFonts w:asciiTheme="majorBidi" w:hAnsiTheme="majorBidi" w:cstheme="majorBidi"/>
          <w:color w:val="FF0000"/>
          <w:sz w:val="24"/>
          <w:szCs w:val="24"/>
        </w:rPr>
        <w:t>değerlendirilebilir</w:t>
      </w:r>
      <w:r w:rsidRPr="00FC565E">
        <w:rPr>
          <w:rFonts w:asciiTheme="majorBidi" w:eastAsia="Times New Roman" w:hAnsiTheme="majorBidi" w:cstheme="majorBidi"/>
          <w:color w:val="FF0000"/>
          <w:kern w:val="0"/>
          <w:sz w:val="24"/>
          <w:szCs w:val="24"/>
          <w:lang w:eastAsia="tr-TR"/>
          <w14:ligatures w14:val="none"/>
        </w:rPr>
        <w:t>.</w:t>
      </w:r>
      <w:r w:rsidRPr="00FC565E">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Aynı şekilde Hz. Peygamber’in vefat ettiği yılda gerçekleşen son arzanın esas alınması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keyf</w:t>
      </w:r>
      <w:r w:rsidR="00BD634C">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tercihten ibaret olmayıp son olarak tahkik edilmiş kırâat zeminine dayandığını ortaya koymaktadır. Böylece mushaflar, son arzada sabit kalan lafızları muhafaza etmiş; daha önce </w:t>
      </w:r>
      <w:r w:rsidRPr="00F42596">
        <w:rPr>
          <w:rFonts w:ascii="Times New Roman" w:eastAsia="Times New Roman" w:hAnsi="Times New Roman" w:cs="Times New Roman"/>
          <w:kern w:val="0"/>
          <w:sz w:val="24"/>
          <w:szCs w:val="24"/>
          <w:lang w:eastAsia="tr-TR"/>
          <w14:ligatures w14:val="none"/>
        </w:rPr>
        <w:lastRenderedPageBreak/>
        <w:t>ruhsat kapsamında okun</w:t>
      </w:r>
      <w:r w:rsidR="00BD634C">
        <w:rPr>
          <w:rFonts w:ascii="Times New Roman" w:eastAsia="Times New Roman" w:hAnsi="Times New Roman" w:cs="Times New Roman"/>
          <w:kern w:val="0"/>
          <w:sz w:val="24"/>
          <w:szCs w:val="24"/>
          <w:lang w:eastAsia="tr-TR"/>
          <w14:ligatures w14:val="none"/>
        </w:rPr>
        <w:t xml:space="preserve">an </w:t>
      </w:r>
      <w:r w:rsidRPr="00F42596">
        <w:rPr>
          <w:rFonts w:ascii="Times New Roman" w:eastAsia="Times New Roman" w:hAnsi="Times New Roman" w:cs="Times New Roman"/>
          <w:kern w:val="0"/>
          <w:sz w:val="24"/>
          <w:szCs w:val="24"/>
          <w:lang w:eastAsia="tr-TR"/>
          <w14:ligatures w14:val="none"/>
        </w:rPr>
        <w:t>fakat daha sonra neshedilmiş vecihler yazı alanının dışında bırakılmıştır.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diğer temel işlevi, tevâtüren sabit olan kırâatlerle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rivâyetleri birbirinden ayıran bağlayıcı bir ölçü oluşturmasıdır.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sadece mevcut rivâyetleri kaydeden edilgen bir kalıp olmadığını; aksine ümmetin ortak mushafında hangi vecihlerin kalacağını belirleyen seçici bir çerçeve olduğunu göstermektedir.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Dolayısıyla resm-i Osmânî, sahih kırâat alanını </w:t>
      </w:r>
      <w:proofErr w:type="gramStart"/>
      <w:r w:rsidRPr="002F604F">
        <w:rPr>
          <w:rFonts w:ascii="Times New Roman" w:eastAsia="Times New Roman" w:hAnsi="Times New Roman" w:cs="Times New Roman"/>
          <w:kern w:val="0"/>
          <w:sz w:val="24"/>
          <w:szCs w:val="24"/>
          <w:lang w:eastAsia="tr-TR"/>
          <w14:ligatures w14:val="none"/>
        </w:rPr>
        <w:t>tahdi</w:t>
      </w:r>
      <w:r w:rsidR="00BD634C" w:rsidRPr="00567795">
        <w:rPr>
          <w:rFonts w:ascii="Times New Roman" w:eastAsia="Times New Roman" w:hAnsi="Times New Roman" w:cs="Times New Roman"/>
          <w:kern w:val="0"/>
          <w:sz w:val="24"/>
          <w:szCs w:val="24"/>
          <w:lang w:eastAsia="tr-TR"/>
          <w14:ligatures w14:val="none"/>
        </w:rPr>
        <w:t>t</w:t>
      </w:r>
      <w:proofErr w:type="gramEnd"/>
      <w:r w:rsidRPr="00F42596">
        <w:rPr>
          <w:rFonts w:ascii="Times New Roman" w:eastAsia="Times New Roman" w:hAnsi="Times New Roman" w:cs="Times New Roman"/>
          <w:kern w:val="0"/>
          <w:sz w:val="24"/>
          <w:szCs w:val="24"/>
          <w:lang w:eastAsia="tr-TR"/>
          <w14:ligatures w14:val="none"/>
        </w:rPr>
        <w:t xml:space="preserve"> eden ve onu ümmetin müşterek rivâyet zemini içinde koruyan kurucu bir unsur hüviyeti kazanmaktadır.</w:t>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