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w:t>
      </w:r>
      <w:r w:rsidR="006572ED">
        <w:rPr>
          <w:rFonts w:ascii="Times New Roman" w:eastAsia="Times New Roman" w:hAnsi="Times New Roman" w:cs="Times New Roman"/>
          <w:kern w:val="0"/>
          <w:sz w:val="24"/>
          <w:szCs w:val="24"/>
          <w14:ligatures w14:val="none"/>
        </w:rPr>
        <w:t>m</w:t>
      </w:r>
      <w:r w:rsidRPr="00F42596">
        <w:rPr>
          <w:rFonts w:ascii="Times New Roman" w:eastAsia="Times New Roman" w:hAnsi="Times New Roman" w:cs="Times New Roman"/>
          <w:kern w:val="0"/>
          <w:sz w:val="24"/>
          <w:szCs w:val="24"/>
          <w14:ligatures w14:val="none"/>
        </w:rPr>
        <w:t xml:space="preserve">ushaf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’l-Kur’ân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 xml:space="preserve">mam </w:t>
      </w:r>
      <w:r w:rsidR="006572ED">
        <w:rPr>
          <w:rFonts w:ascii="Times New Roman" w:eastAsia="Times New Roman" w:hAnsi="Times New Roman" w:cs="Times New Roman"/>
          <w:kern w:val="0"/>
          <w:sz w:val="24"/>
          <w:szCs w:val="24"/>
          <w:lang w:eastAsia="tr-TR"/>
          <w14:ligatures w14:val="none"/>
        </w:rPr>
        <w:t>m</w:t>
      </w:r>
      <w:r w:rsidRPr="006572ED">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esas alınarak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w:t>
      </w:r>
      <w:r w:rsidRPr="00F42596">
        <w:rPr>
          <w:rFonts w:ascii="Times New Roman" w:eastAsia="Times New Roman" w:hAnsi="Times New Roman" w:cs="Times New Roman"/>
          <w:kern w:val="0"/>
          <w:sz w:val="24"/>
          <w:szCs w:val="24"/>
          <w:lang w:eastAsia="tr-TR"/>
          <w14:ligatures w14:val="none"/>
        </w:rPr>
        <w:t xml:space="preserve"> esas alınarak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ulûmu’l-Kur’ân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-Kur’ân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ulûmu’l-Kur’ân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Zira kırâat, sonraki neslin önceki nesilden aldığı ve uygulayarak sürdürdüğü ittiba edilen bir sünnet olarak anlaşılmıştır. Bu bağlamda Zeyd b. Sâbit’ten ve başkalarından nakledildiğine göre “</w:t>
      </w:r>
      <w:r w:rsidR="00BD634C">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ırâat sünnettir</w:t>
      </w:r>
      <w:r w:rsidR="00BD634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ile Ebû Amr b. el-A’lâ’nın (ö. 154/771) kırâat hususundaki yöntemini anlatırken, “</w:t>
      </w:r>
      <w:r w:rsidRPr="00F42596">
        <w:rPr>
          <w:rFonts w:ascii="Times New Roman" w:eastAsia="Times New Roman" w:hAnsi="Times New Roman" w:cs="Times New Roman"/>
          <w:i/>
          <w:iCs/>
          <w:kern w:val="0"/>
          <w:sz w:val="24"/>
          <w:szCs w:val="24"/>
          <w:lang w:eastAsia="tr-TR"/>
          <w14:ligatures w14:val="none"/>
        </w:rPr>
        <w:t>Allah</w:t>
      </w:r>
      <w:r w:rsidR="00BD634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a yemin ederim ki, okuduğum hiçbir harfi, sahih bir rivâyete dayanmaksızın okumadım</w:t>
      </w:r>
      <w:r w:rsidR="00BD634C">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ifadesi, bu anlayışı </w:t>
      </w:r>
      <w:r w:rsidRPr="005802A1">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çerçevede resm-i Osmânî, ihtilafı azaltmak ve sahih olanı muhafaza etmek için en başta sabit rivâyete bağlı kalmayı, </w:t>
      </w:r>
      <w:r w:rsidRPr="006572ED">
        <w:rPr>
          <w:rFonts w:ascii="Times New Roman" w:eastAsia="Times New Roman" w:hAnsi="Times New Roman" w:cs="Times New Roman"/>
          <w:kern w:val="0"/>
          <w:sz w:val="24"/>
          <w:szCs w:val="24"/>
          <w:lang w:eastAsia="tr-TR"/>
          <w14:ligatures w14:val="none"/>
        </w:rPr>
        <w:t>neshedilmiş</w:t>
      </w:r>
      <w:r w:rsidRPr="00F42596">
        <w:rPr>
          <w:rFonts w:ascii="Times New Roman" w:eastAsia="Times New Roman" w:hAnsi="Times New Roman" w:cs="Times New Roman"/>
          <w:kern w:val="0"/>
          <w:sz w:val="24"/>
          <w:szCs w:val="24"/>
          <w:lang w:eastAsia="tr-TR"/>
          <w14:ligatures w14:val="none"/>
        </w:rPr>
        <w:t xml:space="preserve"> olanı ve hakkında sadece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rivâyet bulunan yahut fiilen okunmayan vecihleri dışarıda bırakmıştır. Özellikle mushafların yazımında Hz. Peygamber’den telakki edilen okuyuşun esas alınması, bu yöntemin en belirgin göstergelerinden biridir. Zeyd b. Sâbit ve onunla birlikte çalışan istinsah heyetinin, bir âyet hakkında tereddüt ortaya çıktığında o âyeti </w:t>
      </w:r>
      <w:r w:rsidRPr="006A1DC7">
        <w:rPr>
          <w:rFonts w:ascii="Times New Roman" w:eastAsia="Times New Roman" w:hAnsi="Times New Roman" w:cs="Times New Roman"/>
          <w:kern w:val="0"/>
          <w:sz w:val="24"/>
          <w:szCs w:val="24"/>
          <w:lang w:eastAsia="tr-TR"/>
          <w14:ligatures w14:val="none"/>
        </w:rPr>
        <w:t>Rasûlullah’tan</w:t>
      </w:r>
      <w:r w:rsidRPr="00F42596">
        <w:rPr>
          <w:rFonts w:ascii="Times New Roman" w:eastAsia="Times New Roman" w:hAnsi="Times New Roman" w:cs="Times New Roman"/>
          <w:kern w:val="0"/>
          <w:sz w:val="24"/>
          <w:szCs w:val="24"/>
          <w:lang w:eastAsia="tr-TR"/>
          <w14:ligatures w14:val="none"/>
        </w:rPr>
        <w:t xml:space="preserve"> öğrenen kimseyi getirterek okuyuş biçimini tespit etmeleri, yazının doğrudan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feheye tabi kılındığını göstermektedir. Bu nedenle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bağımsız bir imlâ şekli görülmeyip; sahih rivâyetle doğrulanmış okuyuşun yazıda tespit edilmiş biçimi olarak </w:t>
      </w:r>
      <w:r w:rsidR="00FC565E" w:rsidRPr="00FC565E">
        <w:rPr>
          <w:rFonts w:asciiTheme="majorBidi" w:hAnsiTheme="majorBidi" w:cstheme="majorBidi"/>
          <w:color w:val="FF0000"/>
          <w:sz w:val="24"/>
          <w:szCs w:val="24"/>
        </w:rPr>
        <w:t>değerlendirilebilir</w:t>
      </w:r>
      <w:r w:rsidRPr="00FC565E">
        <w:rPr>
          <w:rFonts w:asciiTheme="majorBidi" w:eastAsia="Times New Roman" w:hAnsiTheme="majorBidi" w:cstheme="majorBidi"/>
          <w:color w:val="FF0000"/>
          <w:kern w:val="0"/>
          <w:sz w:val="24"/>
          <w:szCs w:val="24"/>
          <w:lang w:eastAsia="tr-TR"/>
          <w14:ligatures w14:val="none"/>
        </w:rPr>
        <w:t>.</w:t>
      </w:r>
      <w:r w:rsidRPr="00FC565E">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Aynı şekilde Hz. Peygamber’in vefat ettiği yılda gerçekleşen son arzanın esas alınması 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keyf</w:t>
      </w:r>
      <w:r w:rsidR="00BD634C">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tercihten ibaret olmayıp son olarak tahkik edilmiş kırâat zeminine dayandığını ortaya koymaktadır. Böylece mushaflar, son arzada sabit kalan lafızları muhafaza etmiş; daha önce </w:t>
      </w:r>
      <w:r w:rsidRPr="00F42596">
        <w:rPr>
          <w:rFonts w:ascii="Times New Roman" w:eastAsia="Times New Roman" w:hAnsi="Times New Roman" w:cs="Times New Roman"/>
          <w:kern w:val="0"/>
          <w:sz w:val="24"/>
          <w:szCs w:val="24"/>
          <w:lang w:eastAsia="tr-TR"/>
          <w14:ligatures w14:val="none"/>
        </w:rPr>
        <w:lastRenderedPageBreak/>
        <w:t>ruhsat kapsamında okun</w:t>
      </w:r>
      <w:r w:rsidR="00BD634C">
        <w:rPr>
          <w:rFonts w:ascii="Times New Roman" w:eastAsia="Times New Roman" w:hAnsi="Times New Roman" w:cs="Times New Roman"/>
          <w:kern w:val="0"/>
          <w:sz w:val="24"/>
          <w:szCs w:val="24"/>
          <w:lang w:eastAsia="tr-TR"/>
          <w14:ligatures w14:val="none"/>
        </w:rPr>
        <w:t xml:space="preserve">an </w:t>
      </w:r>
      <w:r w:rsidRPr="00F42596">
        <w:rPr>
          <w:rFonts w:ascii="Times New Roman" w:eastAsia="Times New Roman" w:hAnsi="Times New Roman" w:cs="Times New Roman"/>
          <w:kern w:val="0"/>
          <w:sz w:val="24"/>
          <w:szCs w:val="24"/>
          <w:lang w:eastAsia="tr-TR"/>
          <w14:ligatures w14:val="none"/>
        </w:rPr>
        <w:t>fakat daha sonra neshedilmiş vecihler yazı alanının dışında bırakılmıştır.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diğer temel işlevi, tevâtüren sabit olan kırâatlerle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rivâyetleri birbirinden ayıran bağlayıcı bir ölçü oluşturmasıdır.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sadece mevcut rivâyetleri kaydeden edilgen bir kalıp olmadığını; aksine ümmetin ortak mushafında hangi vecihlerin kalacağını belirleyen seçici bir çerçeve olduğunu göstermektedir.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Dolayısıyla resm-i Osmânî, sahih kırâat alanını </w:t>
      </w:r>
      <w:proofErr w:type="gramStart"/>
      <w:r w:rsidRPr="002F604F">
        <w:rPr>
          <w:rFonts w:ascii="Times New Roman" w:eastAsia="Times New Roman" w:hAnsi="Times New Roman" w:cs="Times New Roman"/>
          <w:kern w:val="0"/>
          <w:sz w:val="24"/>
          <w:szCs w:val="24"/>
          <w:lang w:eastAsia="tr-TR"/>
          <w14:ligatures w14:val="none"/>
        </w:rPr>
        <w:t>tahdi</w:t>
      </w:r>
      <w:r w:rsidR="00BD634C" w:rsidRPr="00567795">
        <w:rPr>
          <w:rFonts w:ascii="Times New Roman" w:eastAsia="Times New Roman" w:hAnsi="Times New Roman" w:cs="Times New Roman"/>
          <w:kern w:val="0"/>
          <w:sz w:val="24"/>
          <w:szCs w:val="24"/>
          <w:lang w:eastAsia="tr-TR"/>
          <w14:ligatures w14:val="none"/>
        </w:rPr>
        <w:t>t</w:t>
      </w:r>
      <w:proofErr w:type="gramEnd"/>
      <w:r w:rsidRPr="00F42596">
        <w:rPr>
          <w:rFonts w:ascii="Times New Roman" w:eastAsia="Times New Roman" w:hAnsi="Times New Roman" w:cs="Times New Roman"/>
          <w:kern w:val="0"/>
          <w:sz w:val="24"/>
          <w:szCs w:val="24"/>
          <w:lang w:eastAsia="tr-TR"/>
          <w14:ligatures w14:val="none"/>
        </w:rPr>
        <w:t xml:space="preserve"> eden ve onu ümmetin müşterek rivâyet zemini içinde koruyan kurucu bir unsur hüviyeti kazanmaktadır.</w:t>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1121FD">
        <w:rPr>
          <w:rFonts w:ascii="Times New Roman" w:eastAsia="Times New Roman" w:hAnsi="Times New Roman" w:cs="Times New Roman"/>
          <w:color w:val="FF0000"/>
          <w:kern w:val="0"/>
          <w:sz w:val="24"/>
          <w:szCs w:val="24"/>
          <w:lang w:eastAsia="tr-TR"/>
          <w14:ligatures w14:val="none"/>
        </w:rPr>
        <w:t xml:space="preserve">Bütün bunlar birlikte düşünüldüğünde </w:t>
      </w:r>
      <w:r w:rsidRPr="00F42596">
        <w:rPr>
          <w:rFonts w:ascii="Times New Roman" w:eastAsia="Times New Roman" w:hAnsi="Times New Roman" w:cs="Times New Roman"/>
          <w:kern w:val="0"/>
          <w:sz w:val="24"/>
          <w:szCs w:val="24"/>
          <w:lang w:eastAsia="tr-TR"/>
          <w14:ligatures w14:val="none"/>
        </w:rPr>
        <w:t xml:space="preserve">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kırâat vecihlerinin rivâyet ve naklinde üç yönlü bir rol üstlendiği söylenebilir</w:t>
      </w:r>
      <w:r w:rsidR="00FD01EC">
        <w:rPr>
          <w:rFonts w:ascii="Times New Roman" w:eastAsia="Times New Roman" w:hAnsi="Times New Roman" w:cs="Times New Roman"/>
          <w:kern w:val="0"/>
          <w:sz w:val="24"/>
          <w:szCs w:val="24"/>
          <w:lang w:eastAsia="tr-TR"/>
          <w14:ligatures w14:val="none"/>
        </w:rPr>
        <w:t>. İ</w:t>
      </w:r>
      <w:r w:rsidRPr="00F42596">
        <w:rPr>
          <w:rFonts w:ascii="Times New Roman" w:eastAsia="Times New Roman" w:hAnsi="Times New Roman" w:cs="Times New Roman"/>
          <w:kern w:val="0"/>
          <w:sz w:val="24"/>
          <w:szCs w:val="24"/>
          <w:lang w:eastAsia="tr-TR"/>
          <w14:ligatures w14:val="none"/>
        </w:rPr>
        <w:t>lk olarak, sahih rivâyetleri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fehe ve isnad yoluyla korunan bir alan içinde yazılı olarak sabitlemektedir. İkinci olarak, son arza ve </w:t>
      </w:r>
      <w:r w:rsidRPr="00CC4184">
        <w:rPr>
          <w:rFonts w:ascii="Times New Roman" w:eastAsia="Times New Roman" w:hAnsi="Times New Roman" w:cs="Times New Roman"/>
          <w:kern w:val="0"/>
          <w:sz w:val="24"/>
          <w:szCs w:val="24"/>
          <w:lang w:eastAsia="tr-TR"/>
          <w14:ligatures w14:val="none"/>
        </w:rPr>
        <w:t>tevâtür</w:t>
      </w:r>
      <w:r w:rsidRPr="00F42596">
        <w:rPr>
          <w:rFonts w:ascii="Times New Roman" w:eastAsia="Times New Roman" w:hAnsi="Times New Roman" w:cs="Times New Roman"/>
          <w:kern w:val="0"/>
          <w:sz w:val="24"/>
          <w:szCs w:val="24"/>
          <w:lang w:eastAsia="tr-TR"/>
          <w14:ligatures w14:val="none"/>
        </w:rPr>
        <w:t xml:space="preserve"> esasına göre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veya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lığı kesinleşmemiş unsurları dışarıda bırakmaktadır. Üçüncü olarak da İslâm beldelerinde kırâat rivâyetinin seyrini mushaf ve mukrî birlikteliği üzerinden zapt altına almaktadır. </w:t>
      </w:r>
      <w:r w:rsidR="00281D24" w:rsidRPr="00281D24">
        <w:rPr>
          <w:rFonts w:asciiTheme="majorBidi" w:hAnsiTheme="majorBidi" w:cstheme="majorBidi"/>
          <w:color w:val="FF0000"/>
          <w:sz w:val="24"/>
          <w:szCs w:val="24"/>
        </w:rPr>
        <w:t>Bu çerçevede, resm-i Osmânî'nin kırâat tarihi, rivâyet disiplini ve ümmetin ortak mushaf otoritesinin teşekkülünde belirleyici bir işleve sahip bulunduğu açıkça görülmektedir.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.(burası daha önce düzeltilmemiş, ”anlaşılmaktadır”</w:t>
      </w:r>
      <w:r w:rsidRPr="006762F7">
        <w:rPr>
          <w:rFonts w:ascii="Times New Roman" w:eastAsia="Times New Roman" w:hAnsi="Times New Roman" w:cs="Times New Roman"/>
          <w:color w:val="FF0000"/>
          <w:kern w:val="0"/>
          <w:sz w:val="24"/>
          <w:szCs w:val="24"/>
          <w:lang w:eastAsia="tr-TR"/>
          <w14:ligatures w14:val="none"/>
        </w:rPr>
        <w:t xml:space="preserve"> </w:t>
      </w:r>
      <w:r w:rsidR="002700F3" w:rsidRPr="006762F7">
        <w:rPr>
          <w:rFonts w:ascii="Times New Roman" w:eastAsia="Times New Roman" w:hAnsi="Times New Roman" w:cs="Times New Roman"/>
          <w:color w:val="FF0000"/>
          <w:kern w:val="0"/>
          <w:sz w:val="24"/>
          <w:szCs w:val="24"/>
          <w:lang w:eastAsia="tr-TR"/>
          <w14:ligatures w14:val="none"/>
        </w:rPr>
        <w:t>olarak kalmış)</w:t>
      </w:r>
      <w:r w:rsidRPr="00F42596">
        <w:rPr>
          <w:rFonts w:ascii="Times New Roman" w:eastAsia="Times New Roman" w:hAnsi="Times New Roman" w:cs="Times New Roman"/>
          <w:kern w:val="0"/>
          <w:sz w:val="24"/>
          <w:szCs w:val="24"/>
          <w:lang w:eastAsia="tr-TR"/>
          <w14:ligatures w14:val="none"/>
        </w:rPr>
        <w:t>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27E355A4" w14:textId="5A2B7E87" w:rsidR="00F42596" w:rsidRPr="00F42596" w:rsidRDefault="00F42596" w:rsidP="00567DF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denilebilir ki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sahâbe mushaflarındaki kırâat rivâyetleri karşısındaki tutumu iki yönlüdür. B</w:t>
      </w:r>
      <w:r w:rsidR="00436CA9">
        <w:rPr>
          <w:rFonts w:ascii="Times New Roman" w:eastAsia="Times New Roman" w:hAnsi="Times New Roman" w:cs="Times New Roman"/>
          <w:kern w:val="0"/>
          <w:sz w:val="24"/>
          <w:szCs w:val="24"/>
          <w:lang w:eastAsia="tr-TR"/>
          <w14:ligatures w14:val="none"/>
        </w:rPr>
        <w:t>u tutum, b</w:t>
      </w:r>
      <w:r w:rsidRPr="00F42596">
        <w:rPr>
          <w:rFonts w:ascii="Times New Roman" w:eastAsia="Times New Roman" w:hAnsi="Times New Roman" w:cs="Times New Roman"/>
          <w:kern w:val="0"/>
          <w:sz w:val="24"/>
          <w:szCs w:val="24"/>
          <w:lang w:eastAsia="tr-TR"/>
          <w14:ligatures w14:val="none"/>
        </w:rPr>
        <w:t xml:space="preserve">ir taraftan bu mushaflarda yer alan rivâyet birikiminin tarihî gerçekliğini teslim etmekte, onları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ve telakki sürecinin önemli tanıkları arasında görmektedir. Diğer taraftan bu rivâyetlerin tamamını bağlayıcı mushaf metninin parçası saymayarak, son arza ve icmâ ölçüsüne göre müşterek mushaf alanını sınırlandırmaktadır. Bu yönüyle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 r</w:t>
      </w:r>
      <w:r w:rsidR="00612855">
        <w:rPr>
          <w:rFonts w:ascii="Times New Roman" w:eastAsia="Times New Roman" w:hAnsi="Times New Roman" w:cs="Times New Roman"/>
          <w:kern w:val="0"/>
          <w:sz w:val="24"/>
          <w:szCs w:val="24"/>
          <w:lang w:eastAsia="tr-TR"/>
          <w14:ligatures w14:val="none"/>
        </w:rPr>
        <w:t>es</w:t>
      </w:r>
      <w:r w:rsidRPr="009645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sahâbe mushaflarından gelen okuyuş çeşitliliğini nihai mushaf otoritesi bakımından ayıklayan, bağlayıcı olanı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açıklayıcı olandan ayıran kurucu bir otorite işlevi görmektedir. Kanaat verici olan husus, tam da burada ortaya çıkmaktadır</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sahâbe mushaflarının karşıtı </w:t>
      </w:r>
      <w:r w:rsidR="00876A05" w:rsidRPr="00876A05">
        <w:rPr>
          <w:rFonts w:asciiTheme="majorBidi" w:hAnsiTheme="majorBidi" w:cstheme="majorBidi"/>
          <w:color w:val="FF0000"/>
          <w:sz w:val="24"/>
          <w:szCs w:val="24"/>
        </w:rPr>
        <w:t>şeklinde görülmeyip</w:t>
      </w:r>
      <w:r w:rsidR="00876A05">
        <w:rPr>
          <w:rFonts w:asciiTheme="majorBidi" w:hAnsiTheme="majorBidi" w:cstheme="majorBidi"/>
          <w:color w:val="FF0000"/>
          <w:sz w:val="24"/>
          <w:szCs w:val="24"/>
        </w:rPr>
        <w:t>,</w:t>
      </w:r>
      <w:r w:rsidR="00876A05" w:rsidRPr="00876A05">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onların içindeki dağınık rivâyet malzemesini ümmetin müşterek metin bilinci içinde yeniden düzenleyen merkezî bi</w:t>
      </w:r>
      <w:r w:rsidR="00876A05">
        <w:rPr>
          <w:rFonts w:ascii="Times New Roman" w:eastAsia="Times New Roman" w:hAnsi="Times New Roman" w:cs="Times New Roman"/>
          <w:kern w:val="0"/>
          <w:sz w:val="24"/>
          <w:szCs w:val="24"/>
          <w:lang w:eastAsia="tr-TR"/>
          <w14:ligatures w14:val="none"/>
        </w:rPr>
        <w:t xml:space="preserve">r çerçeve olarak </w:t>
      </w:r>
      <w:r w:rsidR="00567DF1" w:rsidRPr="00567DF1">
        <w:rPr>
          <w:rFonts w:asciiTheme="majorBidi" w:hAnsiTheme="majorBidi" w:cstheme="majorBidi"/>
          <w:color w:val="FF0000"/>
          <w:sz w:val="24"/>
          <w:szCs w:val="24"/>
        </w:rPr>
        <w:t>ifade edilebilir.</w:t>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Nitekim onun</w:t>
      </w:r>
      <w:r w:rsidR="008067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mushafının yakılmasına tepki gösterdiği ve insanlara mushaflarını gizlemelerini söylediği nakledil</w:t>
      </w:r>
      <w:r w:rsidR="006F7A27">
        <w:rPr>
          <w:rFonts w:ascii="Times New Roman" w:eastAsia="Times New Roman" w:hAnsi="Times New Roman" w:cs="Times New Roman"/>
          <w:kern w:val="0"/>
          <w:sz w:val="24"/>
          <w:szCs w:val="24"/>
          <w:lang w:eastAsia="tr-TR"/>
          <w14:ligatures w14:val="none"/>
        </w:rPr>
        <w:t xml:space="preserve">mekle birlikte, bu tavır erken dönem </w:t>
      </w:r>
      <w:r w:rsidR="00F42596" w:rsidRPr="00F42596">
        <w:rPr>
          <w:rFonts w:ascii="Times New Roman" w:eastAsia="Times New Roman" w:hAnsi="Times New Roman" w:cs="Times New Roman"/>
          <w:kern w:val="0"/>
          <w:sz w:val="24"/>
          <w:szCs w:val="24"/>
          <w:lang w:eastAsia="tr-TR"/>
          <w14:ligatures w14:val="none"/>
        </w:rPr>
        <w:t>kaynaklar</w:t>
      </w:r>
      <w:r w:rsidR="006F7A27">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da sürekli</w:t>
      </w:r>
      <w:r w:rsidR="001A5BA6">
        <w:rPr>
          <w:rFonts w:ascii="Times New Roman" w:eastAsia="Times New Roman" w:hAnsi="Times New Roman" w:cs="Times New Roman"/>
          <w:kern w:val="0"/>
          <w:sz w:val="24"/>
          <w:szCs w:val="24"/>
          <w:lang w:eastAsia="tr-TR"/>
          <w14:ligatures w14:val="none"/>
        </w:rPr>
        <w:t xml:space="preserve"> ve esaslı bir muhalefet olmayıp</w:t>
      </w:r>
      <w:r w:rsidR="00F42596" w:rsidRPr="00F42596">
        <w:rPr>
          <w:rFonts w:ascii="Times New Roman" w:eastAsia="Times New Roman" w:hAnsi="Times New Roman" w:cs="Times New Roman"/>
          <w:kern w:val="0"/>
          <w:sz w:val="24"/>
          <w:szCs w:val="24"/>
          <w:lang w:eastAsia="tr-TR"/>
          <w14:ligatures w14:val="none"/>
        </w:rPr>
        <w:t>, öfkeye bağlı geçici bir tepki olarak yorumlanmıştır.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9E3A0D">
        <w:rPr>
          <w:rFonts w:ascii="Times New Roman" w:eastAsia="Times New Roman" w:hAnsi="Times New Roman" w:cs="Times New Roman"/>
          <w:color w:val="FF0000"/>
          <w:kern w:val="0"/>
          <w:sz w:val="24"/>
          <w:szCs w:val="24"/>
          <w:lang w:eastAsia="tr-TR"/>
          <w14:ligatures w14:val="none"/>
        </w:rPr>
        <w:t>Sonuç olarak bu veriler birlikte değerlendirildiğinde</w:t>
      </w:r>
      <w:r w:rsidRPr="00F42596">
        <w:rPr>
          <w:rFonts w:ascii="Times New Roman" w:eastAsia="Times New Roman" w:hAnsi="Times New Roman" w:cs="Times New Roman"/>
          <w:kern w:val="0"/>
          <w:sz w:val="24"/>
          <w:szCs w:val="24"/>
          <w:lang w:eastAsia="tr-TR"/>
          <w14:ligatures w14:val="none"/>
        </w:rPr>
        <w:t xml:space="preserve">, sahâbe mushaflarının yakılması meselesinin,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tarihindeki en önemli birleştirici adımlardan biri olduğu görülmektedir. Burada amaç, farklı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nüshaları ortadan kaldırmak suretiyle metni daraltmak amacı taşımaktan çok, ümmeti tek bir mushaf hattında, tek bir ortak metin otoritesi etrafında toplamak </w:t>
      </w:r>
      <w:r w:rsidRPr="00F42596">
        <w:rPr>
          <w:rFonts w:ascii="Times New Roman" w:eastAsia="Times New Roman" w:hAnsi="Times New Roman" w:cs="Times New Roman"/>
          <w:kern w:val="0"/>
          <w:sz w:val="24"/>
          <w:szCs w:val="24"/>
          <w:lang w:eastAsia="tr-TR"/>
          <w14:ligatures w14:val="none"/>
        </w:rPr>
        <w:lastRenderedPageBreak/>
        <w:t xml:space="preserve">ve okuyuş alanını bu müşterek zemine göre yeniden düzenlemektir. Bu sebeple resm-i Osmânî, ümmetin müşterek mushaf bilincini tesis eden, ihtilafı azaltan ve metinsel otoriteyi sahâbe </w:t>
      </w:r>
      <w:r w:rsidRPr="00877CC4">
        <w:rPr>
          <w:rFonts w:ascii="Times New Roman" w:eastAsia="Times New Roman" w:hAnsi="Times New Roman" w:cs="Times New Roman"/>
          <w:kern w:val="0"/>
          <w:sz w:val="24"/>
          <w:szCs w:val="24"/>
          <w:lang w:eastAsia="tr-TR"/>
          <w14:ligatures w14:val="none"/>
        </w:rPr>
        <w:t>icmâı</w:t>
      </w:r>
      <w:r w:rsidRPr="00F42596">
        <w:rPr>
          <w:rFonts w:ascii="Times New Roman" w:eastAsia="Times New Roman" w:hAnsi="Times New Roman" w:cs="Times New Roman"/>
          <w:kern w:val="0"/>
          <w:sz w:val="24"/>
          <w:szCs w:val="24"/>
          <w:lang w:eastAsia="tr-TR"/>
          <w14:ligatures w14:val="none"/>
        </w:rPr>
        <w:t xml:space="preserve"> ile güçlendiren kurucu bir çerçeve olarak </w:t>
      </w:r>
      <w:r w:rsidR="006F7A27" w:rsidRPr="006F7A27">
        <w:rPr>
          <w:rFonts w:asciiTheme="majorBidi" w:hAnsiTheme="majorBidi" w:cstheme="majorBidi"/>
          <w:color w:val="FF0000"/>
          <w:sz w:val="24"/>
          <w:szCs w:val="24"/>
        </w:rPr>
        <w:t>değerlendirilebilir.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fiilî sonuçlar doğurduğunu gösteren en dikkat çekici örneklerden biri, İbn Şenbûz (ö. 32</w:t>
      </w:r>
      <w:r w:rsidR="004A6E5D">
        <w:rPr>
          <w:rFonts w:ascii="Times New Roman" w:eastAsia="Times New Roman" w:hAnsi="Times New Roman" w:cs="Times New Roman"/>
          <w:kern w:val="0"/>
          <w:sz w:val="24"/>
          <w:szCs w:val="24"/>
          <w:lang w:eastAsia="tr-TR"/>
          <w14:ligatures w14:val="none"/>
        </w:rPr>
        <w:t>8/939) hadisesidir.</w:t>
      </w:r>
      <w:r w:rsidRPr="00F42596">
        <w:rPr>
          <w:rFonts w:ascii="Times New Roman" w:eastAsia="Times New Roman" w:hAnsi="Times New Roman" w:cs="Times New Roman"/>
          <w:kern w:val="0"/>
          <w:sz w:val="24"/>
          <w:szCs w:val="24"/>
          <w:lang w:eastAsia="tr-TR"/>
          <w14:ligatures w14:val="none"/>
        </w:rPr>
        <w:t xml:space="preserve"> İbn Mücâhid, senedin sahihliği ve Arapçaya uygunluğu yeterli sayarak mushaf hattına aykırı okuyuşları da savunan çağdaşı İbn Şenbûz’a karşı son derece sert bir tavır almıştır. Onu tevbeye çağırmış, meselesini vezir İbn Mukle’ye (ö. 328/940) taşımış ve neticede İbn Şenbûz,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hattının dışına çıkan okuyuşları sebebiyle cezalandırılmıştır. Bunun ardından yaptığı tevbe metninde, üzerinde sahâbenin ittifak ettiği Osman mushafına aykırı bazı harflerle okuduğunu, daha sonra bunun hata olduğunu anladığını, artık bundan vazgeçtiğini ve Osman mushafının muhalefet edilmesi câiz olmayan hak metin olduğunu açıkça ifade etmiştir.</w:t>
      </w:r>
      <w:r w:rsidR="0040487F">
        <w:rPr>
          <w:rStyle w:val="DipnotBavurusu"/>
          <w:rFonts w:ascii="Times New Roman" w:eastAsia="Times New Roman" w:hAnsi="Times New Roman" w:cs="Times New Roman"/>
          <w:kern w:val="0"/>
          <w:sz w:val="24"/>
          <w:szCs w:val="24"/>
          <w:lang w:eastAsia="tr-TR"/>
          <w14:ligatures w14:val="none"/>
        </w:rPr>
        <w:footnoteReference w:id="391"/>
      </w:r>
      <w:r w:rsidRPr="00F42596">
        <w:rPr>
          <w:rFonts w:ascii="Times New Roman" w:eastAsia="Times New Roman" w:hAnsi="Times New Roman" w:cs="Times New Roman"/>
          <w:kern w:val="0"/>
          <w:sz w:val="24"/>
          <w:szCs w:val="24"/>
          <w:lang w:eastAsia="tr-TR"/>
          <w14:ligatures w14:val="none"/>
        </w:rPr>
        <w:t xml:space="preserve"> Bu hadise,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yalnız teorik bir referans kabul edilmediğini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canlı, yürürlükte ve kurumsal yaptırım gücüne sahip bir ölçü olarak görüldüğünü göstermektedir. </w:t>
      </w:r>
      <w:r w:rsidR="00592151" w:rsidRPr="00592151">
        <w:rPr>
          <w:rFonts w:ascii="Times New Roman" w:eastAsia="Times New Roman" w:hAnsi="Times New Roman" w:cs="Times New Roman"/>
          <w:color w:val="FF0000"/>
          <w:kern w:val="0"/>
          <w:sz w:val="24"/>
          <w:szCs w:val="24"/>
          <w:lang w:eastAsia="tr-TR"/>
          <w14:ligatures w14:val="none"/>
        </w:rPr>
        <w:t xml:space="preserve">Bu itibarla </w:t>
      </w:r>
      <w:r w:rsidRPr="00F42596">
        <w:rPr>
          <w:rFonts w:ascii="Times New Roman" w:eastAsia="Times New Roman" w:hAnsi="Times New Roman" w:cs="Times New Roman"/>
          <w:kern w:val="0"/>
          <w:sz w:val="24"/>
          <w:szCs w:val="24"/>
          <w:lang w:eastAsia="tr-TR"/>
          <w14:ligatures w14:val="none"/>
        </w:rPr>
        <w:t xml:space="preserve">burada korunmak istenen sadece bir </w:t>
      </w:r>
      <w:r w:rsidRPr="00F42596">
        <w:rPr>
          <w:rFonts w:ascii="Times New Roman" w:eastAsia="Times New Roman" w:hAnsi="Times New Roman" w:cs="Times New Roman"/>
          <w:kern w:val="0"/>
          <w:sz w:val="24"/>
          <w:szCs w:val="24"/>
          <w:lang w:eastAsia="tr-TR"/>
          <w14:ligatures w14:val="none"/>
        </w:rPr>
        <w:lastRenderedPageBreak/>
        <w:t>yazı şeklinden ibaret olmayıp</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yazı etrafında oluşmuş müşterek kırâat alanı ve ümmetin ortak mushaf bilincidir</w:t>
      </w:r>
      <w:r w:rsidR="00803482">
        <w:rPr>
          <w:rFonts w:ascii="Times New Roman" w:eastAsia="Times New Roman" w:hAnsi="Times New Roman" w:cs="Times New Roman"/>
          <w:kern w:val="0"/>
          <w:sz w:val="24"/>
          <w:szCs w:val="24"/>
          <w:lang w:eastAsia="tr-TR"/>
          <w14:ligatures w14:val="none"/>
        </w:rPr>
        <w:t>.</w:t>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mushaf hattına aykırı olan kırâat vecihlerinin tedricen şâz kategorisine sevk edildiği görülmektedir. Rivâyetleri sahih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hattına uymayan okuyuşlar fi</w:t>
      </w:r>
      <w:r w:rsidR="0080348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lî kırâat alanının dışına çıkarılmış ve zamanla “şâz kırâat” adıyla anılmaya başlanmıştır.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Dolayısıyla bu yaklaşım, mushaf hattının kırâat ilminde pasif bir unsur olmadığını; sahih ile şâz arasındaki çizgiyi belirleyen bağlayıcı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geldiğini göstermektedir.</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ışığında,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aykırı kırâat vecihlerinin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ve şâz sayılması meselesinin, mushaf hattının kırâat ilmindeki merkezî konumunu gösterdiği anlaşılmaktadır. Burada üç temel sonuç dikkat çekmektedir</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 mushaf hattına aykırı kalan vecihlerin bir kısmı, geçmişte ruhsat kapsamında bulunmuş olsa da, son arza ve sahâbe icmâı ile bağlayıcılığını yitirmiş kabul edilmiştir. İkincisi, bu vecihler sadece amel dışı bırakılmamış, aynı zamanda şâz kategorisine dâhil edilerek müşterek kırâat alanının dışına çıkarılmıştır. Üçüncüsü ise, mushaf hattına uygunluk şartı ibadet alanına kadar taşınmış ve namazda okunabilecek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sınırları da bu ölçüyle belirlenmiştir. Bu itibarla resm-i Osmânî, kırâat ilminde sadece tarihî bir yazı düzeni olarak değerlendirilmemeli; makbul kırâat ile bağlayıcılığını kaybetmiş rivâyetler arasındaki çizgiyi tayin eden kurucu bir </w:t>
      </w:r>
      <w:r w:rsidR="00CC694A">
        <w:rPr>
          <w:rFonts w:ascii="Times New Roman" w:eastAsia="Times New Roman" w:hAnsi="Times New Roman" w:cs="Times New Roman"/>
          <w:kern w:val="0"/>
          <w:sz w:val="24"/>
          <w:szCs w:val="24"/>
          <w:lang w:eastAsia="tr-TR"/>
          <w14:ligatures w14:val="none"/>
        </w:rPr>
        <w:t xml:space="preserve">referans </w:t>
      </w:r>
      <w:r w:rsidR="00CC694A" w:rsidRPr="00CC694A">
        <w:rPr>
          <w:rFonts w:asciiTheme="majorBidi" w:hAnsiTheme="majorBidi" w:cstheme="majorBidi"/>
          <w:color w:val="FF0000"/>
          <w:sz w:val="24"/>
          <w:szCs w:val="24"/>
        </w:rPr>
        <w:t>işlevi gördüğü anlaşılmaktadır</w:t>
      </w:r>
      <w:r w:rsidRPr="00CC694A">
        <w:rPr>
          <w:rFonts w:asciiTheme="majorBidi" w:eastAsia="Times New Roman" w:hAnsiTheme="majorBidi" w:cstheme="majorBidi"/>
          <w:color w:val="FF0000"/>
          <w:kern w:val="0"/>
          <w:sz w:val="24"/>
          <w:szCs w:val="24"/>
          <w:lang w:eastAsia="tr-TR"/>
          <w14:ligatures w14:val="none"/>
        </w:rPr>
        <w:t>.</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nin Kırâatlerin </w:t>
      </w:r>
      <w:r w:rsidRPr="00E65633">
        <w:rPr>
          <w:rFonts w:ascii="Times New Roman" w:eastAsia="Times New Roman" w:hAnsi="Times New Roman" w:cs="Times New Roman"/>
          <w:b/>
          <w:bCs/>
          <w:kern w:val="0"/>
          <w:sz w:val="26"/>
          <w:szCs w:val="26"/>
          <w:lang w:eastAsia="tr-TR"/>
          <w14:ligatures w14:val="none"/>
        </w:rPr>
        <w:t>Tercîhî</w:t>
      </w:r>
      <w:r w:rsidRPr="00F42596">
        <w:rPr>
          <w:rFonts w:ascii="Times New Roman" w:eastAsia="Times New Roman" w:hAnsi="Times New Roman" w:cs="Times New Roman"/>
          <w:b/>
          <w:bCs/>
          <w:kern w:val="0"/>
          <w:sz w:val="26"/>
          <w:szCs w:val="26"/>
          <w:lang w:eastAsia="tr-TR"/>
          <w14:ligatures w14:val="none"/>
        </w:rPr>
        <w:t xml:space="preserve">, </w:t>
      </w:r>
      <w:r w:rsidRPr="00F13E9D">
        <w:rPr>
          <w:rFonts w:ascii="Times New Roman" w:eastAsia="Times New Roman" w:hAnsi="Times New Roman" w:cs="Times New Roman"/>
          <w:b/>
          <w:bCs/>
          <w:kern w:val="0"/>
          <w:sz w:val="26"/>
          <w:szCs w:val="26"/>
          <w:lang w:eastAsia="tr-TR"/>
          <w14:ligatures w14:val="none"/>
        </w:rPr>
        <w:t>Tevcîh</w:t>
      </w:r>
      <w:r w:rsidR="00F13E9D">
        <w:rPr>
          <w:rFonts w:ascii="Times New Roman" w:eastAsia="Times New Roman" w:hAnsi="Times New Roman" w:cs="Times New Roman"/>
          <w:b/>
          <w:bCs/>
          <w:kern w:val="0"/>
          <w:sz w:val="26"/>
          <w:szCs w:val="26"/>
          <w:lang w:eastAsia="tr-TR"/>
          <w14:ligatures w14:val="none"/>
        </w:rPr>
        <w:t>i</w:t>
      </w:r>
      <w:r w:rsidRPr="00F42596">
        <w:rPr>
          <w:rFonts w:ascii="Times New Roman" w:eastAsia="Times New Roman" w:hAnsi="Times New Roman" w:cs="Times New Roman"/>
          <w:b/>
          <w:bCs/>
          <w:kern w:val="0"/>
          <w:sz w:val="26"/>
          <w:szCs w:val="26"/>
          <w:lang w:eastAsia="tr-TR"/>
          <w14:ligatures w14:val="none"/>
        </w:rPr>
        <w:t xml:space="preserve"> ve Vakıf Uygulamalarına Etkisi</w:t>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etkinin ilk ve en belirgin tezahürü, kırâat imamlarının yaptıkları ihtiyarlarda görülmektedir. Sahâbenin okuduğu bütün vecihlerin umum kurrâ tarafından bütünüyle kuşatılması mümkün olmadığından, İslâm beldelerinin her biri tâbiîn döneminde bir kırâat imamına yönelmiş ve o imamın tercih ettiği okuyuşlar etrafında istikrar kazanmıştır. Ancak bu tercihler rastgele yahut keyfî biç</w:t>
      </w:r>
      <w:r w:rsidR="00F33826">
        <w:rPr>
          <w:rFonts w:ascii="Times New Roman" w:eastAsia="Times New Roman" w:hAnsi="Times New Roman" w:cs="Times New Roman"/>
          <w:kern w:val="0"/>
          <w:sz w:val="24"/>
          <w:szCs w:val="24"/>
          <w:lang w:eastAsia="tr-TR"/>
          <w14:ligatures w14:val="none"/>
        </w:rPr>
        <w:t>imde yapılmamıştır.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Böylece resm-i Osmânî, kırâat imamlarının ihtiyarında sessiz fakat belirleyici bir ölçü işlevi görmüştür.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Burada mushaf hattına uygunluk, yazılı şekle bağlı kalma düşüncesinin ötesinde, ümmetin üzerinde birleştiği kırâat alanının dışına çıkmama hassasiyeti olarak da anlaşılmaktadır.</w:t>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kırâat ilmindeki tesiri, yalnız kırâat vecihlerinin kabulü ve tercihiyle sınırlı kalmamış; vakıf uygulamalarına ve edâ tercihlerine kadar uzanan daha geniş bir alanda da belirginleşmiştir. Nitekim kırâat geleneğinde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vakıf, ilk bakışta sadece ses icrasıyla ilgili bir mesele gibi görünse de, gerçekte mushaf hattıyla doğrudan irtibatlandırılmıştır. Çünkü kelimenin son harfinin nasıl değerlendirileceği, hazif ve isbatın nasıl uygulanacağı, ayrıca iki kelimenin bitişik yahut ayrı yazılmış olmasının vakfa nasıl yansıyacağı gibi hususlar, çoğu zaman mushaf resmine göre tayin edilmiştir. </w:t>
      </w:r>
      <w:r w:rsidRPr="004A10DF">
        <w:rPr>
          <w:rFonts w:ascii="Times New Roman" w:eastAsia="Times New Roman" w:hAnsi="Times New Roman" w:cs="Times New Roman"/>
          <w:color w:val="FF0000"/>
          <w:kern w:val="0"/>
          <w:sz w:val="24"/>
          <w:szCs w:val="24"/>
          <w:lang w:eastAsia="tr-TR"/>
          <w14:ligatures w14:val="none"/>
        </w:rPr>
        <w:t xml:space="preserve">Bu sebeple resm-i </w:t>
      </w:r>
      <w:r w:rsidR="004A10DF" w:rsidRPr="004A10DF">
        <w:rPr>
          <w:rFonts w:ascii="Times New Roman" w:eastAsia="Times New Roman" w:hAnsi="Times New Roman" w:cs="Times New Roman"/>
          <w:color w:val="FF0000"/>
          <w:kern w:val="0"/>
          <w:sz w:val="24"/>
          <w:szCs w:val="24"/>
          <w:lang w:eastAsia="tr-TR"/>
          <w14:ligatures w14:val="none"/>
        </w:rPr>
        <w:t xml:space="preserve">Mushaf, </w:t>
      </w:r>
      <w:r w:rsidRPr="004A10DF">
        <w:rPr>
          <w:rFonts w:ascii="Times New Roman" w:eastAsia="Times New Roman" w:hAnsi="Times New Roman" w:cs="Times New Roman"/>
          <w:color w:val="FF0000"/>
          <w:kern w:val="0"/>
          <w:sz w:val="24"/>
          <w:szCs w:val="24"/>
          <w:lang w:eastAsia="tr-TR"/>
          <w14:ligatures w14:val="none"/>
        </w:rPr>
        <w:t>okuyuşun fiilî icr</w:t>
      </w:r>
      <w:r w:rsidR="00877CC4" w:rsidRPr="004A10DF">
        <w:rPr>
          <w:rFonts w:ascii="Times New Roman" w:eastAsia="Times New Roman" w:hAnsi="Times New Roman" w:cs="Times New Roman"/>
          <w:color w:val="FF0000"/>
          <w:kern w:val="0"/>
          <w:sz w:val="24"/>
          <w:szCs w:val="24"/>
          <w:lang w:eastAsia="tr-TR"/>
          <w14:ligatures w14:val="none"/>
        </w:rPr>
        <w:t>a</w:t>
      </w:r>
      <w:r w:rsidRPr="004A10DF">
        <w:rPr>
          <w:rFonts w:ascii="Times New Roman" w:eastAsia="Times New Roman" w:hAnsi="Times New Roman" w:cs="Times New Roman"/>
          <w:color w:val="FF0000"/>
          <w:kern w:val="0"/>
          <w:sz w:val="24"/>
          <w:szCs w:val="24"/>
          <w:lang w:eastAsia="tr-TR"/>
          <w14:ligatures w14:val="none"/>
        </w:rPr>
        <w:t>sına yön veren bağlayıcı bir ölçü olarak karşımıza çıkmaktadır.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 (</w:t>
      </w:r>
      <w:r w:rsidRPr="007A383B">
        <w:rPr>
          <w:rFonts w:ascii="Times New Roman" w:eastAsia="Times New Roman" w:hAnsi="Times New Roman" w:cs="Times New Roman"/>
          <w:color w:val="FF0000"/>
          <w:kern w:val="0"/>
          <w:sz w:val="24"/>
          <w:szCs w:val="24"/>
          <w:lang w:eastAsia="tr-TR"/>
          <w14:ligatures w14:val="none"/>
        </w:rPr>
        <w:t>ö. 440/1048</w:t>
      </w:r>
      <w:r w:rsidR="007A383B" w:rsidRPr="007A383B">
        <w:rPr>
          <w:rFonts w:ascii="Times New Roman" w:eastAsia="Times New Roman" w:hAnsi="Times New Roman" w:cs="Times New Roman"/>
          <w:color w:val="FF0000"/>
          <w:kern w:val="0"/>
          <w:sz w:val="24"/>
          <w:szCs w:val="24"/>
          <w:lang w:eastAsia="tr-TR"/>
          <w14:ligatures w14:val="none"/>
        </w:rPr>
        <w:t xml:space="preserve"> </w:t>
      </w:r>
      <w:r w:rsidR="007A383B">
        <w:rPr>
          <w:rFonts w:ascii="Times New Roman" w:eastAsia="Times New Roman" w:hAnsi="Times New Roman" w:cs="Times New Roman"/>
          <w:color w:val="FF0000"/>
          <w:kern w:val="0"/>
          <w:sz w:val="24"/>
          <w:szCs w:val="24"/>
          <w:lang w:eastAsia="tr-TR"/>
          <w14:ligatures w14:val="none"/>
        </w:rPr>
        <w:t>daha önce geçmişmi</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bilgisinin yalnız yazı </w:t>
      </w:r>
      <w:r w:rsidRPr="00F42596">
        <w:rPr>
          <w:rFonts w:ascii="Times New Roman" w:eastAsia="Times New Roman" w:hAnsi="Times New Roman" w:cs="Times New Roman"/>
          <w:kern w:val="0"/>
          <w:sz w:val="24"/>
          <w:szCs w:val="24"/>
          <w:lang w:eastAsia="tr-TR"/>
          <w14:ligatures w14:val="none"/>
        </w:rPr>
        <w:lastRenderedPageBreak/>
        <w:t>tarihine ilişkin yardımcı tali bir veri alanı şeklinde görülmemesi gerektiğini; bilakis kırâat farklılıklarının anlaşılması için kurucu bir zemin teşkil ettiğini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Nitekim bir grup imamın, kurrânın, âlimin, kâti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in ve edi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 xml:space="preserve">in mushaf hattındaki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bilmeleri, ona uymaları ve onu aşmamaları gerektiğini vurgulaması da aynı anlayışın devamıdır. Çünkü onlara göre bu yazı, vahiy kâtibi ve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sûlullah’ın</w:t>
      </w:r>
      <w:r w:rsidRPr="00F42596">
        <w:rPr>
          <w:rFonts w:ascii="Times New Roman" w:eastAsia="Times New Roman" w:hAnsi="Times New Roman" w:cs="Times New Roman"/>
          <w:kern w:val="0"/>
          <w:sz w:val="24"/>
          <w:szCs w:val="24"/>
          <w:lang w:eastAsia="tr-TR"/>
          <w14:ligatures w14:val="none"/>
        </w:rPr>
        <w:t xml:space="preserve"> emini olan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idir; onun yazdığı hiçbir şey hikmetsiz ve ince bir illetten yoksun değildir. Böylece resm-i mushaf, korunmuş bir yazı biçiminin ötesinde, güvenilir naklin </w:t>
      </w:r>
      <w:r w:rsidRPr="006565C3">
        <w:rPr>
          <w:rFonts w:ascii="Times New Roman" w:eastAsia="Times New Roman" w:hAnsi="Times New Roman" w:cs="Times New Roman"/>
          <w:kern w:val="0"/>
          <w:sz w:val="24"/>
          <w:szCs w:val="24"/>
          <w:lang w:eastAsia="tr-TR"/>
          <w14:ligatures w14:val="none"/>
        </w:rPr>
        <w:t>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zemini olarak değerlendirilmektedir.</w:t>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w:t>
      </w:r>
      <w:r w:rsidRPr="009B3EC0">
        <w:rPr>
          <w:rFonts w:ascii="Times New Roman" w:eastAsia="Times New Roman" w:hAnsi="Times New Roman" w:cs="Times New Roman"/>
          <w:color w:val="FF0000"/>
          <w:kern w:val="0"/>
          <w:sz w:val="24"/>
          <w:szCs w:val="24"/>
          <w:lang w:eastAsia="tr-TR"/>
          <w14:ligatures w14:val="none"/>
        </w:rPr>
        <w:t>ö. 154/771</w:t>
      </w:r>
      <w:r w:rsidR="009B3EC0" w:rsidRPr="009B3EC0">
        <w:rPr>
          <w:rFonts w:ascii="Times New Roman" w:eastAsia="Times New Roman" w:hAnsi="Times New Roman" w:cs="Times New Roman"/>
          <w:color w:val="FF0000"/>
          <w:kern w:val="0"/>
          <w:sz w:val="24"/>
          <w:szCs w:val="24"/>
          <w:lang w:eastAsia="tr-TR"/>
          <w14:ligatures w14:val="none"/>
        </w:rPr>
        <w:t xml:space="preserve"> </w:t>
      </w:r>
      <w:r w:rsidR="009B3EC0">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Zuhruf sûresin</w:t>
      </w:r>
      <w:r w:rsidR="00055D2E">
        <w:rPr>
          <w:rFonts w:ascii="Times New Roman" w:eastAsia="Times New Roman" w:hAnsi="Times New Roman" w:cs="Times New Roman"/>
          <w:kern w:val="0"/>
          <w:sz w:val="24"/>
          <w:szCs w:val="24"/>
          <w:lang w:eastAsia="tr-TR"/>
          <w14:ligatures w14:val="none"/>
        </w:rPr>
        <w:t xml:space="preserve">de geçen,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denilebilir ki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hecâsına dair rivâyetler, yalnız yazı tarihine ilişkin malumat sunan tali veriler değildir. Aksine bunlar, kırâat ihtilaflarının tespiti, sınırlarının belirlenmesi ve yorumlanmasında kurucu işleve sahiptir. Bir taraftan mushaflar arasındaki yazım farklılıklarının sahih rivâyet temelinde anlaşılmasını sağlamakta, diğer taraftan kırâat vecihlerinin hangi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 üzerinde okunup aktarıldığını göstermektedir. Bu sebeple resm rivâyetleri, kırâat ilminin kenarında duran yardımcı bir alan sayılmamalı; kırâat rivâyetlerinin tarihi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meşruiyeti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farklılık yapısını açıklayan temel bilgi kaynaklarından biri olarak değerlendirilmelidir.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w:t>
      </w:r>
      <w:r w:rsidRPr="00EB5050">
        <w:rPr>
          <w:rFonts w:ascii="Times New Roman" w:eastAsia="Times New Roman" w:hAnsi="Times New Roman" w:cs="Times New Roman"/>
          <w:color w:val="FF0000"/>
          <w:kern w:val="0"/>
          <w:sz w:val="24"/>
          <w:szCs w:val="24"/>
          <w:lang w:eastAsia="tr-TR"/>
          <w14:ligatures w14:val="none"/>
        </w:rPr>
        <w:t>. 442/10509</w:t>
      </w:r>
      <w:r w:rsidR="00EB5050" w:rsidRPr="00EB5050">
        <w:rPr>
          <w:rFonts w:ascii="Times New Roman" w:eastAsia="Times New Roman" w:hAnsi="Times New Roman" w:cs="Times New Roman"/>
          <w:color w:val="FF0000"/>
          <w:kern w:val="0"/>
          <w:sz w:val="24"/>
          <w:szCs w:val="24"/>
          <w:lang w:eastAsia="tr-TR"/>
          <w14:ligatures w14:val="none"/>
        </w:rPr>
        <w:t xml:space="preserve"> </w:t>
      </w:r>
      <w:r w:rsidR="00EB5050" w:rsidRPr="00793B2A">
        <w:rPr>
          <w:rFonts w:ascii="Times New Roman" w:eastAsia="Times New Roman" w:hAnsi="Times New Roman" w:cs="Times New Roman"/>
          <w:color w:val="FF0000"/>
          <w:kern w:val="0"/>
          <w:sz w:val="24"/>
          <w:szCs w:val="24"/>
          <w:lang w:eastAsia="tr-TR"/>
          <w14:ligatures w14:val="none"/>
        </w:rPr>
        <w:t>daha önce geçti mi</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 (</w:t>
      </w:r>
      <w:r w:rsidRPr="00C9186B">
        <w:rPr>
          <w:rFonts w:ascii="Times New Roman" w:eastAsia="Times New Roman" w:hAnsi="Times New Roman" w:cs="Times New Roman"/>
          <w:color w:val="FF0000"/>
          <w:kern w:val="0"/>
          <w:sz w:val="24"/>
          <w:szCs w:val="24"/>
          <w:lang w:eastAsia="tr-TR"/>
          <w14:ligatures w14:val="none"/>
        </w:rPr>
        <w:t>ö. 642/1244</w:t>
      </w:r>
      <w:r w:rsidR="00C9186B" w:rsidRPr="00C9186B">
        <w:rPr>
          <w:rFonts w:ascii="Times New Roman" w:eastAsia="Times New Roman" w:hAnsi="Times New Roman" w:cs="Times New Roman"/>
          <w:color w:val="FF0000"/>
          <w:kern w:val="0"/>
          <w:sz w:val="24"/>
          <w:szCs w:val="24"/>
          <w:lang w:eastAsia="tr-TR"/>
          <w14:ligatures w14:val="none"/>
        </w:rPr>
        <w:t xml:space="preserve"> </w:t>
      </w:r>
      <w:r w:rsidR="00C9186B" w:rsidRPr="00793B2A">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w:t>
      </w:r>
      <w:r w:rsidR="0035357E">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hattı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dair görüşlerin günümüzde basılan, kırâat rivâyetlerine göre düzenlenmiş mushaflarda uygulanan yazı sisteminin teorik arka planını oluşturmaktadır. Tevk</w:t>
      </w:r>
      <w:r w:rsidR="00BF704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fîlik, bağlayıcılık ve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düşüncesi ne kadar güçlü kabul edilirse, matbu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muhafaza etme eğilimi de o ölçüde güçlenmektedir. Buna karşılık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daha çok tarihî veya teknik bir alan olarak gören yaklaşımlar, çağdaş yazı kurallarına daha yakın basım tercihlerine kapı aralayabilmektedir. Bu sebeple bugün belirli kırâat rivâyetleri esas alınarak basılan mushaflarda görülen uygulama farklılıkları, yalnız baskı tekniğiyle ilgili bir mesele olmayıp resm-i Osmânî hakkında benimsenen nazariyenin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sonucudur. Böylece erken dönemde şekillenen </w:t>
      </w:r>
      <w:r w:rsidR="00612855">
        <w:rPr>
          <w:rFonts w:ascii="Times New Roman" w:eastAsia="Times New Roman" w:hAnsi="Times New Roman" w:cs="Times New Roman"/>
          <w:kern w:val="0"/>
          <w:sz w:val="24"/>
          <w:szCs w:val="24"/>
          <w:lang w:eastAsia="tr-TR"/>
          <w14:ligatures w14:val="none"/>
        </w:rPr>
        <w:t>res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görülmektedir.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960170">
        <w:rPr>
          <w:rFonts w:ascii="Times New Roman" w:eastAsia="Times New Roman" w:hAnsi="Times New Roman" w:cs="Times New Roman"/>
          <w:color w:val="FF0000"/>
          <w:kern w:val="0"/>
          <w:sz w:val="24"/>
          <w:szCs w:val="24"/>
          <w:lang w:eastAsia="tr-TR"/>
          <w14:ligatures w14:val="none"/>
        </w:rPr>
        <w:t>Bütün bu veriler birlikte değerlendirildiğinde</w:t>
      </w:r>
      <w:r w:rsidRPr="00F42596">
        <w:rPr>
          <w:rFonts w:ascii="Times New Roman" w:eastAsia="Times New Roman" w:hAnsi="Times New Roman" w:cs="Times New Roman"/>
          <w:kern w:val="0"/>
          <w:sz w:val="24"/>
          <w:szCs w:val="24"/>
          <w:lang w:eastAsia="tr-TR"/>
          <w14:ligatures w14:val="none"/>
        </w:rPr>
        <w:t>, çağdaş matbu mushaflarda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gelişigüzel bir tercih olmadığı açıkça anlaşılmaktadır. Burada belirleyici olan husus, resm kaynaklarının güvenilirliği ve mushaf yazımında ölçü kabul edilmeleridir. Nitekim Dânî ile Ebû Dâ</w:t>
      </w:r>
      <w:r w:rsidR="00DD77AC">
        <w:rPr>
          <w:rFonts w:ascii="Times New Roman" w:eastAsia="Times New Roman" w:hAnsi="Times New Roman" w:cs="Times New Roman"/>
          <w:kern w:val="0"/>
          <w:sz w:val="24"/>
          <w:szCs w:val="24"/>
          <w:lang w:eastAsia="tr-TR"/>
          <w14:ligatures w14:val="none"/>
        </w:rPr>
        <w:t>vu</w:t>
      </w:r>
      <w:r w:rsidRPr="00F42596">
        <w:rPr>
          <w:rFonts w:ascii="Times New Roman" w:eastAsia="Times New Roman" w:hAnsi="Times New Roman" w:cs="Times New Roman"/>
          <w:kern w:val="0"/>
          <w:sz w:val="24"/>
          <w:szCs w:val="24"/>
          <w:lang w:eastAsia="tr-TR"/>
          <w14:ligatures w14:val="none"/>
        </w:rPr>
        <w:t xml:space="preserve">d </w:t>
      </w:r>
      <w:r w:rsidRPr="00302B74">
        <w:rPr>
          <w:rFonts w:ascii="Times New Roman" w:eastAsia="Times New Roman" w:hAnsi="Times New Roman" w:cs="Times New Roman"/>
          <w:kern w:val="0"/>
          <w:sz w:val="24"/>
          <w:szCs w:val="24"/>
          <w:lang w:eastAsia="tr-TR"/>
          <w14:ligatures w14:val="none"/>
        </w:rPr>
        <w:t>Süleymân</w:t>
      </w:r>
      <w:r w:rsidRPr="00F42596">
        <w:rPr>
          <w:rFonts w:ascii="Times New Roman" w:eastAsia="Times New Roman" w:hAnsi="Times New Roman" w:cs="Times New Roman"/>
          <w:kern w:val="0"/>
          <w:sz w:val="24"/>
          <w:szCs w:val="24"/>
          <w:lang w:eastAsia="tr-TR"/>
          <w14:ligatures w14:val="none"/>
        </w:rPr>
        <w:t xml:space="preserve"> b. Necâḥ’ın eserleri, yalnız geçmiş mushafların yazım özelliklerini nakleden tarihî kayıtlar olarak kalmamış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modern mushaf neşrinin fiilî temelini teşkil etmiştir. Bu sebeple günümüzde basılan mushaflarda görülen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yazım biçimi, klasik resm rivâyeti geleneğinin çağdaş döneme taşınmış de</w:t>
      </w:r>
      <w:r w:rsidR="00927B3E">
        <w:rPr>
          <w:rFonts w:ascii="Times New Roman" w:eastAsia="Times New Roman" w:hAnsi="Times New Roman" w:cs="Times New Roman"/>
          <w:kern w:val="0"/>
          <w:sz w:val="24"/>
          <w:szCs w:val="24"/>
          <w:lang w:eastAsia="tr-TR"/>
          <w14:ligatures w14:val="none"/>
        </w:rPr>
        <w:t>vamı olarak değerlendirilebilir</w:t>
      </w:r>
      <w:r w:rsidRPr="00F42596">
        <w:rPr>
          <w:rFonts w:ascii="Times New Roman" w:eastAsia="Times New Roman" w:hAnsi="Times New Roman" w:cs="Times New Roman"/>
          <w:kern w:val="0"/>
          <w:sz w:val="24"/>
          <w:szCs w:val="24"/>
          <w:lang w:eastAsia="tr-TR"/>
          <w14:ligatures w14:val="none"/>
        </w:rPr>
        <w:t>. Böylece modern matbu mushaflar ile ilk dönem mushaf yazımı arasında doğrudan rivâyet temelli bir süreklilik hattı kurulmuş olmaktadır.</w:t>
      </w:r>
    </w:p>
    <w:p w14:paraId="323564E5" w14:textId="1D8905D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çağdaş mushaf neşirlerinde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 üç temel amaca hizmet etmektedir. İlk olarak, mushaf yazımını ilk nesilden gelen rivâyet zincirine bağlı tutmaktadır. İkinci olarak, istinsah ve matbaa süreçlerinde doğabilecek keyfî yazım farklılıklarını önlemektedir. Üçüncü olarak ise, ümmetin elindeki matbu mushafları ortak bir yazı standardı etrafında toplayarak mushaf birliğini güçlendirmektedir. Bu</w:t>
      </w:r>
      <w:r w:rsidR="00927B3E">
        <w:rPr>
          <w:rFonts w:ascii="Times New Roman" w:eastAsia="Times New Roman" w:hAnsi="Times New Roman" w:cs="Times New Roman"/>
          <w:kern w:val="0"/>
          <w:sz w:val="24"/>
          <w:szCs w:val="24"/>
          <w:lang w:eastAsia="tr-TR"/>
          <w14:ligatures w14:val="none"/>
        </w:rPr>
        <w:t xml:space="preserve"> sebeple </w:t>
      </w:r>
      <w:r w:rsidR="00927B3E" w:rsidRPr="00927B3E">
        <w:rPr>
          <w:rFonts w:ascii="Times New Roman" w:eastAsia="Times New Roman" w:hAnsi="Times New Roman" w:cs="Times New Roman"/>
          <w:color w:val="FF0000"/>
          <w:kern w:val="0"/>
          <w:sz w:val="24"/>
          <w:szCs w:val="24"/>
          <w:lang w:eastAsia="tr-TR"/>
          <w14:ligatures w14:val="none"/>
        </w:rPr>
        <w:t xml:space="preserve">ilk dönem </w:t>
      </w:r>
      <w:r w:rsidRPr="00F42596">
        <w:rPr>
          <w:rFonts w:ascii="Times New Roman" w:eastAsia="Times New Roman" w:hAnsi="Times New Roman" w:cs="Times New Roman"/>
          <w:kern w:val="0"/>
          <w:sz w:val="24"/>
          <w:szCs w:val="24"/>
          <w:lang w:eastAsia="tr-TR"/>
          <w14:ligatures w14:val="none"/>
        </w:rPr>
        <w:t>resm kaynaklarına dönüş, modern dönemde yalnız filolojik bir tercih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otoritesini, güvenilirliğini ve yazıdaki sürekliliğini koruma teşebbüsü olarak değerlendirilmiştir. Böylece erken dönemde şekillenen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daha açık biçimde anlaşılmaktadır.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 tarihi boyunca mushaf istinsahı yalnız bir çoğaltma faaliyeti olarak görülmemiş, aynı zamanda güçlü bir hat ve yazı geleneği içinde gelişmiştir. Müstensihler ve hattatlar, güzel yazı, düzgün istinsah, tezhip ve tezyin hususunda birbirleriyle yarışmış; bu rekabet özellikle </w:t>
      </w:r>
      <w:r w:rsidR="00E3360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 şerifin yazımında belirginleşmiştir. Rivâyete göre Velîd b. Abdülmelik (ö. 96/715) devrinin meşhur hattatı Hâlid b. Ebü’l-Heyyâc’dan (?) kendisi için bir mushaf yazmasını istemiş, o da bu nüshada hattının inceliğini ve ustalığını göstermiştir. Daha sonraki dönemlerde İbn Mukle (ö. 328/940), İbnü’l-Bevvâb (ö. 413/1022) ve benzeri hattatlar da mushaf yazımı ve hat sanatında temayüz ederek bu geleneğin gelişmesine katkıda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Nitekim İbn Kesîr’in de işaret ettiği üzere, ilk dönemlerde yaygın olan yazı biçimi daha sade ve kapalı bir görünüm arz etm</w:t>
      </w:r>
      <w:r w:rsidR="00E3360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w:t>
      </w:r>
      <w:r w:rsidR="009C016C">
        <w:rPr>
          <w:rFonts w:ascii="Times New Roman" w:eastAsia="Times New Roman" w:hAnsi="Times New Roman" w:cs="Times New Roman"/>
          <w:kern w:val="0"/>
          <w:sz w:val="24"/>
          <w:szCs w:val="24"/>
          <w:lang w:eastAsia="tr-TR"/>
          <w14:ligatures w14:val="none"/>
        </w:rPr>
        <w:t>aha sonra İbn Mukle</w:t>
      </w:r>
      <w:r w:rsidRPr="00F42596">
        <w:rPr>
          <w:rFonts w:ascii="Times New Roman" w:eastAsia="Times New Roman" w:hAnsi="Times New Roman" w:cs="Times New Roman"/>
          <w:kern w:val="0"/>
          <w:sz w:val="24"/>
          <w:szCs w:val="24"/>
          <w:lang w:eastAsia="tr-TR"/>
          <w14:ligatures w14:val="none"/>
        </w:rPr>
        <w:t xml:space="preserve"> bu yazıyı belirli kaidelere bağlayarak daha sistemli bir üsluba kavuşturmuş, ardından İbnü’l-Bevvâ</w:t>
      </w:r>
      <w:r w:rsidR="00595403">
        <w:rPr>
          <w:rFonts w:ascii="Times New Roman" w:eastAsia="Times New Roman" w:hAnsi="Times New Roman" w:cs="Times New Roman"/>
          <w:kern w:val="0"/>
          <w:sz w:val="24"/>
          <w:szCs w:val="24"/>
          <w:lang w:eastAsia="tr-TR"/>
          <w14:ligatures w14:val="none"/>
        </w:rPr>
        <w:t>b</w:t>
      </w:r>
      <w:r w:rsidRPr="00E64677">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çizgiyi daha da geliştirerek olgunlaştırmıştır.</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Bu tarihî gelişimin yanı sıra, mushaf yazımının biçim, estetik ve teknik bakımından sürekli gelişen bir alan olduğu</w:t>
      </w:r>
      <w:r w:rsidR="00E33606">
        <w:rPr>
          <w:rFonts w:ascii="Times New Roman" w:eastAsia="Times New Roman" w:hAnsi="Times New Roman" w:cs="Times New Roman"/>
          <w:kern w:val="0"/>
          <w:sz w:val="24"/>
          <w:szCs w:val="24"/>
          <w:lang w:eastAsia="tr-TR"/>
          <w14:ligatures w14:val="none"/>
        </w:rPr>
        <w:t xml:space="preserve"> ortaya çıkmaktadır</w:t>
      </w:r>
      <w:r w:rsidRPr="00F42596">
        <w:rPr>
          <w:rFonts w:ascii="Times New Roman" w:eastAsia="Times New Roman" w:hAnsi="Times New Roman" w:cs="Times New Roman"/>
          <w:kern w:val="0"/>
          <w:sz w:val="24"/>
          <w:szCs w:val="24"/>
          <w:lang w:eastAsia="tr-TR"/>
          <w14:ligatures w14:val="none"/>
        </w:rPr>
        <w:t>.</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w:t>
      </w:r>
      <w:r w:rsidR="00E33606">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ilk şekli</w:t>
      </w:r>
      <w:r w:rsidR="00E33606">
        <w:rPr>
          <w:rFonts w:ascii="Times New Roman" w:eastAsia="Times New Roman" w:hAnsi="Times New Roman" w:cs="Times New Roman"/>
          <w:kern w:val="0"/>
          <w:sz w:val="24"/>
          <w:szCs w:val="24"/>
          <w:lang w:eastAsia="tr-TR"/>
          <w14:ligatures w14:val="none"/>
        </w:rPr>
        <w:t>nde</w:t>
      </w:r>
      <w:r w:rsidRPr="00F42596">
        <w:rPr>
          <w:rFonts w:ascii="Times New Roman" w:eastAsia="Times New Roman" w:hAnsi="Times New Roman" w:cs="Times New Roman"/>
          <w:kern w:val="0"/>
          <w:sz w:val="24"/>
          <w:szCs w:val="24"/>
          <w:lang w:eastAsia="tr-TR"/>
          <w14:ligatures w14:val="none"/>
        </w:rPr>
        <w:t xml:space="preserve"> nokta ve hareke</w:t>
      </w:r>
      <w:r w:rsidR="00E33606">
        <w:rPr>
          <w:rFonts w:ascii="Times New Roman" w:eastAsia="Times New Roman" w:hAnsi="Times New Roman" w:cs="Times New Roman"/>
          <w:kern w:val="0"/>
          <w:sz w:val="24"/>
          <w:szCs w:val="24"/>
          <w:lang w:eastAsia="tr-TR"/>
          <w14:ligatures w14:val="none"/>
        </w:rPr>
        <w:t xml:space="preserve"> bulunmamaktadır</w:t>
      </w:r>
      <w:r w:rsidRPr="00F42596">
        <w:rPr>
          <w:rFonts w:ascii="Times New Roman" w:eastAsia="Times New Roman" w:hAnsi="Times New Roman" w:cs="Times New Roman"/>
          <w:kern w:val="0"/>
          <w:sz w:val="24"/>
          <w:szCs w:val="24"/>
          <w:lang w:eastAsia="tr-TR"/>
          <w14:ligatures w14:val="none"/>
        </w:rPr>
        <w:t xml:space="preserve">. Bunun temel sebebi,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farklı kırâat vecihlerini ihtimal dâhilinde taşıyabilecek bir esnekliğe sahip olmasıdı</w:t>
      </w:r>
      <w:r w:rsidR="00E3360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İslâm dünyası içindeki matbu serüveni, 1201/1787’de Rusya’nın Saint Petersburg şehrinde Mevlây Osman (?) tarafından gerçekleştirilen baskıyla yeni bir safhaya girmiştir.</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1C27F2E8" w14:textId="007C00F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matbu mushafların sadece mevcut okuyuşları pasif biçimde yansıtan araçlar olmadığını göstermektedir. Aksine onlar, belirli kırâat rivâyetlerinin yaygınlaşmasında, standartlaşmasında ve geniş kitlelerce benimsenmesinde aktif rol oynamıştır. Verş rivâyetinin Mağrib’de, Hafs rivâyetinin ise Mısır ve ardından İslâm dünyasının büyük bölümünde yerleşmesi, mushaf neşri ile kırâat dolaşımı arasındaki ilişkinin ne kadar güçlü olduğunu ortaya koymaktadır. Bu sebeple çağdaş mushaf neşri tarihi incelenirken, hangi mushafın hangi kırâat rivâyetine göre yazıldığı ve hangi resm anlayışına göre basıldığı meselesi, doğrudan kırâat tarihinin seyriyle birlikte ele alınmalıdır.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w:t>
      </w:r>
      <w:r w:rsidRPr="00227C41">
        <w:rPr>
          <w:rFonts w:ascii="Times New Roman" w:eastAsia="Times New Roman" w:hAnsi="Times New Roman" w:cs="Times New Roman"/>
          <w:bCs/>
          <w:kern w:val="0"/>
          <w:sz w:val="24"/>
          <w:szCs w:val="24"/>
          <w:lang w:eastAsia="tr-TR"/>
          <w14:ligatures w14:val="none"/>
        </w:rPr>
        <w:t>Teftîş-i Mesâhif-i Şerîfe Meclisi</w:t>
      </w:r>
      <w:r w:rsidRPr="00F42596">
        <w:rPr>
          <w:rFonts w:ascii="Times New Roman" w:eastAsia="Times New Roman" w:hAnsi="Times New Roman" w:cs="Times New Roman"/>
          <w:kern w:val="0"/>
          <w:sz w:val="24"/>
          <w:szCs w:val="24"/>
          <w:lang w:eastAsia="tr-TR"/>
          <w14:ligatures w14:val="none"/>
        </w:rPr>
        <w:t>nin ve devamındaki denetim yapılarının, matbu İslâmî eserlerle birlikte mushaf neşrini de kontrol altına aldığını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Bu, Osmanlı’nın mushaf basımında hem metin güvenliğini hem de dinî meşruiyeti korumaya çalıştığını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Özetle, Türkiye’de mushaf basımının tarihî seyri üç temel nitelikle öne çıkmaktadır: geç başlaması, sıkı biçimde denetlenmesi ve nihayet Diyanet İşleri Başkanlığı bünyesinde kurumsal bir standarda bağlanması. Bu durum, mushafın Türkiye’de tarih boyunca hem metin güvenliği hem de dinî otorite açısından özel bir konuma sahip old</w:t>
      </w:r>
      <w:r w:rsidR="000570A2">
        <w:rPr>
          <w:rFonts w:ascii="Times New Roman" w:eastAsia="Times New Roman" w:hAnsi="Times New Roman" w:cs="Times New Roman"/>
          <w:kern w:val="0"/>
          <w:sz w:val="24"/>
          <w:szCs w:val="24"/>
          <w:lang w:eastAsia="tr-TR"/>
          <w14:ligatures w14:val="none"/>
        </w:rPr>
        <w:t>uğunu teyit etmektedir.</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araştırmanın ortaya koyduğu temel sonuç, resm-i mushaf ile kırâat rivâyeti arasındaki ilişkinin yazı ile söz karşıtlığı üzerinden açıklanamayacağıdır. Kırâatlerin aslî aktarım zemini telakki, müşâfehe, edâ, </w:t>
      </w:r>
      <w:r w:rsidRPr="00FB1750">
        <w:rPr>
          <w:rFonts w:ascii="Times New Roman" w:eastAsia="Times New Roman" w:hAnsi="Times New Roman" w:cs="Times New Roman"/>
          <w:kern w:val="0"/>
          <w:sz w:val="24"/>
          <w:szCs w:val="24"/>
          <w14:ligatures w14:val="none"/>
        </w:rPr>
        <w:t>isnad</w:t>
      </w:r>
      <w:r w:rsidRPr="00F42596">
        <w:rPr>
          <w:rFonts w:ascii="Times New Roman" w:eastAsia="Times New Roman" w:hAnsi="Times New Roman" w:cs="Times New Roman"/>
          <w:kern w:val="0"/>
          <w:sz w:val="24"/>
          <w:szCs w:val="24"/>
          <w14:ligatures w14:val="none"/>
        </w:rPr>
        <w:t xml:space="preserve"> ve </w:t>
      </w:r>
      <w:r w:rsidRPr="00DB7320">
        <w:rPr>
          <w:rFonts w:ascii="Times New Roman" w:eastAsia="Times New Roman" w:hAnsi="Times New Roman" w:cs="Times New Roman"/>
          <w:kern w:val="0"/>
          <w:sz w:val="24"/>
          <w:szCs w:val="24"/>
          <w14:ligatures w14:val="none"/>
        </w:rPr>
        <w:t>rivâyettir</w:t>
      </w:r>
      <w:r w:rsidRPr="00F42596">
        <w:rPr>
          <w:rFonts w:ascii="Times New Roman" w:eastAsia="Times New Roman" w:hAnsi="Times New Roman" w:cs="Times New Roman"/>
          <w:kern w:val="0"/>
          <w:sz w:val="24"/>
          <w:szCs w:val="24"/>
          <w14:ligatures w14:val="none"/>
        </w:rPr>
        <w:t xml:space="preserve">. Mushaf yazısı, hocadan öğrenilen okuyuşun yerine geçmez ve harf iskeletinden hareketle bağımsız kırâat üretmez. Buna karşılık sözlü olarak nakledilen okuyuşlar da ortak mushaf metninden bütünüyle bağımsız değildir.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tarihsel sürekliliği, lafzın sözlü icrası ile bu lafzın ortak yazılı kaydının birlikte işlemesi sayesinde korunmuştur.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Osmânî istinsahın önemli sonuçlarından biri, okuyuş farklılıklarını ortadan kaldırmadan kabul edilebilir çeşitliliği ortak bir yazım çerçevesi içinde korumasıdır. Resm-i Osmânî bazı okuyuşları harf yapısıyla doğrudan göster</w:t>
      </w:r>
      <w:r w:rsidR="00A23EB2">
        <w:rPr>
          <w:rFonts w:ascii="Times New Roman" w:eastAsia="Times New Roman" w:hAnsi="Times New Roman" w:cs="Times New Roman"/>
          <w:kern w:val="0"/>
          <w:sz w:val="24"/>
          <w:szCs w:val="24"/>
          <w14:ligatures w14:val="none"/>
        </w:rPr>
        <w:t xml:space="preserve">miş, </w:t>
      </w:r>
      <w:r w:rsidRPr="00F42596">
        <w:rPr>
          <w:rFonts w:ascii="Times New Roman" w:eastAsia="Times New Roman" w:hAnsi="Times New Roman" w:cs="Times New Roman"/>
          <w:kern w:val="0"/>
          <w:sz w:val="24"/>
          <w:szCs w:val="24"/>
          <w14:ligatures w14:val="none"/>
        </w:rPr>
        <w:t xml:space="preserve">bazı okuyuşlarla ihtimal yoluyla bağdaşabilmiştir. Gerçek uygunluk ile </w:t>
      </w:r>
      <w:r w:rsidRPr="00564B8A">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uygunluk arasındaki ayrım, aynı yazı iskeletinin sahih rivâyetle sabit birden fazla okuyuşa imkân verebilmesini açıklamaktadır. Bununla birlikte yazının bir okuyuşu mümkün kılması, o okuyuşun kendiliğinden sahih olduğunu gösterme</w:t>
      </w:r>
      <w:r w:rsidR="00A23EB2">
        <w:rPr>
          <w:rFonts w:ascii="Times New Roman" w:eastAsia="Times New Roman" w:hAnsi="Times New Roman" w:cs="Times New Roman"/>
          <w:kern w:val="0"/>
          <w:sz w:val="24"/>
          <w:szCs w:val="24"/>
          <w14:ligatures w14:val="none"/>
        </w:rPr>
        <w:t>mekte, h</w:t>
      </w:r>
      <w:r w:rsidRPr="00F42596">
        <w:rPr>
          <w:rFonts w:ascii="Times New Roman" w:eastAsia="Times New Roman" w:hAnsi="Times New Roman" w:cs="Times New Roman"/>
          <w:kern w:val="0"/>
          <w:sz w:val="24"/>
          <w:szCs w:val="24"/>
          <w14:ligatures w14:val="none"/>
        </w:rPr>
        <w:t>angi okuyuşun kırâat olarak sabit olduğu telakki, isnad ve edâ yoluyla belirlen</w:t>
      </w:r>
      <w:r w:rsidR="00A23EB2">
        <w:rPr>
          <w:rFonts w:ascii="Times New Roman" w:eastAsia="Times New Roman" w:hAnsi="Times New Roman" w:cs="Times New Roman"/>
          <w:kern w:val="0"/>
          <w:sz w:val="24"/>
          <w:szCs w:val="24"/>
          <w14:ligatures w14:val="none"/>
        </w:rPr>
        <w:t>mekted</w:t>
      </w:r>
      <w:r w:rsidRPr="00F42596">
        <w:rPr>
          <w:rFonts w:ascii="Times New Roman" w:eastAsia="Times New Roman" w:hAnsi="Times New Roman" w:cs="Times New Roman"/>
          <w:kern w:val="0"/>
          <w:sz w:val="24"/>
          <w:szCs w:val="24"/>
          <w14:ligatures w14:val="none"/>
        </w:rPr>
        <w:t>ir; resm-i Osmânî’ye uygunluk ise rivâyetin ortak mushaf geleneğiyle bağdaşıp bağdaşmadığını gösteren ölçülerden biridir.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nedenle resm-i Osmânî’ye uygunluk, kırâatlerin kabulünde tek başına yeterli veya diğer şartlara indirgenebilecek bir ölçü değildir. Rivâyetin güvenilirliği, Arap dilinde bir veche sahip olması ve resm-i Osmânî’ye uygunluk birlikte değerlendirilmiştir. Bu uygunluğun bulunması zayıf veya temelsiz bir nakli sahih hâle getirmediği gibi, isnadın varlığı da mushaf hattına açıkça aykırı bir okuyuşa genel tilâvet alanında bağlayıcılık kazandırmamaktadır. Sahih, meşhur, âhâd ve şâz okuyuşlara ilişkin değerlendirmeler de bu çoklu ölçü düzeni içinde anlam kazanmaktadır. Şâz rivâyetlerin tefs</w:t>
      </w:r>
      <w:r w:rsidR="00B35BC4">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Basılı mushaflar </w:t>
      </w:r>
      <w:r w:rsidR="00D34C8F" w:rsidRPr="00F42596">
        <w:rPr>
          <w:rFonts w:ascii="Times New Roman" w:eastAsia="Times New Roman" w:hAnsi="Times New Roman" w:cs="Times New Roman"/>
          <w:kern w:val="0"/>
          <w:sz w:val="24"/>
          <w:szCs w:val="24"/>
          <w14:ligatures w14:val="none"/>
        </w:rPr>
        <w:t xml:space="preserve">yalnız </w:t>
      </w:r>
      <w:r w:rsidRPr="00F42596">
        <w:rPr>
          <w:rFonts w:ascii="Times New Roman" w:eastAsia="Times New Roman" w:hAnsi="Times New Roman" w:cs="Times New Roman"/>
          <w:kern w:val="0"/>
          <w:sz w:val="24"/>
          <w:szCs w:val="24"/>
          <w14:ligatures w14:val="none"/>
        </w:rPr>
        <w:t>mevcut okuyuşları yansıtmamış, belirli rivâyetlerin standartlaşması ve geniş coğrafyalarda yaygınlaşması üzerinde de etkili olmuştur. Ana metinde ele alınan Hafs ve Verş örnekleri, mushaf neşri ile kırâatlerin bölgesel ve daha geniş dolaşımı arasındaki ilişkinin birlikte incelenmesi gerektiğini göstermektedir.</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Erken mushaf yazmaları, şehir mushaflarına nispet edilen farklılıklar, bölgesel kırâat gelenekleri ve çağdaş neşirlerin resm tercihleri, bu yaklaşımın daha ayrıntılı uygulanabileceği araştırma alanlarıdır.</w:t>
      </w:r>
    </w:p>
    <w:p w14:paraId="5B0BF432" w14:textId="38CA92E0"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Sonuç olarak resm-i Osmânî, kırâati doğuran bağımsız kaynak değil, rivâyet yoluyla nakledilen kırâatlerin ortak yazılı sınırıdır. Bu sınır, tek bir okuyuşu her durumda zorunlu kılan dar bir fonetik kalıp olmadığı gibi, sınırsız seslendirme ihtimallerine açık bir yazı alanı da değildir. Resm-i Osmânî, sahih rivâyetle sabit okuyuşların bir kısmını açık biçimde gösterip bir kısmıyla ihtimal yoluyla bağdaşarak metin ile edâ, yazılı birlik ile okuyuş çeşitliliği ve tarihsel süreklilik ile ilmî denetim arasında denge kurulmasına katkı sağlamıştır.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doğru aktarımı da mushaf metninin, güvenilir rivâyetin, ehil hocanın, müşâfehenin ve edâ geleneğinin birlikte korunmasına bağlıdır.</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24C7864" w14:textId="5D396EB6"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Abdullah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Selîm b. Îde’l-Hilâlî el-Eserî. Amman: Ğarâs, 2006.</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47F23E23" w14:textId="668F079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w:t>
      </w:r>
      <w:r w:rsidR="00A069EB"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mmed Abdullah b. Muslim. </w:t>
      </w:r>
      <w:r w:rsidRPr="0058794F">
        <w:rPr>
          <w:rFonts w:ascii="Times New Roman" w:eastAsia="Times New Roman" w:hAnsi="Times New Roman" w:cs="Times New Roman"/>
          <w:i/>
          <w:iCs/>
          <w:kern w:val="0"/>
          <w:sz w:val="24"/>
          <w:szCs w:val="24"/>
          <w:lang w:eastAsia="tr-TR"/>
          <w14:ligatures w14:val="none"/>
        </w:rPr>
        <w:t>Te’vîlu muhtelifi’l-hadîs</w:t>
      </w:r>
      <w:r w:rsidRPr="0058794F">
        <w:rPr>
          <w:rFonts w:ascii="Times New Roman" w:eastAsia="Times New Roman" w:hAnsi="Times New Roman" w:cs="Times New Roman"/>
          <w:kern w:val="0"/>
          <w:sz w:val="24"/>
          <w:szCs w:val="24"/>
          <w:lang w:eastAsia="tr-TR"/>
          <w14:ligatures w14:val="none"/>
        </w:rPr>
        <w:t>. thk. Muhammed Muhyiddîn el-Asfar. Beyrut: el-Mektebetü’l-İslâmî, 1999.</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 https://doi.org/http://doi.org/1051702/esoguifd.791085</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ed-Dânî,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ez-Zürkânî,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(bu dipnot daha önce geçmiş </w:t>
      </w:r>
      <w:proofErr w:type="gramStart"/>
      <w:r>
        <w:rPr>
          <w:color w:val="FF0000"/>
        </w:rPr>
        <w:t>midir.yoksa</w:t>
      </w:r>
      <w:proofErr w:type="gramEnd"/>
      <w:r>
        <w:rPr>
          <w:color w:val="FF0000"/>
        </w:rPr>
        <w:t xml:space="preserve"> kitabın ilk adı bu şekilde mi) buna bakılması.</w:t>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(bu eserin müellifi meçhuldür </w:t>
      </w:r>
      <w:proofErr w:type="gramStart"/>
      <w:r>
        <w:rPr>
          <w:color w:val="FF0000"/>
        </w:rPr>
        <w:t>literatürde</w:t>
      </w:r>
      <w:proofErr w:type="gramEnd"/>
      <w:r>
        <w:rPr>
          <w:color w:val="FF0000"/>
        </w:rPr>
        <w:t xml:space="preserve"> bu şekilde geçiyor.</w:t>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es-Suyûtî,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(el-Cum’â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w:t>
      </w:r>
      <w:r w:rsidRPr="00534B75">
        <w:rPr>
          <w:color w:val="FF0000"/>
        </w:rPr>
        <w:t>bu eser daha önce tam adıyla geçmişmiydi)</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eş</w:t>
      </w:r>
      <w:proofErr w:type="gramEnd"/>
      <w:r>
        <w:t>-</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ez</w:t>
      </w:r>
      <w:proofErr w:type="gramEnd"/>
      <w:r>
        <w:t>-</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en</w:t>
      </w:r>
      <w:proofErr w:type="gramEnd"/>
      <w:r>
        <w:t>-</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eş</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ez</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