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t>Bu normatif çizgiye, ilk mushaf hattının nebevî dönemle ve ümmet hafızasıyla kurduğu tarihî bağa ilişkin yorumlar da eklenmiştir.</w:t>
      </w:r>
      <w:r w:rsidR="00875C7B">
        <w:t xml:space="preserve"/>
      </w:r>
      <w:r w:rsidRPr="00F42596">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t xml:space="preserve">Bağlılık gerekçelerinin bir diğer kısmı, ilk neslin ilmî ve rivâyet otoritesine duyulan güven etrafında kurulmuştur.</w:t>
      </w:r>
      <w:r w:rsidRPr="00080A29">
        <w:t/>
      </w:r>
      <w:r w:rsidRPr="00F42596">
        <w:t xml:space="preserve"/>
      </w:r>
      <w:r w:rsidR="00AC4F69">
        <w:t/>
      </w:r>
      <w:r w:rsidRPr="00F42596">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t>Kur’an’ın okunma biçiminin yalnız yazıdan çıkarılmadığı, telakki ve müşâfehe yoluyla aktarıldığı hususu bu tartışmanın ilmî boyutunu oluşturur.</w:t>
      </w:r>
      <w:r w:rsidR="00F42596" w:rsidRPr="00F42596">
        <w:t xml:space="preserve"/>
      </w:r>
      <w:r w:rsidR="00F42596" w:rsidRPr="00AD2F5F">
        <w:t/>
      </w:r>
      <w:r w:rsidR="00F42596" w:rsidRPr="00F42596">
        <w:t xml:space="preserve"/>
      </w:r>
      <w:r w:rsidR="003C613A">
        <w:t/>
      </w:r>
      <w:r w:rsidR="00F42596" w:rsidRPr="00F42596">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itibarla senedin Kur’an-ı Keri</w:t>
      </w:r>
      <w:r w:rsidR="00F42596" w:rsidRPr="00F42596">
        <w:rPr>
          <w:rFonts w:ascii="Times New Roman" w:eastAsia="Times New Roman" w:hAnsi="Times New Roman" w:cs="Times New Roman"/>
          <w:kern w:val="0"/>
          <w:sz w:val="24"/>
          <w:szCs w:val="24"/>
          <w:lang w:eastAsia="tr-TR"/>
          <w14:ligatures w14:val="none"/>
        </w:rPr>
        <w:t xml:space="preserve">m’e bağlı kalması, diğer </w:t>
      </w:r>
      <w:r w:rsidR="00F42596" w:rsidRPr="006565C3">
        <w:rPr>
          <w:rFonts w:ascii="Times New Roman" w:eastAsia="Times New Roman" w:hAnsi="Times New Roman" w:cs="Times New Roman"/>
          <w:kern w:val="0"/>
          <w:sz w:val="24"/>
          <w:szCs w:val="24"/>
          <w:lang w:eastAsia="tr-TR"/>
          <w14:ligatures w14:val="none"/>
        </w:rPr>
        <w:t>semav</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kitaplara nispetle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’a mahsus koruyucu vasıflardan biri </w:t>
      </w:r>
      <w:r w:rsidR="005B5008">
        <w:rPr>
          <w:rFonts w:ascii="Times New Roman" w:eastAsia="Times New Roman" w:hAnsi="Times New Roman" w:cs="Times New Roman"/>
          <w:kern w:val="0"/>
          <w:sz w:val="24"/>
          <w:szCs w:val="24"/>
          <w:lang w:eastAsia="tr-TR"/>
          <w14:ligatures w14:val="none"/>
        </w:rPr>
        <w:t xml:space="preserve">olarak </w:t>
      </w:r>
      <w:r w:rsidR="00F42596" w:rsidRPr="00F42596">
        <w:rPr>
          <w:rFonts w:ascii="Times New Roman" w:eastAsia="Times New Roman" w:hAnsi="Times New Roman" w:cs="Times New Roman"/>
          <w:kern w:val="0"/>
          <w:sz w:val="24"/>
          <w:szCs w:val="24"/>
          <w:lang w:eastAsia="tr-TR"/>
          <w14:ligatures w14:val="none"/>
        </w:rPr>
        <w:t xml:space="preserve">değerlendirilmiştir. Çünkü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muhafazası yalnız mushaf nüshalarının korunması</w:t>
      </w:r>
      <w:r w:rsidR="005B5008">
        <w:rPr>
          <w:rFonts w:ascii="Times New Roman" w:eastAsia="Times New Roman" w:hAnsi="Times New Roman" w:cs="Times New Roman"/>
          <w:kern w:val="0"/>
          <w:sz w:val="24"/>
          <w:szCs w:val="24"/>
          <w:lang w:eastAsia="tr-TR"/>
          <w14:ligatures w14:val="none"/>
        </w:rPr>
        <w:t xml:space="preserve"> olmamakta</w:t>
      </w:r>
      <w:r w:rsidR="00F42596" w:rsidRPr="00F42596">
        <w:rPr>
          <w:rFonts w:ascii="Times New Roman" w:eastAsia="Times New Roman" w:hAnsi="Times New Roman" w:cs="Times New Roman"/>
          <w:kern w:val="0"/>
          <w:sz w:val="24"/>
          <w:szCs w:val="24"/>
          <w:lang w:eastAsia="tr-TR"/>
          <w14:ligatures w14:val="none"/>
        </w:rPr>
        <w:t>, aynı zamanda okuyuş biçimlerinin,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yollarının ve </w:t>
      </w:r>
      <w:r w:rsidR="00F42596"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00F42596" w:rsidRPr="00B35BC4">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özelliklerinin hocadan talebeye intikaliyle gerçekleşmektedir. Şayet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lafızlarının tamamı telaffuza tam uygun biçimde yazılmış olsaydı, birçok kimse onu herhangi bir rivâyet silsilesine başvurmaksızın okumaya cesaret edecek; bu durumda med, tahf</w:t>
      </w:r>
      <w:r w:rsidR="009E3E8D">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f, imâle ve </w:t>
      </w:r>
      <w:r w:rsidR="00F42596" w:rsidRPr="00331CF7">
        <w:rPr>
          <w:rFonts w:ascii="Times New Roman" w:eastAsia="Times New Roman" w:hAnsi="Times New Roman" w:cs="Times New Roman"/>
          <w:kern w:val="0"/>
          <w:sz w:val="24"/>
          <w:szCs w:val="24"/>
          <w:lang w:eastAsia="tr-TR"/>
          <w14:ligatures w14:val="none"/>
        </w:rPr>
        <w:t>izh</w:t>
      </w:r>
      <w:r w:rsidR="00331CF7">
        <w:rPr>
          <w:rFonts w:ascii="Times New Roman" w:eastAsia="Times New Roman" w:hAnsi="Times New Roman" w:cs="Times New Roman"/>
          <w:kern w:val="0"/>
          <w:sz w:val="24"/>
          <w:szCs w:val="24"/>
          <w:lang w:eastAsia="tr-TR"/>
          <w14:ligatures w14:val="none"/>
        </w:rPr>
        <w:t>a</w:t>
      </w:r>
      <w:r w:rsidR="00F42596" w:rsidRPr="00331CF7">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gibi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vecihlerinin büyük kısmı ya zayıflayacak ya da bütünüyle ihmal edilecekti. Bu sebeple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lafız ile ed</w:t>
      </w:r>
      <w:r w:rsidR="0083707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 arasında muhafaza ettiği mesafe, eks</w:t>
      </w:r>
      <w:r w:rsidR="004504FC">
        <w:rPr>
          <w:rFonts w:ascii="Times New Roman" w:eastAsia="Times New Roman" w:hAnsi="Times New Roman" w:cs="Times New Roman"/>
          <w:kern w:val="0"/>
          <w:sz w:val="24"/>
          <w:szCs w:val="24"/>
          <w:lang w:eastAsia="tr-TR"/>
          <w14:ligatures w14:val="none"/>
        </w:rPr>
        <w:t xml:space="preserve">iklik </w:t>
      </w:r>
      <w:r w:rsidR="004504FC" w:rsidRPr="004504FC">
        <w:rPr>
          <w:rFonts w:ascii="Times New Roman" w:eastAsia="Times New Roman" w:hAnsi="Times New Roman" w:cs="Times New Roman"/>
          <w:color w:val="FF0000"/>
          <w:kern w:val="0"/>
          <w:sz w:val="24"/>
          <w:szCs w:val="24"/>
          <w:lang w:eastAsia="tr-TR"/>
          <w14:ligatures w14:val="none"/>
        </w:rPr>
        <w:t>olarak görülmeyip</w:t>
      </w:r>
      <w:r w:rsidR="00F42596" w:rsidRPr="00F42596">
        <w:rPr>
          <w:rFonts w:ascii="Times New Roman" w:eastAsia="Times New Roman" w:hAnsi="Times New Roman" w:cs="Times New Roman"/>
          <w:kern w:val="0"/>
          <w:sz w:val="24"/>
          <w:szCs w:val="24"/>
          <w:lang w:eastAsia="tr-TR"/>
          <w14:ligatures w14:val="none"/>
        </w:rPr>
        <w:t xml:space="preserve">, kırâat isnadını ve sahih sözlü icrayı koruyan hikmetli bir özellik olarak değerlendirilmiştir. </w:t>
      </w:r>
      <w:r w:rsidR="006F5760" w:rsidRPr="006F5760">
        <w:rPr>
          <w:rFonts w:asciiTheme="majorBidi" w:hAnsiTheme="majorBidi" w:cstheme="majorBidi"/>
          <w:color w:val="FF0000"/>
          <w:sz w:val="24"/>
          <w:szCs w:val="24"/>
        </w:rPr>
        <w:t xml:space="preserve">Böylece resm-i mushaf, tarihî bir yazı geleneği olmanın yanı sıra, </w:t>
      </w:r>
      <w:r>
        <w:rPr>
          <w:rFonts w:asciiTheme="majorBidi" w:hAnsiTheme="majorBidi" w:cstheme="majorBidi"/>
          <w:color w:val="FF0000"/>
          <w:sz w:val="24"/>
          <w:szCs w:val="24"/>
        </w:rPr>
        <w:t>Kur’an</w:t>
      </w:r>
      <w:r w:rsidR="006F5760" w:rsidRPr="006F5760">
        <w:rPr>
          <w:rFonts w:asciiTheme="majorBidi" w:hAnsiTheme="majorBidi" w:cstheme="majorBidi"/>
          <w:color w:val="FF0000"/>
          <w:sz w:val="24"/>
          <w:szCs w:val="24"/>
        </w:rPr>
        <w:t>'ın sözlü rivâyetini, sened zincirini ve sahih okuyuş disiplinini muhafaza eden temel unsurlardan biri hâline gelmiştir</w:t>
      </w:r>
      <w:r w:rsidR="006F5760">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Başka bir ifadeyle, yazı ile ses arasındaki bu tam örtüşmezlik, okuyucuyu kendi başına yeterli olduğu vehminden uzaklaştırmakta ve onu ehil bir muallime, yerleşik kır</w:t>
      </w:r>
      <w:r w:rsidR="00B35BC4">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at geleneğine ve canlı telakki usûlüne yöneltmektedir. Böylece resm-i Osmânî, yalnız metnin dış yapısını koruyan bir unsur olmanın ötesinde,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’ın öğrenilme biçimini de şekillendiren bir disiplin işlevi görmektedir. </w:t>
      </w:r>
      <w:r w:rsidR="006F5760" w:rsidRPr="00972BAD">
        <w:rPr>
          <w:rFonts w:asciiTheme="majorBidi" w:hAnsiTheme="majorBidi" w:cstheme="majorBidi"/>
          <w:color w:val="FF0000"/>
          <w:sz w:val="24"/>
          <w:szCs w:val="24"/>
        </w:rPr>
        <w:t xml:space="preserve">Bu bağlamda </w:t>
      </w:r>
      <w:r w:rsidR="00F42596" w:rsidRPr="00F42596">
        <w:rPr>
          <w:rFonts w:ascii="Times New Roman" w:eastAsia="Times New Roman" w:hAnsi="Times New Roman" w:cs="Times New Roman"/>
          <w:kern w:val="0"/>
          <w:sz w:val="24"/>
          <w:szCs w:val="24"/>
          <w:lang w:eastAsia="tr-TR"/>
          <w14:ligatures w14:val="none"/>
        </w:rPr>
        <w:t>dikkat çekici olan husus,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yazılı metni korumakla yetinmeyip, </w:t>
      </w: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’ın sahih aktarımını mümkün kılan sözlü ve isnadlı öğrenim düzenini de zımnen muhafaza etmesidir. Bu yönüyle mushaf hattı, kırâat ilminin sadece </w:t>
      </w:r>
      <w:r w:rsidR="00F42596"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zemini</w:t>
      </w:r>
      <w:r w:rsidR="005B5008">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w:t>
      </w:r>
      <w:r w:rsidR="00F42596" w:rsidRPr="009E61AB">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aynı zamanda onun usûlünü ve otoritesini besleyen tarihî bir çerç</w:t>
      </w:r>
      <w:r w:rsidR="00972BAD">
        <w:rPr>
          <w:rFonts w:ascii="Times New Roman" w:eastAsia="Times New Roman" w:hAnsi="Times New Roman" w:cs="Times New Roman"/>
          <w:kern w:val="0"/>
          <w:sz w:val="24"/>
          <w:szCs w:val="24"/>
          <w:lang w:eastAsia="tr-TR"/>
          <w14:ligatures w14:val="none"/>
        </w:rPr>
        <w:t xml:space="preserve">eve olarak </w:t>
      </w:r>
      <w:r w:rsidR="00972BAD" w:rsidRPr="00972BAD">
        <w:rPr>
          <w:rFonts w:ascii="Times New Roman" w:eastAsia="Times New Roman" w:hAnsi="Times New Roman" w:cs="Times New Roman"/>
          <w:color w:val="000000" w:themeColor="text1"/>
          <w:kern w:val="0"/>
          <w:sz w:val="24"/>
          <w:szCs w:val="24"/>
          <w:lang w:eastAsia="tr-TR"/>
          <w14:ligatures w14:val="none"/>
        </w:rPr>
        <w:t>değerlendirilebilir.</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Bazı resm kaynaklarında, 1960'lı yıllarda Afrika ülkelerinde tahrif edilmiş mushafların dağıtıldığına dair Mısır basınında iddialar yayımlandığı aktarılmaktadır. Ancak bu çalışmada söz konusu haberlerin dayandırıldığı gazete nüshaları doğrudan doğrulanamadığından, olayın ayrıntıları kesin tarihsel veri olarak kullanılmamalıdır.</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966AB5">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rPr>
          <w:rFonts w:ascii="Times New Roman" w:eastAsia="Times New Roman" w:hAnsi="Times New Roman" w:cs="Times New Roman"/>
          <w:kern w:val="0"/>
          <w:sz w:val="24"/>
          <w:szCs w:val="24"/>
          <w:lang w:eastAsia="tr-TR"/>
          <w14:ligatures w14:val="none"/>
        </w:rPr>
        <w:t xml:space="preserve"/>
      </w:r>
      <w:r w:rsidR="00187F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65E2D">
        <w:rPr>
          <w:rFonts w:ascii="Times New Roman" w:eastAsia="Times New Roman" w:hAnsi="Times New Roman" w:cs="Times New Roman"/>
          <w:kern w:val="0"/>
          <w:sz w:val="24"/>
          <w:szCs w:val="24"/>
          <w:lang w:eastAsia="tr-TR"/>
          <w14:ligatures w14:val="none"/>
        </w:rPr>
        <w:t xml:space="preserve"/>
      </w:r>
      <w:r w:rsidR="00A43DA2" w:rsidRPr="00A43DA2">
        <w:rPr>
          <w:rFonts w:asciiTheme="majorBidi" w:hAnsiTheme="majorBidi" w:cstheme="majorBidi"/>
          <w:color w:val="FF0000"/>
          <w:sz w:val="24"/>
          <w:szCs w:val="24"/>
        </w:rPr>
        <w:t/>
      </w:r>
      <w:r w:rsidR="00A43DA2">
        <w:t xml:space="preserve"/>
      </w:r>
      <w:r w:rsidRPr="00F42596">
        <w:rPr>
          <w:rFonts w:ascii="Times New Roman" w:eastAsia="Times New Roman" w:hAnsi="Times New Roman" w:cs="Times New Roman"/>
          <w:kern w:val="0"/>
          <w:sz w:val="24"/>
          <w:szCs w:val="24"/>
          <w:lang w:eastAsia="tr-TR"/>
          <w14:ligatures w14:val="none"/>
        </w:rPr>
        <w:t/>
      </w:r>
      <w:r w:rsidR="001F3FD4" w:rsidRPr="001F3FD4">
        <w:rPr>
          <w:rFonts w:ascii="Times New Roman" w:hAnsi="Times New Roman" w:cs="Times New Roman"/>
        </w:rPr>
        <w:t xml:space="preserve"/>
      </w:r>
      <w:r w:rsidR="001F3FD4">
        <w:rPr>
          <w:rFonts w:ascii="Times New Roman" w:hAnsi="Times New Roman" w:cs="Times New Roman"/>
          <w:color w:val="FF0000"/>
          <w:sz w:val="24"/>
          <w:szCs w:val="24"/>
        </w:rPr>
        <w:t/>
      </w:r>
      <w:r w:rsidR="001F3FD4" w:rsidRPr="001F3FD4">
        <w:rPr>
          <w:rFonts w:ascii="Times New Roman" w:hAnsi="Times New Roman" w:cs="Times New Roman"/>
          <w:color w:val="FF0000"/>
          <w:sz w:val="24"/>
          <w:szCs w:val="24"/>
        </w:rPr>
        <w:t/>
      </w:r>
      <w:r w:rsidRPr="00F42596">
        <w:rPr>
          <w:rFonts w:ascii="Times New Roman" w:eastAsia="Times New Roman" w:hAnsi="Times New Roman" w:cs="Times New Roman"/>
          <w:kern w:val="0"/>
          <w:sz w:val="24"/>
          <w:szCs w:val="24"/>
          <w:lang w:eastAsia="tr-TR"/>
          <w14:ligatures w14:val="none"/>
        </w:rPr>
        <w:t/>
      </w:r>
      <w:r w:rsidR="001F3FD4">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p>
    <w:p w14:paraId="28A2370C" w14:textId="3D62B76B"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nedenle ayrıntılar, olayın doğrulanmış unsurları olarak değil, ilgili kaynakların aktardığı iddiaların kapsamını göstermek üzere sınırlı biçimde anılmaktadır.</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69462" w14:textId="32F435EC"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İlgili kaynakta bazı âyetlerden lafız çıkarıldığına dair örnekler aktarılmaktadır; bu ayrıntılar burada doğrulanmış vaka olarak değil, kaynağın naklettiği iddialar olarak kaydedilmektedir.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00187FC3" w:rsidRPr="00567795">
        <w:rPr>
          <w:rFonts w:ascii="Times New Roman" w:eastAsia="Times New Roman" w:hAnsi="Times New Roman" w:cs="Times New Roman"/>
          <w:i/>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xml:space="preserve"/>
      </w:r>
      <w:r w:rsidR="00187FC3" w:rsidRPr="00567795">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187FC3">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xml:space="preserve"/>
      </w:r>
      <w:r w:rsidR="00187FC3">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187FC3">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xml:space="preserve"/>
      </w:r>
      <w:r w:rsidRPr="00567795">
        <w:rPr>
          <w:rFonts w:ascii="Times New Roman" w:eastAsia="Times New Roman" w:hAnsi="Times New Roman" w:cs="Times New Roman"/>
          <w:iCs/>
          <w:kern w:val="0"/>
          <w:sz w:val="24"/>
          <w:szCs w:val="24"/>
          <w:lang w:eastAsia="tr-TR"/>
          <w14:ligatures w14:val="none"/>
        </w:rPr>
        <w:t/>
      </w:r>
      <w:r w:rsidR="00187F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4D176950" w14:textId="5DC56551"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anlatıda başka lafız çıkarma örnekleri de zikredilmektedir; bunlar bağımsız biçimde doğrulanamadığından kesin tarihsel veri olarak kullanılmamaktadır.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163009B1" w14:textId="78CCB24F" w:rsidR="00F42596" w:rsidRPr="00F42596" w:rsidRDefault="00F42596" w:rsidP="00F42596">
      <w:pPr>
        <w:numPr>
          <w:ilvl w:val="0"/>
          <w:numId w:val="23"/>
        </w:numPr>
        <w:spacing w:before="120" w:after="0" w:line="276" w:lineRule="auto"/>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 ayrıca bazı lafızların başka lafızlarla değiştirildiğini ileri sürmektedir; bu ayrıntı da doğrudan doğrulanmış bir olgu olarak benimsenmemektedir.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187FC3"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656FFC20" w14:textId="66C7EA5C"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Filistin'deki bazı okul mushaflarına ilişkin çıkarma iddiaları da aynı anlatı içinde yer almaktadır; dayanak malzeme doğrudan doğrulanamadığından bu aktarım ihtiyatla değerlendirilmelidir.</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xml:space="preserve"/>
      </w:r>
      <w:r w:rsidR="00FB04CB">
        <w:rPr>
          <w:rFonts w:ascii="Times New Roman" w:eastAsia="Times New Roman" w:hAnsi="Times New Roman" w:cs="Times New Roman"/>
          <w:i/>
          <w:iCs/>
          <w:kern w:val="0"/>
          <w:sz w:val="24"/>
          <w:szCs w:val="24"/>
          <w:lang w:eastAsia="tr-TR"/>
          <w14:ligatures w14:val="none"/>
        </w:rPr>
        <w:t/>
      </w:r>
      <w:r w:rsidRPr="00FB04CB">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p>
    <w:p w14:paraId="1428446D" w14:textId="1E76ADE1" w:rsidR="00F42596" w:rsidRPr="00F42596" w:rsidRDefault="00F42596" w:rsidP="00F42596">
      <w:pPr>
        <w:spacing w:after="0" w:line="276" w:lineRule="auto"/>
        <w:ind w:left="1068"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kaynak grubunda ikinci bir âyetin de okutulmadığı ileri sürülmektedir; dayandırıldığı basın nüshası doğrudan doğrulanmadığından ayrıntı kesin tarihsel veri sayılmamalıdır.</w:t>
      </w:r>
      <w:r w:rsidRPr="00F42596">
        <w:rPr>
          <w:rFonts w:ascii="Times New Roman" w:eastAsia="Times New Roman" w:hAnsi="Times New Roman" w:cs="Times New Roman"/>
          <w:kern w:val="0"/>
          <w:sz w:val="24"/>
          <w:szCs w:val="24"/>
          <w:rtl/>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67D5B32E" w14:textId="4F811B1A" w:rsidR="00F42596" w:rsidRPr="00F42596" w:rsidRDefault="00F42596" w:rsidP="00F42596">
      <w:pPr>
        <w:spacing w:after="0" w:line="276" w:lineRule="auto"/>
        <w:ind w:firstLine="708"/>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 söz konusu iddialara karşı bazı resmî ve dinî çevrelerin tepki gösterdiğini de aktarmaktadır. Bununla birlikte failin amacı hakkında hüküm kuran açıklamalar doğrulanmış olgu olarak kullanılamaz.</w:t>
      </w:r>
      <w:r w:rsidR="00925F21">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187FC3">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187F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187F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302B74">
        <w:rPr>
          <w:rFonts w:ascii="Times New Roman" w:eastAsia="Times New Roman" w:hAnsi="Times New Roman" w:cs="Times New Roman"/>
          <w:kern w:val="0"/>
          <w:sz w:val="24"/>
          <w:szCs w:val="24"/>
          <w:lang w:eastAsia="tr-TR"/>
          <w14:ligatures w14:val="none"/>
        </w:rPr>
        <w:t/>
      </w:r>
      <w:r w:rsidR="00302B74">
        <w:rPr>
          <w:rFonts w:ascii="Times New Roman" w:eastAsia="Times New Roman" w:hAnsi="Times New Roman" w:cs="Times New Roman"/>
          <w:kern w:val="0"/>
          <w:sz w:val="24"/>
          <w:szCs w:val="24"/>
          <w:lang w:eastAsia="tr-TR"/>
          <w14:ligatures w14:val="none"/>
        </w:rPr>
        <w:t/>
      </w:r>
      <w:r w:rsidRP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 resm literatüründe metin güvenliği kaygısının nasıl gerekçelendirildiğini gösteren bir aktarım olarak kullanılabilir; ancak olayın tarihsel ayrıntıları bağımsız doğrulama olmadan argümanın ampirik kanıtı hâline getirilmemelidir.</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konusunda gevşeklik gösterilmesi, yalnız yazı alanında bir dönüşüm meydana getirmekle kalmayacak, aynı zamanda mevcut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ihtiva ettiği birçok kırâat vechinin de zayi olmasına yol açacaktır. Çünkü bazı kırâat vecihleri, tam da </w:t>
      </w:r>
      <w:r w:rsidRPr="00964556">
        <w:rPr>
          <w:rFonts w:ascii="Times New Roman" w:eastAsia="Times New Roman" w:hAnsi="Times New Roman" w:cs="Times New Roman"/>
          <w:kern w:val="0"/>
          <w:sz w:val="24"/>
          <w:szCs w:val="24"/>
          <w:lang w:eastAsia="tr-TR"/>
          <w14:ligatures w14:val="none"/>
        </w:rPr>
        <w:t>Osm</w:t>
      </w:r>
      <w:r w:rsidR="00964556" w:rsidRPr="00567795">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harf yapısı, hazif-isbat dengesi ve ihtimalli yazım düzeni sayesinde muhafaza edilebilmektedir. Yeni yazım biçimlerinin bu ihtimal alanını daraltması hâlinde, mevcut kırâat vecihlerinin bir kısmı da taşınamaz duruma gelecektir. Bu itibarla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değiştirilmesi, dolaylı biçimde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nakledilmiş anlam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zenginliğinin daralması sonucunu doğuracaktır. </w:t>
      </w:r>
      <w:r w:rsidRPr="00F42596">
        <w:rPr>
          <w:rFonts w:ascii="Times New Roman" w:eastAsia="Times New Roman" w:hAnsi="Times New Roman" w:cs="Times New Roman"/>
          <w:kern w:val="0"/>
          <w:sz w:val="24"/>
          <w:szCs w:val="24"/>
          <w:lang w:eastAsia="tr-TR"/>
          <w14:ligatures w14:val="none"/>
        </w:rPr>
        <w:lastRenderedPageBreak/>
        <w:t xml:space="preserve">Nitekim </w:t>
      </w:r>
      <w:r w:rsidRPr="00B35BC4">
        <w:rPr>
          <w:rFonts w:ascii="Times New Roman" w:eastAsia="Times New Roman" w:hAnsi="Times New Roman" w:cs="Times New Roman"/>
          <w:kern w:val="0"/>
          <w:sz w:val="24"/>
          <w:szCs w:val="24"/>
          <w:lang w:eastAsia="tr-TR"/>
          <w14:ligatures w14:val="none"/>
        </w:rPr>
        <w:t>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vecihlerinin kaybı, sadece bazı okuyuş farklılıklarının ortadan kalkması anlamına gelmemekte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mushafın tarih boyunca taşıdığı rivâyet ufkunun daralması anlamına da gelmektedir. </w:t>
      </w:r>
      <w:r w:rsidR="00BE3536" w:rsidRPr="00BE3536">
        <w:rPr>
          <w:rFonts w:asciiTheme="majorBidi" w:hAnsiTheme="majorBidi" w:cstheme="majorBidi"/>
          <w:color w:val="FF0000"/>
          <w:sz w:val="24"/>
          <w:szCs w:val="24"/>
        </w:rPr>
        <w:t>Bu bakımdan resm-i mushaf, sahih kırâatlerin devamlılığını temin eden ve onların yazı içindeki imkân alanını koruyan kurucu bir unsur olarak değerlendirilebilir</w:t>
      </w:r>
      <w:r w:rsidRPr="00BE3536">
        <w:rPr>
          <w:rFonts w:asciiTheme="majorBidi" w:eastAsia="Times New Roman" w:hAnsiTheme="majorBidi" w:cstheme="majorBidi"/>
          <w:color w:val="FF0000"/>
          <w:kern w:val="0"/>
          <w:sz w:val="24"/>
          <w:szCs w:val="24"/>
          <w:lang w:eastAsia="tr-TR"/>
          <w14:ligatures w14:val="none"/>
        </w:rPr>
        <w:t>.</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t>Son olarak, müşterek mushaf yazısının farklı coğrafya ve nesiller arasında ortak bir yazılı hafıza oluşturması birlik gerekçesinin tarihsel yönünü açıklar.</w:t>
      </w:r>
      <w:r w:rsidR="003C613A">
        <w:t/>
      </w:r>
      <w:r w:rsidRPr="00F42596">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Zira kırâat, sonraki neslin önceki nesilden aldığı ve uygulayarak sürdürdüğü ittiba edilen bir sünnet olarak anlaşılmıştır. Bu bağlamda Zeyd b. Sâbit’ten ve başkalarından nakledildiğine göre “</w:t>
      </w:r>
      <w:r w:rsidR="00BD634C">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ırâat sünnettir</w:t>
      </w:r>
      <w:r w:rsidR="00BD634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ile Ebû Amr b. el-A’lâ’nın (ö. 154/771) kırâat hususundaki yöntemini anlatırken, “</w:t>
      </w:r>
      <w:r w:rsidRPr="00F42596">
        <w:rPr>
          <w:rFonts w:ascii="Times New Roman" w:eastAsia="Times New Roman" w:hAnsi="Times New Roman" w:cs="Times New Roman"/>
          <w:i/>
          <w:iCs/>
          <w:kern w:val="0"/>
          <w:sz w:val="24"/>
          <w:szCs w:val="24"/>
          <w:lang w:eastAsia="tr-TR"/>
          <w14:ligatures w14:val="none"/>
        </w:rPr>
        <w:t>Allah</w:t>
      </w:r>
      <w:r w:rsidR="00BD634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a yemin ederim ki, okuduğum hiçbir harfi, sahih bir rivâyete dayanmaksızın okumadım</w:t>
      </w:r>
      <w:r w:rsidR="00BD634C">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ifadesi, bu anlayışı </w:t>
      </w:r>
      <w:r w:rsidRPr="005802A1">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çerçevede resm-i Osmânî, ihtilafı azaltmak ve sahih olanı muhafaza etmek için en başta sabit rivâyete bağlı kalmayı, </w:t>
      </w:r>
      <w:r w:rsidRPr="006572ED">
        <w:rPr>
          <w:rFonts w:ascii="Times New Roman" w:eastAsia="Times New Roman" w:hAnsi="Times New Roman" w:cs="Times New Roman"/>
          <w:kern w:val="0"/>
          <w:sz w:val="24"/>
          <w:szCs w:val="24"/>
          <w:lang w:eastAsia="tr-TR"/>
          <w14:ligatures w14:val="none"/>
        </w:rPr>
        <w:t>neshedilmiş</w:t>
      </w:r>
      <w:r w:rsidRPr="00F42596">
        <w:rPr>
          <w:rFonts w:ascii="Times New Roman" w:eastAsia="Times New Roman" w:hAnsi="Times New Roman" w:cs="Times New Roman"/>
          <w:kern w:val="0"/>
          <w:sz w:val="24"/>
          <w:szCs w:val="24"/>
          <w:lang w:eastAsia="tr-TR"/>
          <w14:ligatures w14:val="none"/>
        </w:rPr>
        <w:t xml:space="preserve"> olanı ve hakkında sadece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 bulunan yahut fiilen okunmayan vecihleri dışarıda bırakmıştır. Özellikle mushafların yazımında Hz. Peygamber’den telakki edilen okuyuşun esas alınması, bu yöntemin en belirgin göstergelerinden biridir. Zeyd b. Sâbit ve onunla birlikte çalışan istinsah heyetinin, bir âyet hakkında tereddüt ortaya çıktığında o âyeti </w:t>
      </w:r>
      <w:r w:rsidRPr="006A1DC7">
        <w:rPr>
          <w:rFonts w:ascii="Times New Roman" w:eastAsia="Times New Roman" w:hAnsi="Times New Roman" w:cs="Times New Roman"/>
          <w:kern w:val="0"/>
          <w:sz w:val="24"/>
          <w:szCs w:val="24"/>
          <w:lang w:eastAsia="tr-TR"/>
          <w14:ligatures w14:val="none"/>
        </w:rPr>
        <w:t>Rasûlullah’tan</w:t>
      </w:r>
      <w:r w:rsidRPr="00F42596">
        <w:rPr>
          <w:rFonts w:ascii="Times New Roman" w:eastAsia="Times New Roman" w:hAnsi="Times New Roman" w:cs="Times New Roman"/>
          <w:kern w:val="0"/>
          <w:sz w:val="24"/>
          <w:szCs w:val="24"/>
          <w:lang w:eastAsia="tr-TR"/>
          <w14:ligatures w14:val="none"/>
        </w:rPr>
        <w:t xml:space="preserve"> öğrenen kimseyi getirterek okuyuş biçimini tespit etmeleri, yazının doğrudan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feheye tabi kılındığını göstermektedir. Bu nedenle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bağımsız bir imlâ şekli görülmeyip; sahih rivâyetle doğrulanmış okuyuşun yazıda tespit edilmiş biçimi olarak </w:t>
      </w:r>
      <w:r w:rsidR="00FC565E" w:rsidRPr="00FC565E">
        <w:rPr>
          <w:rFonts w:asciiTheme="majorBidi" w:hAnsiTheme="majorBidi" w:cstheme="majorBidi"/>
          <w:color w:val="FF0000"/>
          <w:sz w:val="24"/>
          <w:szCs w:val="24"/>
        </w:rPr>
        <w:t>değerlendirilebilir</w:t>
      </w:r>
      <w:r w:rsidRPr="00FC565E">
        <w:rPr>
          <w:rFonts w:asciiTheme="majorBidi" w:eastAsia="Times New Roman" w:hAnsiTheme="majorBidi" w:cstheme="majorBidi"/>
          <w:color w:val="FF0000"/>
          <w:kern w:val="0"/>
          <w:sz w:val="24"/>
          <w:szCs w:val="24"/>
          <w:lang w:eastAsia="tr-TR"/>
          <w14:ligatures w14:val="none"/>
        </w:rPr>
        <w:t>.</w:t>
      </w:r>
      <w:r w:rsidRPr="00FC565E">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Aynı şekilde Hz. Peygamber’in vefat ettiği yılda gerçekleşen son arzanın esas alınması 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keyf</w:t>
      </w:r>
      <w:r w:rsidR="00BD634C">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tercihten ibaret olmayıp son olarak tahkik edilmiş kırâat zeminine dayandığını ortaya koymaktadır. Böylece mushaflar, son arzada sabit kalan lafızları muhafaza etmiş; daha önce </w:t>
      </w:r>
      <w:r w:rsidRPr="00F42596">
        <w:rPr>
          <w:rFonts w:ascii="Times New Roman" w:eastAsia="Times New Roman" w:hAnsi="Times New Roman" w:cs="Times New Roman"/>
          <w:kern w:val="0"/>
          <w:sz w:val="24"/>
          <w:szCs w:val="24"/>
          <w:lang w:eastAsia="tr-TR"/>
          <w14:ligatures w14:val="none"/>
        </w:rPr>
        <w:lastRenderedPageBreak/>
        <w:t>ruhsat kapsamında okun</w:t>
      </w:r>
      <w:r w:rsidR="00BD634C">
        <w:rPr>
          <w:rFonts w:ascii="Times New Roman" w:eastAsia="Times New Roman" w:hAnsi="Times New Roman" w:cs="Times New Roman"/>
          <w:kern w:val="0"/>
          <w:sz w:val="24"/>
          <w:szCs w:val="24"/>
          <w:lang w:eastAsia="tr-TR"/>
          <w14:ligatures w14:val="none"/>
        </w:rPr>
        <w:t xml:space="preserve">an </w:t>
      </w:r>
      <w:r w:rsidRPr="00F42596">
        <w:rPr>
          <w:rFonts w:ascii="Times New Roman" w:eastAsia="Times New Roman" w:hAnsi="Times New Roman" w:cs="Times New Roman"/>
          <w:kern w:val="0"/>
          <w:sz w:val="24"/>
          <w:szCs w:val="24"/>
          <w:lang w:eastAsia="tr-TR"/>
          <w14:ligatures w14:val="none"/>
        </w:rPr>
        <w:t>fakat daha sonra neshedilmiş vecihler yazı alanının dışında bırakılmıştır.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diğer temel işlevi, tevâtüren sabit olan kırâatlerle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rivâyetleri birbirinden ayıran bağlayıcı bir ölçü oluşturmasıdır.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sadece mevcut rivâyetleri kaydeden edilgen bir kalıp olmadığını; aksine ümmetin ortak mushafında hangi vecihlerin kalacağını belirleyen seçici bir çerçeve olduğunu göstermektedir.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Dolayısıyla resm-i Osmânî, sahih kırâat alanını </w:t>
      </w:r>
      <w:proofErr w:type="gramStart"/>
      <w:r w:rsidRPr="002F604F">
        <w:rPr>
          <w:rFonts w:ascii="Times New Roman" w:eastAsia="Times New Roman" w:hAnsi="Times New Roman" w:cs="Times New Roman"/>
          <w:kern w:val="0"/>
          <w:sz w:val="24"/>
          <w:szCs w:val="24"/>
          <w:lang w:eastAsia="tr-TR"/>
          <w14:ligatures w14:val="none"/>
        </w:rPr>
        <w:t>tahdi</w:t>
      </w:r>
      <w:r w:rsidR="00BD634C" w:rsidRPr="00567795">
        <w:rPr>
          <w:rFonts w:ascii="Times New Roman" w:eastAsia="Times New Roman" w:hAnsi="Times New Roman" w:cs="Times New Roman"/>
          <w:kern w:val="0"/>
          <w:sz w:val="24"/>
          <w:szCs w:val="24"/>
          <w:lang w:eastAsia="tr-TR"/>
          <w14:ligatures w14:val="none"/>
        </w:rPr>
        <w:t>t</w:t>
      </w:r>
      <w:proofErr w:type="gramEnd"/>
      <w:r w:rsidRPr="00F42596">
        <w:rPr>
          <w:rFonts w:ascii="Times New Roman" w:eastAsia="Times New Roman" w:hAnsi="Times New Roman" w:cs="Times New Roman"/>
          <w:kern w:val="0"/>
          <w:sz w:val="24"/>
          <w:szCs w:val="24"/>
          <w:lang w:eastAsia="tr-TR"/>
          <w14:ligatures w14:val="none"/>
        </w:rPr>
        <w:t xml:space="preserve"> eden ve onu ümmetin müşterek rivâyet zemini içinde koruyan kurucu bir unsur hüviyeti kazanmaktadır.</w:t>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1121FD">
        <w:rPr>
          <w:rFonts w:ascii="Times New Roman" w:eastAsia="Times New Roman" w:hAnsi="Times New Roman" w:cs="Times New Roman"/>
          <w:color w:val="FF0000"/>
          <w:kern w:val="0"/>
          <w:sz w:val="24"/>
          <w:szCs w:val="24"/>
          <w:lang w:eastAsia="tr-TR"/>
          <w14:ligatures w14:val="none"/>
        </w:rPr>
        <w:t xml:space="preserve">Bütün bunlar birlikte düşünüldüğünde </w:t>
      </w:r>
      <w:r w:rsidRPr="00F42596">
        <w:rPr>
          <w:rFonts w:ascii="Times New Roman" w:eastAsia="Times New Roman" w:hAnsi="Times New Roman" w:cs="Times New Roman"/>
          <w:kern w:val="0"/>
          <w:sz w:val="24"/>
          <w:szCs w:val="24"/>
          <w:lang w:eastAsia="tr-TR"/>
          <w14:ligatures w14:val="none"/>
        </w:rPr>
        <w:t xml:space="preserve">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kırâat vecihlerinin rivâyet ve naklinde üç yönlü bir rol üstlendiği söylenebilir</w:t>
      </w:r>
      <w:r w:rsidR="00FD01EC">
        <w:rPr>
          <w:rFonts w:ascii="Times New Roman" w:eastAsia="Times New Roman" w:hAnsi="Times New Roman" w:cs="Times New Roman"/>
          <w:kern w:val="0"/>
          <w:sz w:val="24"/>
          <w:szCs w:val="24"/>
          <w:lang w:eastAsia="tr-TR"/>
          <w14:ligatures w14:val="none"/>
        </w:rPr>
        <w:t>. İ</w:t>
      </w:r>
      <w:r w:rsidRPr="00F42596">
        <w:rPr>
          <w:rFonts w:ascii="Times New Roman" w:eastAsia="Times New Roman" w:hAnsi="Times New Roman" w:cs="Times New Roman"/>
          <w:kern w:val="0"/>
          <w:sz w:val="24"/>
          <w:szCs w:val="24"/>
          <w:lang w:eastAsia="tr-TR"/>
          <w14:ligatures w14:val="none"/>
        </w:rPr>
        <w:t>lk olarak, sahih rivâyetleri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fehe ve isnad yoluyla korunan bir alan içinde yazılı olarak sabitlemektedir. İkinci olarak, son arza ve </w:t>
      </w:r>
      <w:r w:rsidRPr="00CC4184">
        <w:rPr>
          <w:rFonts w:ascii="Times New Roman" w:eastAsia="Times New Roman" w:hAnsi="Times New Roman" w:cs="Times New Roman"/>
          <w:kern w:val="0"/>
          <w:sz w:val="24"/>
          <w:szCs w:val="24"/>
          <w:lang w:eastAsia="tr-TR"/>
          <w14:ligatures w14:val="none"/>
        </w:rPr>
        <w:t>tevâtür</w:t>
      </w:r>
      <w:r w:rsidRPr="00F42596">
        <w:rPr>
          <w:rFonts w:ascii="Times New Roman" w:eastAsia="Times New Roman" w:hAnsi="Times New Roman" w:cs="Times New Roman"/>
          <w:kern w:val="0"/>
          <w:sz w:val="24"/>
          <w:szCs w:val="24"/>
          <w:lang w:eastAsia="tr-TR"/>
          <w14:ligatures w14:val="none"/>
        </w:rPr>
        <w:t xml:space="preserve"> esasına göre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veya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lığı kesinleşmemiş unsurları dışarıda bırakmaktadır. Üçüncü olarak da İslâm beldelerinde kırâat rivâyetinin seyrini mushaf ve mukrî birlikteliği üzerinden zapt altına almaktadır. </w:t>
      </w:r>
      <w:r w:rsidR="00281D24" w:rsidRPr="00281D24">
        <w:rPr>
          <w:rFonts w:asciiTheme="majorBidi" w:hAnsiTheme="majorBidi" w:cstheme="majorBidi"/>
          <w:color w:val="FF0000"/>
          <w:sz w:val="24"/>
          <w:szCs w:val="24"/>
        </w:rPr>
        <w:t>Bu çerçevede, resm-i Osmânî'nin kırâat tarihi, rivâyet disiplini ve ümmetin ortak mushaf otoritesinin teşekkülünde belirleyici bir işleve sahip bulunduğu açıkça görülmektedir.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.(burası daha önce düzeltilmemiş, ”anlaşılmaktadır”</w:t>
      </w:r>
      <w:r w:rsidRPr="006762F7">
        <w:rPr>
          <w:rFonts w:ascii="Times New Roman" w:eastAsia="Times New Roman" w:hAnsi="Times New Roman" w:cs="Times New Roman"/>
          <w:color w:val="FF0000"/>
          <w:kern w:val="0"/>
          <w:sz w:val="24"/>
          <w:szCs w:val="24"/>
          <w:lang w:eastAsia="tr-TR"/>
          <w14:ligatures w14:val="none"/>
        </w:rPr>
        <w:t xml:space="preserve"> </w:t>
      </w:r>
      <w:r w:rsidR="002700F3" w:rsidRPr="006762F7">
        <w:rPr>
          <w:rFonts w:ascii="Times New Roman" w:eastAsia="Times New Roman" w:hAnsi="Times New Roman" w:cs="Times New Roman"/>
          <w:color w:val="FF0000"/>
          <w:kern w:val="0"/>
          <w:sz w:val="24"/>
          <w:szCs w:val="24"/>
          <w:lang w:eastAsia="tr-TR"/>
          <w14:ligatures w14:val="none"/>
        </w:rPr>
        <w:t>olarak kalmış)</w:t>
      </w:r>
      <w:r w:rsidRPr="00F42596">
        <w:rPr>
          <w:rFonts w:ascii="Times New Roman" w:eastAsia="Times New Roman" w:hAnsi="Times New Roman" w:cs="Times New Roman"/>
          <w:kern w:val="0"/>
          <w:sz w:val="24"/>
          <w:szCs w:val="24"/>
          <w:lang w:eastAsia="tr-TR"/>
          <w14:ligatures w14:val="none"/>
        </w:rPr>
        <w:t>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27E355A4" w14:textId="5A2B7E87" w:rsidR="00F42596" w:rsidRPr="00F42596" w:rsidRDefault="00F42596" w:rsidP="00567DF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denilebilir ki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sahâbe mushaflarındaki kırâat rivâyetleri karşısındaki tutumu iki yönlüdür. B</w:t>
      </w:r>
      <w:r w:rsidR="00436CA9">
        <w:rPr>
          <w:rFonts w:ascii="Times New Roman" w:eastAsia="Times New Roman" w:hAnsi="Times New Roman" w:cs="Times New Roman"/>
          <w:kern w:val="0"/>
          <w:sz w:val="24"/>
          <w:szCs w:val="24"/>
          <w:lang w:eastAsia="tr-TR"/>
          <w14:ligatures w14:val="none"/>
        </w:rPr>
        <w:t>u tutum, b</w:t>
      </w:r>
      <w:r w:rsidRPr="00F42596">
        <w:rPr>
          <w:rFonts w:ascii="Times New Roman" w:eastAsia="Times New Roman" w:hAnsi="Times New Roman" w:cs="Times New Roman"/>
          <w:kern w:val="0"/>
          <w:sz w:val="24"/>
          <w:szCs w:val="24"/>
          <w:lang w:eastAsia="tr-TR"/>
          <w14:ligatures w14:val="none"/>
        </w:rPr>
        <w:t xml:space="preserve">ir taraftan bu mushaflarda yer alan rivâyet birikiminin tarihî gerçekliğini teslim etmekte, onları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ve telakki sürecinin önemli tanıkları arasında görmektedir. Diğer taraftan bu rivâyetlerin tamamını bağlayıcı mushaf metninin parçası saymayarak, son arza ve icmâ ölçüsüne göre müşterek mushaf alanını sınırlandırmaktadır. Bu yönüyle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 r</w:t>
      </w:r>
      <w:r w:rsidR="00612855">
        <w:rPr>
          <w:rFonts w:ascii="Times New Roman" w:eastAsia="Times New Roman" w:hAnsi="Times New Roman" w:cs="Times New Roman"/>
          <w:kern w:val="0"/>
          <w:sz w:val="24"/>
          <w:szCs w:val="24"/>
          <w:lang w:eastAsia="tr-TR"/>
          <w14:ligatures w14:val="none"/>
        </w:rPr>
        <w:t>es</w:t>
      </w:r>
      <w:r w:rsidRPr="009645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sahâbe mushaflarından gelen okuyuş çeşitliliğini nihai mushaf otoritesi bakımından ayıklayan, bağlayıcı olanı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açıklayıcı olandan ayıran kurucu bir otorite işlevi görmektedir. Kanaat verici olan husus, tam da burada ortaya çıkmaktadır</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sahâbe mushaflarının karşıtı </w:t>
      </w:r>
      <w:r w:rsidR="00876A05" w:rsidRPr="00876A05">
        <w:rPr>
          <w:rFonts w:asciiTheme="majorBidi" w:hAnsiTheme="majorBidi" w:cstheme="majorBidi"/>
          <w:color w:val="FF0000"/>
          <w:sz w:val="24"/>
          <w:szCs w:val="24"/>
        </w:rPr>
        <w:t>şeklinde görülmeyip</w:t>
      </w:r>
      <w:r w:rsidR="00876A05">
        <w:rPr>
          <w:rFonts w:asciiTheme="majorBidi" w:hAnsiTheme="majorBidi" w:cstheme="majorBidi"/>
          <w:color w:val="FF0000"/>
          <w:sz w:val="24"/>
          <w:szCs w:val="24"/>
        </w:rPr>
        <w:t>,</w:t>
      </w:r>
      <w:r w:rsidR="00876A05" w:rsidRPr="00876A05">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onların içindeki dağınık rivâyet malzemesini ümmetin müşterek metin bilinci içinde yeniden düzenleyen merkezî bi</w:t>
      </w:r>
      <w:r w:rsidR="00876A05">
        <w:rPr>
          <w:rFonts w:ascii="Times New Roman" w:eastAsia="Times New Roman" w:hAnsi="Times New Roman" w:cs="Times New Roman"/>
          <w:kern w:val="0"/>
          <w:sz w:val="24"/>
          <w:szCs w:val="24"/>
          <w:lang w:eastAsia="tr-TR"/>
          <w14:ligatures w14:val="none"/>
        </w:rPr>
        <w:t xml:space="preserve">r çerçeve olarak </w:t>
      </w:r>
      <w:r w:rsidR="00567DF1" w:rsidRPr="00567DF1">
        <w:rPr>
          <w:rFonts w:asciiTheme="majorBidi" w:hAnsiTheme="majorBidi" w:cstheme="majorBidi"/>
          <w:color w:val="FF0000"/>
          <w:sz w:val="24"/>
          <w:szCs w:val="24"/>
        </w:rPr>
        <w:t>ifade edilebilir.</w:t>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Nitekim onun</w:t>
      </w:r>
      <w:r w:rsidR="008067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mushafının yakılmasına tepki gösterdiği ve insanlara mushaflarını gizlemelerini söylediği nakledil</w:t>
      </w:r>
      <w:r w:rsidR="006F7A27">
        <w:rPr>
          <w:rFonts w:ascii="Times New Roman" w:eastAsia="Times New Roman" w:hAnsi="Times New Roman" w:cs="Times New Roman"/>
          <w:kern w:val="0"/>
          <w:sz w:val="24"/>
          <w:szCs w:val="24"/>
          <w:lang w:eastAsia="tr-TR"/>
          <w14:ligatures w14:val="none"/>
        </w:rPr>
        <w:t xml:space="preserve">mekle birlikte, bu tavır erken dönem </w:t>
      </w:r>
      <w:r w:rsidR="00F42596" w:rsidRPr="00F42596">
        <w:rPr>
          <w:rFonts w:ascii="Times New Roman" w:eastAsia="Times New Roman" w:hAnsi="Times New Roman" w:cs="Times New Roman"/>
          <w:kern w:val="0"/>
          <w:sz w:val="24"/>
          <w:szCs w:val="24"/>
          <w:lang w:eastAsia="tr-TR"/>
          <w14:ligatures w14:val="none"/>
        </w:rPr>
        <w:t>kaynaklar</w:t>
      </w:r>
      <w:r w:rsidR="006F7A27">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da sürekli</w:t>
      </w:r>
      <w:r w:rsidR="001A5BA6">
        <w:rPr>
          <w:rFonts w:ascii="Times New Roman" w:eastAsia="Times New Roman" w:hAnsi="Times New Roman" w:cs="Times New Roman"/>
          <w:kern w:val="0"/>
          <w:sz w:val="24"/>
          <w:szCs w:val="24"/>
          <w:lang w:eastAsia="tr-TR"/>
          <w14:ligatures w14:val="none"/>
        </w:rPr>
        <w:t xml:space="preserve"> ve esaslı bir muhalefet olmayıp</w:t>
      </w:r>
      <w:r w:rsidR="00F42596" w:rsidRPr="00F42596">
        <w:rPr>
          <w:rFonts w:ascii="Times New Roman" w:eastAsia="Times New Roman" w:hAnsi="Times New Roman" w:cs="Times New Roman"/>
          <w:kern w:val="0"/>
          <w:sz w:val="24"/>
          <w:szCs w:val="24"/>
          <w:lang w:eastAsia="tr-TR"/>
          <w14:ligatures w14:val="none"/>
        </w:rPr>
        <w:t>, öfkeye bağlı geçici bir tepki olarak yorumlanmıştır.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9E3A0D">
        <w:rPr>
          <w:rFonts w:ascii="Times New Roman" w:eastAsia="Times New Roman" w:hAnsi="Times New Roman" w:cs="Times New Roman"/>
          <w:color w:val="FF0000"/>
          <w:kern w:val="0"/>
          <w:sz w:val="24"/>
          <w:szCs w:val="24"/>
          <w:lang w:eastAsia="tr-TR"/>
          <w14:ligatures w14:val="none"/>
        </w:rPr>
        <w:t>Sonuç olarak bu veriler birlikte değerlendirildiğinde</w:t>
      </w:r>
      <w:r w:rsidRPr="00F42596">
        <w:rPr>
          <w:rFonts w:ascii="Times New Roman" w:eastAsia="Times New Roman" w:hAnsi="Times New Roman" w:cs="Times New Roman"/>
          <w:kern w:val="0"/>
          <w:sz w:val="24"/>
          <w:szCs w:val="24"/>
          <w:lang w:eastAsia="tr-TR"/>
          <w14:ligatures w14:val="none"/>
        </w:rPr>
        <w:t xml:space="preserve">, sahâbe mushaflarının yakılması meselesinin,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tarihindeki en önemli birleştirici adımlardan biri olduğu görülmektedir. Burada amaç, farklı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nüshaları ortadan kaldırmak suretiyle metni daraltmak amacı taşımaktan çok, ümmeti tek bir mushaf hattında, tek bir ortak metin otoritesi etrafında toplamak </w:t>
      </w:r>
      <w:r w:rsidRPr="00F42596">
        <w:rPr>
          <w:rFonts w:ascii="Times New Roman" w:eastAsia="Times New Roman" w:hAnsi="Times New Roman" w:cs="Times New Roman"/>
          <w:kern w:val="0"/>
          <w:sz w:val="24"/>
          <w:szCs w:val="24"/>
          <w:lang w:eastAsia="tr-TR"/>
          <w14:ligatures w14:val="none"/>
        </w:rPr>
        <w:lastRenderedPageBreak/>
        <w:t xml:space="preserve">ve okuyuş alanını bu müşterek zemine göre yeniden düzenlemektir. Bu sebeple resm-i Osmânî, ümmetin müşterek mushaf bilincini tesis eden, ihtilafı azaltan ve metinsel otoriteyi sahâbe </w:t>
      </w:r>
      <w:r w:rsidRPr="00877CC4">
        <w:rPr>
          <w:rFonts w:ascii="Times New Roman" w:eastAsia="Times New Roman" w:hAnsi="Times New Roman" w:cs="Times New Roman"/>
          <w:kern w:val="0"/>
          <w:sz w:val="24"/>
          <w:szCs w:val="24"/>
          <w:lang w:eastAsia="tr-TR"/>
          <w14:ligatures w14:val="none"/>
        </w:rPr>
        <w:t>icmâı</w:t>
      </w:r>
      <w:r w:rsidRPr="00F42596">
        <w:rPr>
          <w:rFonts w:ascii="Times New Roman" w:eastAsia="Times New Roman" w:hAnsi="Times New Roman" w:cs="Times New Roman"/>
          <w:kern w:val="0"/>
          <w:sz w:val="24"/>
          <w:szCs w:val="24"/>
          <w:lang w:eastAsia="tr-TR"/>
          <w14:ligatures w14:val="none"/>
        </w:rPr>
        <w:t xml:space="preserve"> ile güçlendiren kurucu bir çerçeve olarak </w:t>
      </w:r>
      <w:r w:rsidR="006F7A27" w:rsidRPr="006F7A27">
        <w:rPr>
          <w:rFonts w:asciiTheme="majorBidi" w:hAnsiTheme="majorBidi" w:cstheme="majorBidi"/>
          <w:color w:val="FF0000"/>
          <w:sz w:val="24"/>
          <w:szCs w:val="24"/>
        </w:rPr>
        <w:t>değerlendirilebilir.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