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Bu sorular birbirinden bağımsız değildir.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Kitabın hareket noktası, resm-i Osmânî’nin kırâatleri meydana getiren bağımsız bir kaynak olmadığıdır. Çalışmada kırâatin aslî dayanağı, telakki ve müşâfehe yoluyla sürdürülen, edâ ve isnadla denetlenen rivâyet geleneği olarak kabul edilmektedir.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sebeple her mushaf yazısı resm-i Osmânî olmadığı gibi, resm-i mushaf ile resm-i Osmânî de bütün bağlamlarda birbirinin yerine kullanılamaz.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w:t>
      </w:r>
      <w:r w:rsidR="006572ED">
        <w:rPr>
          <w:rFonts w:ascii="Times New Roman" w:eastAsia="Times New Roman" w:hAnsi="Times New Roman" w:cs="Times New Roman"/>
          <w:kern w:val="0"/>
          <w:sz w:val="24"/>
          <w:szCs w:val="24"/>
          <w14:ligatures w14:val="none"/>
        </w:rPr>
        <w:t>m</w:t>
      </w:r>
      <w:r w:rsidRPr="00F42596">
        <w:rPr>
          <w:rFonts w:ascii="Times New Roman" w:eastAsia="Times New Roman" w:hAnsi="Times New Roman" w:cs="Times New Roman"/>
          <w:kern w:val="0"/>
          <w:sz w:val="24"/>
          <w:szCs w:val="24"/>
          <w14:ligatures w14:val="none"/>
        </w:rPr>
        <w:t xml:space="preserve">ushaf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 dil bakımından mümkün olan her seslendirme anlamına gelmez. 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Bir kırâat imamına nispet edilen genel okuyuş sistemi, bu okuyuşun belirli bir râvi üzerinden aktarılan rivâyeti ve </w:t>
      </w:r>
      <w:r w:rsidRPr="001C509C">
        <w:rPr>
          <w:rFonts w:ascii="Times New Roman" w:eastAsia="Times New Roman" w:hAnsi="Times New Roman" w:cs="Times New Roman"/>
          <w:kern w:val="0"/>
          <w:sz w:val="24"/>
          <w:szCs w:val="24"/>
          <w14:ligatures w14:val="none"/>
        </w:rPr>
        <w:t>râviden</w:t>
      </w:r>
      <w:r w:rsidRPr="00F42596">
        <w:rPr>
          <w:rFonts w:ascii="Times New Roman" w:eastAsia="Times New Roman" w:hAnsi="Times New Roman" w:cs="Times New Roman"/>
          <w:kern w:val="0"/>
          <w:sz w:val="24"/>
          <w:szCs w:val="24"/>
          <w14:ligatures w14:val="none"/>
        </w:rPr>
        <w:t xml:space="preserve"> sonraki nakil k</w:t>
      </w:r>
      <w:r w:rsidR="00A54E9E">
        <w:rPr>
          <w:rFonts w:ascii="Times New Roman" w:eastAsia="Times New Roman" w:hAnsi="Times New Roman" w:cs="Times New Roman"/>
          <w:kern w:val="0"/>
          <w:sz w:val="24"/>
          <w:szCs w:val="24"/>
          <w14:ligatures w14:val="none"/>
        </w:rPr>
        <w:t>ollarını gösteren tarî</w:t>
      </w:r>
      <w:r w:rsidRPr="00F42596">
        <w:rPr>
          <w:rFonts w:ascii="Times New Roman" w:eastAsia="Times New Roman" w:hAnsi="Times New Roman" w:cs="Times New Roman"/>
          <w:kern w:val="0"/>
          <w:sz w:val="24"/>
          <w:szCs w:val="24"/>
          <w14:ligatures w14:val="none"/>
        </w:rPr>
        <w:t>klerle aynı düzeyde değildir. Vecih i</w:t>
      </w:r>
      <w:r w:rsidR="00F2676C">
        <w:rPr>
          <w:rFonts w:ascii="Times New Roman" w:eastAsia="Times New Roman" w:hAnsi="Times New Roman" w:cs="Times New Roman"/>
          <w:kern w:val="0"/>
          <w:sz w:val="24"/>
          <w:szCs w:val="24"/>
          <w14:ligatures w14:val="none"/>
        </w:rPr>
        <w:t>se belirli bir rivâyet veya tarî</w:t>
      </w:r>
      <w:r w:rsidRPr="00F42596">
        <w:rPr>
          <w:rFonts w:ascii="Times New Roman" w:eastAsia="Times New Roman" w:hAnsi="Times New Roman" w:cs="Times New Roman"/>
          <w:kern w:val="0"/>
          <w:sz w:val="24"/>
          <w:szCs w:val="24"/>
          <w14:ligatures w14:val="none"/>
        </w:rPr>
        <w:t xml:space="preserve">k içinde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bakımından c</w:t>
      </w:r>
      <w:r w:rsidR="00080A29">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iz görülen uygulama seçeneğini belirtir.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’l-Kur’ân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 xml:space="preserve">mam </w:t>
      </w:r>
      <w:r w:rsidR="006572ED">
        <w:rPr>
          <w:rFonts w:ascii="Times New Roman" w:eastAsia="Times New Roman" w:hAnsi="Times New Roman" w:cs="Times New Roman"/>
          <w:kern w:val="0"/>
          <w:sz w:val="24"/>
          <w:szCs w:val="24"/>
          <w:lang w:eastAsia="tr-TR"/>
          <w14:ligatures w14:val="none"/>
        </w:rPr>
        <w:t>m</w:t>
      </w:r>
      <w:r w:rsidRPr="006572ED">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esas alınarak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w:t>
      </w:r>
      <w:r w:rsidRPr="00F42596">
        <w:rPr>
          <w:rFonts w:ascii="Times New Roman" w:eastAsia="Times New Roman" w:hAnsi="Times New Roman" w:cs="Times New Roman"/>
          <w:kern w:val="0"/>
          <w:sz w:val="24"/>
          <w:szCs w:val="24"/>
          <w:lang w:eastAsia="tr-TR"/>
          <w14:ligatures w14:val="none"/>
        </w:rPr>
        <w:t xml:space="preserve"> esas alınarak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ulûmu’l-Kur’ân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-Kur’ân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ulûmu’l-Kur’ân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aktarılmaktadır.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aktarılmaktadır;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zikredilmektedir;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almaktadır;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aktarmaktadır.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Resm-i Osmânî'ye bağlılığın tarihsel ve normatif gerekçeleri bu şekilde ayrıştırıldıktan sonra, resmin kırâat ilmindeki somut kullanım alanlarına dönmek gerekir. Dördüncü bölüm, resmin kırâat rivâyetlerinin tespiti ve tahdidi, sahâbe mushafları, şâz okuyuşlar, tercih, tevcîh ve sonraki mushaf neşriyle ilişkisini bu açıdan ele almaktadır.</w:t>
      </w: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Bu bağlamda “Kırâat sünnettir.” sözü ile Ebû Amr b. el-A‘lâ'dan nakledilen ifade, kırâat aktarımında rivâyet ve telakkinin merkezî konumuna işaret etmektedir.</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567795">
        <w:rPr>
          <w:rFonts w:ascii="Times New Roman" w:eastAsia="Times New Roman" w:hAnsi="Times New Roman" w:cs="Times New Roman"/>
          <w:i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802A1">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Birinci Bölümde ayrıntıları verilen cem ve istinsah süreci bakımından burada vurgulanması gereken husus şudur: Osmânî mushafların yazılı çerçevesi, rivâyetle sabit ve müşterek kabul gören okuyuşların kaydedildiği tarihsel zemini oluşturmuştur; yazı bu okuyuşları üretmemiş, rivâyet edilen metni müşterek mushaf biçiminde kayda geçirmiştir.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kırâat rivâyetlerini meydana getiren bağımsız bir kaynak değildir. Bununla birlikte mushaf hattına uygunluk, rivâyetle nakledilen okuyuşların müşterek mushaf yazısıyla bağdaşma durumunu değerlendirmede kullanılan önemli ölçütlerden biridir.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F4D5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durum, resmin okuyuşları seçen bağımsız bir özne olduğunu değil, rivâyet edilen okuyuşların müşterek yazılı çerçeveyle uyumunun değerlendirilmesine katkı sağladığını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Okuyuşun varlığı ve edâsı rivâyet yoluyla bilinir; resm ise bu okuyuşun Osmânî mushafların yazılı çerçevesi içindeki konumunu değerlendirmeye katkı sağlar.</w:t>
      </w:r>
      <w:proofErr w:type="gramStart"/>
      <w:r w:rsidRPr="002F604F">
        <w:rPr>
          <w:rFonts w:ascii="Times New Roman" w:eastAsia="Times New Roman" w:hAnsi="Times New Roman" w:cs="Times New Roman"/>
          <w:kern w:val="0"/>
          <w:sz w:val="24"/>
          <w:szCs w:val="24"/>
          <w:lang w:eastAsia="tr-TR"/>
          <w14:ligatures w14:val="none"/>
        </w:rPr>
        <w:t/>
      </w:r>
      <w:r w:rsidR="00BD634C" w:rsidRPr="00567795">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 ümmetin müşterek yazılı başvuru zemini hâline gelirken, sahâbeye nispet edilen şahsî mushaflar erken dönemdeki okuyuş, tertip ve yazım çeşitliliğine ilişkin tarihsel veriler sunmaktadır. Bu iki malzemenin işlev ve otorite düzeyi aynı değildir. Bir sonraki başlık bu farkı ele almaktadır.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farklılıkları tek bir kategori altında değerlendirilmemelidir. Kaynaklarda farklı okuyuş rivâyetleri, açıklayıcı veya tefsirî ifadeler, kelime tertibi yahut yazım biçimine ilişkin aktarımlar ve isnadı veya yorumu tartışmalı kayıtlar birlikte yer almaktadır. Bu malzemenin tarihsel değeri, erken dönemdeki okuyuş ve yazı çeşitliliğine dair veri sunmasındadır. Buna karşılık ümmetin müşterek mushaf geleneğinde normatif ölçü, Osmânî mushafların yazılı çerçevesi ile sahih rivâyetin birlikte değerlendirilmesi üzerinden şekillenmiştir.</w:t>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w:t>
      </w:r>
      <w:r w:rsidRPr="006762F7">
        <w:rPr>
          <w:rFonts w:ascii="Times New Roman" w:eastAsia="Times New Roman" w:hAnsi="Times New Roman" w:cs="Times New Roman"/>
          <w:color w:val="FF0000"/>
          <w:kern w:val="0"/>
          <w:sz w:val="24"/>
          <w:szCs w:val="24"/>
          <w:lang w:eastAsia="tr-TR"/>
          <w14:ligatures w14:val="none"/>
        </w:rPr>
        <w:t xml:space="preserve"/>
      </w:r>
      <w:r w:rsidR="002700F3" w:rsidRPr="006762F7">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İbn Mes‘ûd'a nispet edilen rivâyetler, onun istinsah süreci ve kendi mushafıyla ilişkili bazı itirazlarının bulunduğunu göstermektedir. Bu tavrın hangi psikolojik saikle ortaya çıktığını kesin biçimde belirlemek yerine, nakledilen söz ve uygulamalar kendi tarihsel bağlamları içinde değerlendirilmelidir.</w:t>
      </w:r>
      <w:r w:rsidR="008067E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7A27">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6F7A2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1A5BA6">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rivâyetleri, erken Kur’an aktarımında bulunan okuyuş, tertip ve yazım çeşitliliğini incelemek bakımından önemlidir. Bununla birlikte sonraki müşterek mushaf geleneğinin normatif zemini Osmânî mushaflar etrafında şekillenmiştir. Bu sebeple şahsî mushaf rivâyetleri tarihsel tanıklık ile normatif metin otoritesi birbirine karıştırılmadan kullanılmalıdır.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Şenbûz'a nispet edilen uygulamalar, kırâatlerin kamusal icrası ve kabul ölçütleri bağlamında tartışılmıştır. Bu örneği yalnız resm-i Osmânî'ye aykırılık üzerinden açıklamak yeterli değildir; naklin durumu, müşterek mushaf geleneği ve dönemin kırâat anlayışı birlikte dikkate alınmalıdır. Resme uygunluk bu değerlendirmede önemli bir unsur olmakla birlikte tek başına sahihlik veya şâzlık hükmü veren bağımsız ölçü değildir.</w:t>
      </w:r>
      <w:r w:rsidR="0040487F">
        <w:rPr>
          <w:rStyle w:val="DipnotBavurusu"/>
          <w:rFonts w:ascii="Times New Roman" w:eastAsia="Times New Roman" w:hAnsi="Times New Roman" w:cs="Times New Roman"/>
          <w:kern w:val="0"/>
          <w:sz w:val="24"/>
          <w:szCs w:val="24"/>
          <w:lang w:eastAsia="tr-TR"/>
          <w14:ligatures w14:val="none"/>
        </w:rPr>
        <w:footnoteReference w:id="391"/>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mushaf hattına aykırı olan kırâat vecihlerinin tedricen şâz kategorisine sevk edildiği görülmektedir. Rivâyetleri sahih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hattına uymayan okuyuşlar fi</w:t>
      </w:r>
      <w:r w:rsidR="0080348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lî kırâat alanının dışına çıkarılmış ve zamanla “şâz kırâat” adıyla anılmaya başlanmıştır.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Dolayısıyla bu yaklaşım, mushaf hattının kırâat ilminde pasif bir unsur olmadığını; sahih ile şâz arasındaki çizgiyi belirleyen bağlayıcı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geldiğini göstermektedir.</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ışığında,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aykırı kırâat vecihlerinin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ve şâz sayılması meselesinin, mushaf hattının kırâat ilmindeki merkezî konumunu gösterdiği anlaşılmaktadır. Burada üç temel sonuç dikkat çekmektedir</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 mushaf hattına aykırı kalan vecihlerin bir kısmı, geçmişte ruhsat kapsamında bulunmuş olsa da, son arza ve sahâbe icmâı ile bağlayıcılığını yitirmiş kabul edilmiştir. İkincisi, bu vecihler sadece amel dışı bırakılmamış, aynı zamanda şâz kategorisine dâhil edilerek müşterek kırâat alanının dışına çıkarılmıştır. Üçüncüsü ise, mushaf hattına uygunluk şartı ibadet alanına kadar taşınmış ve namazda okunabilecek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sınırları da bu ölçüyle belirlenmiştir. Bu itibarla resm-i Osmânî, kırâat ilminde sadece tarihî bir yazı düzeni olarak değerlendirilmemeli; makbul kırâat ile bağlayıcılığını kaybetmiş rivâyetler arasındaki çizgiyi tayin eden kurucu bir </w:t>
      </w:r>
      <w:r w:rsidR="00CC694A">
        <w:rPr>
          <w:rFonts w:ascii="Times New Roman" w:eastAsia="Times New Roman" w:hAnsi="Times New Roman" w:cs="Times New Roman"/>
          <w:kern w:val="0"/>
          <w:sz w:val="24"/>
          <w:szCs w:val="24"/>
          <w:lang w:eastAsia="tr-TR"/>
          <w14:ligatures w14:val="none"/>
        </w:rPr>
        <w:t xml:space="preserve">referans </w:t>
      </w:r>
      <w:r w:rsidR="00CC694A" w:rsidRPr="00CC694A">
        <w:rPr>
          <w:rFonts w:asciiTheme="majorBidi" w:hAnsiTheme="majorBidi" w:cstheme="majorBidi"/>
          <w:color w:val="FF0000"/>
          <w:sz w:val="24"/>
          <w:szCs w:val="24"/>
        </w:rPr>
        <w:t>işlevi gördüğü anlaşılmaktadır</w:t>
      </w:r>
      <w:r w:rsidRPr="00CC694A">
        <w:rPr>
          <w:rFonts w:asciiTheme="majorBidi" w:eastAsia="Times New Roman" w:hAnsiTheme="majorBidi" w:cstheme="majorBidi"/>
          <w:color w:val="FF0000"/>
          <w:kern w:val="0"/>
          <w:sz w:val="24"/>
          <w:szCs w:val="24"/>
          <w:lang w:eastAsia="tr-TR"/>
          <w14:ligatures w14:val="none"/>
        </w:rPr>
        <w:t>.</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nin Kırâatlerin </w:t>
      </w:r>
      <w:r w:rsidRPr="00E65633">
        <w:rPr>
          <w:rFonts w:ascii="Times New Roman" w:eastAsia="Times New Roman" w:hAnsi="Times New Roman" w:cs="Times New Roman"/>
          <w:b/>
          <w:bCs/>
          <w:kern w:val="0"/>
          <w:sz w:val="26"/>
          <w:szCs w:val="26"/>
          <w:lang w:eastAsia="tr-TR"/>
          <w14:ligatures w14:val="none"/>
        </w:rPr>
        <w:t>Tercîhî</w:t>
      </w:r>
      <w:r w:rsidRPr="00F42596">
        <w:rPr>
          <w:rFonts w:ascii="Times New Roman" w:eastAsia="Times New Roman" w:hAnsi="Times New Roman" w:cs="Times New Roman"/>
          <w:b/>
          <w:bCs/>
          <w:kern w:val="0"/>
          <w:sz w:val="26"/>
          <w:szCs w:val="26"/>
          <w:lang w:eastAsia="tr-TR"/>
          <w14:ligatures w14:val="none"/>
        </w:rPr>
        <w:t xml:space="preserve">, </w:t>
      </w:r>
      <w:r w:rsidRPr="00F13E9D">
        <w:rPr>
          <w:rFonts w:ascii="Times New Roman" w:eastAsia="Times New Roman" w:hAnsi="Times New Roman" w:cs="Times New Roman"/>
          <w:b/>
          <w:bCs/>
          <w:kern w:val="0"/>
          <w:sz w:val="26"/>
          <w:szCs w:val="26"/>
          <w:lang w:eastAsia="tr-TR"/>
          <w14:ligatures w14:val="none"/>
        </w:rPr>
        <w:t>Tevcîh</w:t>
      </w:r>
      <w:r w:rsidR="00F13E9D">
        <w:rPr>
          <w:rFonts w:ascii="Times New Roman" w:eastAsia="Times New Roman" w:hAnsi="Times New Roman" w:cs="Times New Roman"/>
          <w:b/>
          <w:bCs/>
          <w:kern w:val="0"/>
          <w:sz w:val="26"/>
          <w:szCs w:val="26"/>
          <w:lang w:eastAsia="tr-TR"/>
          <w14:ligatures w14:val="none"/>
        </w:rPr>
        <w:t>i</w:t>
      </w:r>
      <w:r w:rsidRPr="00F42596">
        <w:rPr>
          <w:rFonts w:ascii="Times New Roman" w:eastAsia="Times New Roman" w:hAnsi="Times New Roman" w:cs="Times New Roman"/>
          <w:b/>
          <w:bCs/>
          <w:kern w:val="0"/>
          <w:sz w:val="26"/>
          <w:szCs w:val="26"/>
          <w:lang w:eastAsia="tr-TR"/>
          <w14:ligatures w14:val="none"/>
        </w:rPr>
        <w:t xml:space="preserve"> ve Vakıf Uygulamalarına Etkisi</w:t>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etkinin ilk ve en belirgin tezahürü, kırâat imamlarının yaptıkları ihtiyarlarda görülmektedir. Sahâbenin okuduğu bütün vecihlerin umum kurrâ tarafından bütünüyle kuşatılması mümkün olmadığından, İslâm beldelerinin her biri tâbiîn döneminde bir kırâat imamına yönelmiş ve o imamın tercih ettiği okuyuşlar etrafında istikrar kazanmıştır. Ancak bu tercihler rastgele yahut keyfî biç</w:t>
      </w:r>
      <w:r w:rsidR="00F33826">
        <w:rPr>
          <w:rFonts w:ascii="Times New Roman" w:eastAsia="Times New Roman" w:hAnsi="Times New Roman" w:cs="Times New Roman"/>
          <w:kern w:val="0"/>
          <w:sz w:val="24"/>
          <w:szCs w:val="24"/>
          <w:lang w:eastAsia="tr-TR"/>
          <w14:ligatures w14:val="none"/>
        </w:rPr>
        <w:t>imde yapılmamıştır.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Böylece resm-i Osmânî, kırâat imamlarının ihtiyarında sessiz fakat belirleyici bir ölçü işlevi görmüştür.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Burada mushaf hattına uygunluk, yazılı şekle bağlı kalma düşüncesinin ötesinde, ümmetin üzerinde birleştiği kırâat alanının dışına çıkmama hassasiyeti olarak da anlaşılmaktadır.</w:t>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kırâat ilmindeki tesiri, yalnız kırâat vecihlerinin kabulü ve tercihiyle sınırlı kalmamış; vakıf uygulamalarına ve edâ tercihlerine kadar uzanan daha geniş bir alanda da belirginleşmiştir. Nitekim kırâat geleneğinde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vakıf, ilk bakışta sadece ses icrasıyla ilgili bir mesele gibi görünse de, gerçekte mushaf hattıyla doğrudan irtibatlandırılmıştır. Çünkü kelimenin son harfinin nasıl değerlendirileceği, hazif ve isbatın nasıl uygulanacağı, ayrıca iki kelimenin bitişik yahut ayrı yazılmış olmasının vakfa nasıl yansıyacağı gibi hususlar, çoğu zaman mushaf resmine göre tayin edilmiştir. </w:t>
      </w:r>
      <w:r w:rsidRPr="004A10DF">
        <w:rPr>
          <w:rFonts w:ascii="Times New Roman" w:eastAsia="Times New Roman" w:hAnsi="Times New Roman" w:cs="Times New Roman"/>
          <w:color w:val="FF0000"/>
          <w:kern w:val="0"/>
          <w:sz w:val="24"/>
          <w:szCs w:val="24"/>
          <w:lang w:eastAsia="tr-TR"/>
          <w14:ligatures w14:val="none"/>
        </w:rPr>
        <w:t xml:space="preserve">Bu sebeple resm-i </w:t>
      </w:r>
      <w:r w:rsidR="004A10DF" w:rsidRPr="004A10DF">
        <w:rPr>
          <w:rFonts w:ascii="Times New Roman" w:eastAsia="Times New Roman" w:hAnsi="Times New Roman" w:cs="Times New Roman"/>
          <w:color w:val="FF0000"/>
          <w:kern w:val="0"/>
          <w:sz w:val="24"/>
          <w:szCs w:val="24"/>
          <w:lang w:eastAsia="tr-TR"/>
          <w14:ligatures w14:val="none"/>
        </w:rPr>
        <w:t xml:space="preserve">Mushaf, </w:t>
      </w:r>
      <w:r w:rsidRPr="004A10DF">
        <w:rPr>
          <w:rFonts w:ascii="Times New Roman" w:eastAsia="Times New Roman" w:hAnsi="Times New Roman" w:cs="Times New Roman"/>
          <w:color w:val="FF0000"/>
          <w:kern w:val="0"/>
          <w:sz w:val="24"/>
          <w:szCs w:val="24"/>
          <w:lang w:eastAsia="tr-TR"/>
          <w14:ligatures w14:val="none"/>
        </w:rPr>
        <w:t>okuyuşun fiilî icr</w:t>
      </w:r>
      <w:r w:rsidR="00877CC4" w:rsidRPr="004A10DF">
        <w:rPr>
          <w:rFonts w:ascii="Times New Roman" w:eastAsia="Times New Roman" w:hAnsi="Times New Roman" w:cs="Times New Roman"/>
          <w:color w:val="FF0000"/>
          <w:kern w:val="0"/>
          <w:sz w:val="24"/>
          <w:szCs w:val="24"/>
          <w:lang w:eastAsia="tr-TR"/>
          <w14:ligatures w14:val="none"/>
        </w:rPr>
        <w:t>a</w:t>
      </w:r>
      <w:r w:rsidRPr="004A10DF">
        <w:rPr>
          <w:rFonts w:ascii="Times New Roman" w:eastAsia="Times New Roman" w:hAnsi="Times New Roman" w:cs="Times New Roman"/>
          <w:color w:val="FF0000"/>
          <w:kern w:val="0"/>
          <w:sz w:val="24"/>
          <w:szCs w:val="24"/>
          <w:lang w:eastAsia="tr-TR"/>
          <w14:ligatures w14:val="none"/>
        </w:rPr>
        <w:t>sına yön veren bağlayıcı bir ölçü olarak karşımıza çıkmaktadır.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 (</w:t>
      </w:r>
      <w:r w:rsidRPr="007A383B">
        <w:rPr>
          <w:rFonts w:ascii="Times New Roman" w:eastAsia="Times New Roman" w:hAnsi="Times New Roman" w:cs="Times New Roman"/>
          <w:color w:val="FF0000"/>
          <w:kern w:val="0"/>
          <w:sz w:val="24"/>
          <w:szCs w:val="24"/>
          <w:lang w:eastAsia="tr-TR"/>
          <w14:ligatures w14:val="none"/>
        </w:rPr>
        <w:t>ö. 440/1048</w:t>
      </w:r>
      <w:r w:rsidR="007A383B" w:rsidRPr="007A383B">
        <w:rPr>
          <w:rFonts w:ascii="Times New Roman" w:eastAsia="Times New Roman" w:hAnsi="Times New Roman" w:cs="Times New Roman"/>
          <w:color w:val="FF0000"/>
          <w:kern w:val="0"/>
          <w:sz w:val="24"/>
          <w:szCs w:val="24"/>
          <w:lang w:eastAsia="tr-TR"/>
          <w14:ligatures w14:val="none"/>
        </w:rPr>
        <w:t xml:space="preserve"> </w:t>
      </w:r>
      <w:r w:rsidR="007A383B">
        <w:rPr>
          <w:rFonts w:ascii="Times New Roman" w:eastAsia="Times New Roman" w:hAnsi="Times New Roman" w:cs="Times New Roman"/>
          <w:color w:val="FF0000"/>
          <w:kern w:val="0"/>
          <w:sz w:val="24"/>
          <w:szCs w:val="24"/>
          <w:lang w:eastAsia="tr-TR"/>
          <w14:ligatures w14:val="none"/>
        </w:rPr>
        <w:t>daha önce geçmişmi</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bilgisinin yalnız yazı </w:t>
      </w:r>
      <w:r w:rsidRPr="00F42596">
        <w:rPr>
          <w:rFonts w:ascii="Times New Roman" w:eastAsia="Times New Roman" w:hAnsi="Times New Roman" w:cs="Times New Roman"/>
          <w:kern w:val="0"/>
          <w:sz w:val="24"/>
          <w:szCs w:val="24"/>
          <w:lang w:eastAsia="tr-TR"/>
          <w14:ligatures w14:val="none"/>
        </w:rPr>
        <w:lastRenderedPageBreak/>
        <w:t>tarihine ilişkin yardımcı tali bir veri alanı şeklinde görülmemesi gerektiğini; bilakis kırâat farklılıklarının anlaşılması için kurucu bir zemin teşkil ettiğini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Nitekim bir grup imamın, kurrânın, âlimin, kâti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in ve edi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 xml:space="preserve">in mushaf hattındaki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bilmeleri, ona uymaları ve onu aşmamaları gerektiğini vurgulaması da aynı anlayışın devamıdır. Çünkü onlara göre bu yazı, vahiy kâtibi ve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sûlullah’ın</w:t>
      </w:r>
      <w:r w:rsidRPr="00F42596">
        <w:rPr>
          <w:rFonts w:ascii="Times New Roman" w:eastAsia="Times New Roman" w:hAnsi="Times New Roman" w:cs="Times New Roman"/>
          <w:kern w:val="0"/>
          <w:sz w:val="24"/>
          <w:szCs w:val="24"/>
          <w:lang w:eastAsia="tr-TR"/>
          <w14:ligatures w14:val="none"/>
        </w:rPr>
        <w:t xml:space="preserve"> emini olan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idir; onun yazdığı hiçbir şey hikmetsiz ve ince bir illetten yoksun değildir. Böylece resm-i mushaf, korunmuş bir yazı biçiminin ötesinde, güvenilir naklin </w:t>
      </w:r>
      <w:r w:rsidRPr="006565C3">
        <w:rPr>
          <w:rFonts w:ascii="Times New Roman" w:eastAsia="Times New Roman" w:hAnsi="Times New Roman" w:cs="Times New Roman"/>
          <w:kern w:val="0"/>
          <w:sz w:val="24"/>
          <w:szCs w:val="24"/>
          <w:lang w:eastAsia="tr-TR"/>
          <w14:ligatures w14:val="none"/>
        </w:rPr>
        <w:t>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zemini olarak değerlendirilmektedir.</w:t>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w:t>
      </w:r>
      <w:r w:rsidRPr="009B3EC0">
        <w:rPr>
          <w:rFonts w:ascii="Times New Roman" w:eastAsia="Times New Roman" w:hAnsi="Times New Roman" w:cs="Times New Roman"/>
          <w:color w:val="FF0000"/>
          <w:kern w:val="0"/>
          <w:sz w:val="24"/>
          <w:szCs w:val="24"/>
          <w:lang w:eastAsia="tr-TR"/>
          <w14:ligatures w14:val="none"/>
        </w:rPr>
        <w:t>ö. 154/771</w:t>
      </w:r>
      <w:r w:rsidR="009B3EC0" w:rsidRPr="009B3EC0">
        <w:rPr>
          <w:rFonts w:ascii="Times New Roman" w:eastAsia="Times New Roman" w:hAnsi="Times New Roman" w:cs="Times New Roman"/>
          <w:color w:val="FF0000"/>
          <w:kern w:val="0"/>
          <w:sz w:val="24"/>
          <w:szCs w:val="24"/>
          <w:lang w:eastAsia="tr-TR"/>
          <w14:ligatures w14:val="none"/>
        </w:rPr>
        <w:t xml:space="preserve"> </w:t>
      </w:r>
      <w:r w:rsidR="009B3EC0">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Zuhruf sûresin</w:t>
      </w:r>
      <w:r w:rsidR="00055D2E">
        <w:rPr>
          <w:rFonts w:ascii="Times New Roman" w:eastAsia="Times New Roman" w:hAnsi="Times New Roman" w:cs="Times New Roman"/>
          <w:kern w:val="0"/>
          <w:sz w:val="24"/>
          <w:szCs w:val="24"/>
          <w:lang w:eastAsia="tr-TR"/>
          <w14:ligatures w14:val="none"/>
        </w:rPr>
        <w:t xml:space="preserve">de geçen,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denilebilir ki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hecâsına dair rivâyetler, yalnız yazı tarihine ilişkin malumat sunan tali veriler değildir. Aksine bunlar, kırâat ihtilaflarının tespiti, sınırlarının belirlenmesi ve yorumlanmasında kurucu işleve sahiptir. Bir taraftan mushaflar arasındaki yazım farklılıklarının sahih rivâyet temelinde anlaşılmasını sağlamakta, diğer taraftan kırâat vecihlerinin hangi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 üzerinde okunup aktarıldığını göstermektedir. Bu sebeple resm rivâyetleri, kırâat ilminin kenarında duran yardımcı bir alan sayılmamalı; kırâat rivâyetlerinin tarihi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meşruiyeti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farklılık yapısını açıklayan temel bilgi kaynaklarından biri olarak değerlendirilmelidir.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w:t>
      </w:r>
      <w:r w:rsidRPr="00EB5050">
        <w:rPr>
          <w:rFonts w:ascii="Times New Roman" w:eastAsia="Times New Roman" w:hAnsi="Times New Roman" w:cs="Times New Roman"/>
          <w:color w:val="FF0000"/>
          <w:kern w:val="0"/>
          <w:sz w:val="24"/>
          <w:szCs w:val="24"/>
          <w:lang w:eastAsia="tr-TR"/>
          <w14:ligatures w14:val="none"/>
        </w:rPr>
        <w:t>. 442/10509</w:t>
      </w:r>
      <w:r w:rsidR="00EB5050" w:rsidRPr="00EB5050">
        <w:rPr>
          <w:rFonts w:ascii="Times New Roman" w:eastAsia="Times New Roman" w:hAnsi="Times New Roman" w:cs="Times New Roman"/>
          <w:color w:val="FF0000"/>
          <w:kern w:val="0"/>
          <w:sz w:val="24"/>
          <w:szCs w:val="24"/>
          <w:lang w:eastAsia="tr-TR"/>
          <w14:ligatures w14:val="none"/>
        </w:rPr>
        <w:t xml:space="preserve"> </w:t>
      </w:r>
      <w:r w:rsidR="00EB5050" w:rsidRPr="00793B2A">
        <w:rPr>
          <w:rFonts w:ascii="Times New Roman" w:eastAsia="Times New Roman" w:hAnsi="Times New Roman" w:cs="Times New Roman"/>
          <w:color w:val="FF0000"/>
          <w:kern w:val="0"/>
          <w:sz w:val="24"/>
          <w:szCs w:val="24"/>
          <w:lang w:eastAsia="tr-TR"/>
          <w14:ligatures w14:val="none"/>
        </w:rPr>
        <w:t>daha önce geçti mi</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 (</w:t>
      </w:r>
      <w:r w:rsidRPr="00C9186B">
        <w:rPr>
          <w:rFonts w:ascii="Times New Roman" w:eastAsia="Times New Roman" w:hAnsi="Times New Roman" w:cs="Times New Roman"/>
          <w:color w:val="FF0000"/>
          <w:kern w:val="0"/>
          <w:sz w:val="24"/>
          <w:szCs w:val="24"/>
          <w:lang w:eastAsia="tr-TR"/>
          <w14:ligatures w14:val="none"/>
        </w:rPr>
        <w:t>ö. 642/1244</w:t>
      </w:r>
      <w:r w:rsidR="00C9186B" w:rsidRPr="00C9186B">
        <w:rPr>
          <w:rFonts w:ascii="Times New Roman" w:eastAsia="Times New Roman" w:hAnsi="Times New Roman" w:cs="Times New Roman"/>
          <w:color w:val="FF0000"/>
          <w:kern w:val="0"/>
          <w:sz w:val="24"/>
          <w:szCs w:val="24"/>
          <w:lang w:eastAsia="tr-TR"/>
          <w14:ligatures w14:val="none"/>
        </w:rPr>
        <w:t xml:space="preserve"> </w:t>
      </w:r>
      <w:r w:rsidR="00C9186B" w:rsidRPr="00793B2A">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w:t>
      </w:r>
      <w:r w:rsidR="0035357E">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hattı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dair görüşlerin günümüzde basılan, kırâat rivâyetlerine göre düzenlenmiş mushaflarda uygulanan yazı sisteminin teorik arka planını oluşturmaktadır. Tevk</w:t>
      </w:r>
      <w:r w:rsidR="00BF704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fîlik, bağlayıcılık ve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düşüncesi ne kadar güçlü kabul edilirse, matbu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muhafaza etme eğilimi de o ölçüde güçlenmektedir. Buna karşılık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daha çok tarihî veya teknik bir alan olarak gören yaklaşımlar, çağdaş yazı kurallarına daha yakın basım tercihlerine kapı aralayabilmektedir. Bu sebeple bugün belirli kırâat rivâyetleri esas alınarak basılan mushaflarda görülen uygulama farklılıkları, yalnız baskı tekniğiyle ilgili bir mesele olmayıp resm-i Osmânî hakkında benimsenen nazariyenin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sonucudur. Böylece erken dönemde şekillenen </w:t>
      </w:r>
      <w:r w:rsidR="00612855">
        <w:rPr>
          <w:rFonts w:ascii="Times New Roman" w:eastAsia="Times New Roman" w:hAnsi="Times New Roman" w:cs="Times New Roman"/>
          <w:kern w:val="0"/>
          <w:sz w:val="24"/>
          <w:szCs w:val="24"/>
          <w:lang w:eastAsia="tr-TR"/>
          <w14:ligatures w14:val="none"/>
        </w:rPr>
        <w:t>res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görülmektedir.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960170">
        <w:rPr>
          <w:rFonts w:ascii="Times New Roman" w:eastAsia="Times New Roman" w:hAnsi="Times New Roman" w:cs="Times New Roman"/>
          <w:color w:val="FF0000"/>
          <w:kern w:val="0"/>
          <w:sz w:val="24"/>
          <w:szCs w:val="24"/>
          <w:lang w:eastAsia="tr-TR"/>
          <w14:ligatures w14:val="none"/>
        </w:rPr>
        <w:t>Bütün bu veriler birlikte değerlendirildiğinde</w:t>
      </w:r>
      <w:r w:rsidRPr="00F42596">
        <w:rPr>
          <w:rFonts w:ascii="Times New Roman" w:eastAsia="Times New Roman" w:hAnsi="Times New Roman" w:cs="Times New Roman"/>
          <w:kern w:val="0"/>
          <w:sz w:val="24"/>
          <w:szCs w:val="24"/>
          <w:lang w:eastAsia="tr-TR"/>
          <w14:ligatures w14:val="none"/>
        </w:rPr>
        <w:t>, çağdaş matbu mushaflarda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gelişigüzel bir tercih olmadığı açıkça anlaşılmaktadır. Burada belirleyici olan husus, resm kaynaklarının güvenilirliği ve mushaf yazımında ölçü kabul edilmeleridir. Nitekim Dânî ile Ebû Dâ</w:t>
      </w:r>
      <w:r w:rsidR="00DD77AC">
        <w:rPr>
          <w:rFonts w:ascii="Times New Roman" w:eastAsia="Times New Roman" w:hAnsi="Times New Roman" w:cs="Times New Roman"/>
          <w:kern w:val="0"/>
          <w:sz w:val="24"/>
          <w:szCs w:val="24"/>
          <w:lang w:eastAsia="tr-TR"/>
          <w14:ligatures w14:val="none"/>
        </w:rPr>
        <w:t>vu</w:t>
      </w:r>
      <w:r w:rsidRPr="00F42596">
        <w:rPr>
          <w:rFonts w:ascii="Times New Roman" w:eastAsia="Times New Roman" w:hAnsi="Times New Roman" w:cs="Times New Roman"/>
          <w:kern w:val="0"/>
          <w:sz w:val="24"/>
          <w:szCs w:val="24"/>
          <w:lang w:eastAsia="tr-TR"/>
          <w14:ligatures w14:val="none"/>
        </w:rPr>
        <w:t xml:space="preserve">d </w:t>
      </w:r>
      <w:r w:rsidRPr="00302B74">
        <w:rPr>
          <w:rFonts w:ascii="Times New Roman" w:eastAsia="Times New Roman" w:hAnsi="Times New Roman" w:cs="Times New Roman"/>
          <w:kern w:val="0"/>
          <w:sz w:val="24"/>
          <w:szCs w:val="24"/>
          <w:lang w:eastAsia="tr-TR"/>
          <w14:ligatures w14:val="none"/>
        </w:rPr>
        <w:t>Süleymân</w:t>
      </w:r>
      <w:r w:rsidRPr="00F42596">
        <w:rPr>
          <w:rFonts w:ascii="Times New Roman" w:eastAsia="Times New Roman" w:hAnsi="Times New Roman" w:cs="Times New Roman"/>
          <w:kern w:val="0"/>
          <w:sz w:val="24"/>
          <w:szCs w:val="24"/>
          <w:lang w:eastAsia="tr-TR"/>
          <w14:ligatures w14:val="none"/>
        </w:rPr>
        <w:t xml:space="preserve"> b. Necâḥ’ın eserleri, yalnız geçmiş mushafların yazım özelliklerini nakleden tarihî kayıtlar olarak kalmamış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modern mushaf neşrinin fiilî temelini teşkil etmiştir. Bu sebeple günümüzde basılan mushaflarda görülen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yazım biçimi, klasik resm rivâyeti geleneğinin çağdaş döneme taşınmış de</w:t>
      </w:r>
      <w:r w:rsidR="00927B3E">
        <w:rPr>
          <w:rFonts w:ascii="Times New Roman" w:eastAsia="Times New Roman" w:hAnsi="Times New Roman" w:cs="Times New Roman"/>
          <w:kern w:val="0"/>
          <w:sz w:val="24"/>
          <w:szCs w:val="24"/>
          <w:lang w:eastAsia="tr-TR"/>
          <w14:ligatures w14:val="none"/>
        </w:rPr>
        <w:t>vamı olarak değerlendirilebilir</w:t>
      </w:r>
      <w:r w:rsidRPr="00F42596">
        <w:rPr>
          <w:rFonts w:ascii="Times New Roman" w:eastAsia="Times New Roman" w:hAnsi="Times New Roman" w:cs="Times New Roman"/>
          <w:kern w:val="0"/>
          <w:sz w:val="24"/>
          <w:szCs w:val="24"/>
          <w:lang w:eastAsia="tr-TR"/>
          <w14:ligatures w14:val="none"/>
        </w:rPr>
        <w:t>. Böylece modern matbu mushaflar ile ilk dönem mushaf yazımı arasında doğrudan rivâyet temelli bir süreklilik hattı kurulmuş olmaktadır.</w:t>
      </w:r>
    </w:p>
    <w:p w14:paraId="323564E5" w14:textId="1D8905D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çağdaş mushaf neşirlerinde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 üç temel amaca hizmet etmektedir. İlk olarak, mushaf yazımını ilk nesilden gelen rivâyet zincirine bağlı tutmaktadır. İkinci olarak, istinsah ve matbaa süreçlerinde doğabilecek keyfî yazım farklılıklarını önlemektedir. Üçüncü olarak ise, ümmetin elindeki matbu mushafları ortak bir yazı standardı etrafında toplayarak mushaf birliğini güçlendirmektedir. Bu</w:t>
      </w:r>
      <w:r w:rsidR="00927B3E">
        <w:rPr>
          <w:rFonts w:ascii="Times New Roman" w:eastAsia="Times New Roman" w:hAnsi="Times New Roman" w:cs="Times New Roman"/>
          <w:kern w:val="0"/>
          <w:sz w:val="24"/>
          <w:szCs w:val="24"/>
          <w:lang w:eastAsia="tr-TR"/>
          <w14:ligatures w14:val="none"/>
        </w:rPr>
        <w:t xml:space="preserve"> sebeple </w:t>
      </w:r>
      <w:r w:rsidR="00927B3E" w:rsidRPr="00927B3E">
        <w:rPr>
          <w:rFonts w:ascii="Times New Roman" w:eastAsia="Times New Roman" w:hAnsi="Times New Roman" w:cs="Times New Roman"/>
          <w:color w:val="FF0000"/>
          <w:kern w:val="0"/>
          <w:sz w:val="24"/>
          <w:szCs w:val="24"/>
          <w:lang w:eastAsia="tr-TR"/>
          <w14:ligatures w14:val="none"/>
        </w:rPr>
        <w:t xml:space="preserve">ilk dönem </w:t>
      </w:r>
      <w:r w:rsidRPr="00F42596">
        <w:rPr>
          <w:rFonts w:ascii="Times New Roman" w:eastAsia="Times New Roman" w:hAnsi="Times New Roman" w:cs="Times New Roman"/>
          <w:kern w:val="0"/>
          <w:sz w:val="24"/>
          <w:szCs w:val="24"/>
          <w:lang w:eastAsia="tr-TR"/>
          <w14:ligatures w14:val="none"/>
        </w:rPr>
        <w:t>resm kaynaklarına dönüş, modern dönemde yalnız filolojik bir tercih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otoritesini, güvenilirliğini ve yazıdaki sürekliliğini koruma teşebbüsü olarak değerlendirilmiştir. Böylece erken dönemde şekillenen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daha açık biçimde anlaşılmaktadır.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 tarihi boyunca mushaf istinsahı yalnız bir çoğaltma faaliyeti olarak görülmemiş, aynı zamanda güçlü bir hat ve yazı geleneği içinde gelişmiştir. Müstensihler ve hattatlar, güzel yazı, düzgün istinsah, tezhip ve tezyin hususunda birbirleriyle yarışmış; bu rekabet özellikle </w:t>
      </w:r>
      <w:r w:rsidR="00E3360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 şerifin yazımında belirginleşmiştir. Rivâyete göre Velîd b. Abdülmelik (ö. 96/715) devrinin meşhur hattatı Hâlid b. Ebü’l-Heyyâc’dan (?) kendisi için bir mushaf yazmasını istemiş, o da bu nüshada hattının inceliğini ve ustalığını göstermiştir. Daha sonraki dönemlerde İbn Mukle (ö. 328/940), İbnü’l-Bevvâb (ö. 413/1022) ve benzeri hattatlar da mushaf yazımı ve hat sanatında temayüz ederek bu geleneğin gelişmesine katkıda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Nitekim İbn Kesîr’in de işaret ettiği üzere, ilk dönemlerde yaygın olan yazı biçimi daha sade ve kapalı bir görünüm arz etm</w:t>
      </w:r>
      <w:r w:rsidR="00E3360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w:t>
      </w:r>
      <w:r w:rsidR="009C016C">
        <w:rPr>
          <w:rFonts w:ascii="Times New Roman" w:eastAsia="Times New Roman" w:hAnsi="Times New Roman" w:cs="Times New Roman"/>
          <w:kern w:val="0"/>
          <w:sz w:val="24"/>
          <w:szCs w:val="24"/>
          <w:lang w:eastAsia="tr-TR"/>
          <w14:ligatures w14:val="none"/>
        </w:rPr>
        <w:t>aha sonra İbn Mukle</w:t>
      </w:r>
      <w:r w:rsidRPr="00F42596">
        <w:rPr>
          <w:rFonts w:ascii="Times New Roman" w:eastAsia="Times New Roman" w:hAnsi="Times New Roman" w:cs="Times New Roman"/>
          <w:kern w:val="0"/>
          <w:sz w:val="24"/>
          <w:szCs w:val="24"/>
          <w:lang w:eastAsia="tr-TR"/>
          <w14:ligatures w14:val="none"/>
        </w:rPr>
        <w:t xml:space="preserve"> bu yazıyı belirli kaidelere bağlayarak daha sistemli bir üsluba kavuşturmuş, ardından İbnü’l-Bevvâ</w:t>
      </w:r>
      <w:r w:rsidR="00595403">
        <w:rPr>
          <w:rFonts w:ascii="Times New Roman" w:eastAsia="Times New Roman" w:hAnsi="Times New Roman" w:cs="Times New Roman"/>
          <w:kern w:val="0"/>
          <w:sz w:val="24"/>
          <w:szCs w:val="24"/>
          <w:lang w:eastAsia="tr-TR"/>
          <w14:ligatures w14:val="none"/>
        </w:rPr>
        <w:t>b</w:t>
      </w:r>
      <w:r w:rsidRPr="00E64677">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çizgiyi daha da geliştirerek olgunlaştırmıştır.</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Bu tarihî gelişimin yanı sıra, mushaf yazımının biçim, estetik ve teknik bakımından sürekli gelişen bir alan olduğu</w:t>
      </w:r>
      <w:r w:rsidR="00E33606">
        <w:rPr>
          <w:rFonts w:ascii="Times New Roman" w:eastAsia="Times New Roman" w:hAnsi="Times New Roman" w:cs="Times New Roman"/>
          <w:kern w:val="0"/>
          <w:sz w:val="24"/>
          <w:szCs w:val="24"/>
          <w:lang w:eastAsia="tr-TR"/>
          <w14:ligatures w14:val="none"/>
        </w:rPr>
        <w:t xml:space="preserve"> ortaya çıkmaktadır</w:t>
      </w:r>
      <w:r w:rsidRPr="00F42596">
        <w:rPr>
          <w:rFonts w:ascii="Times New Roman" w:eastAsia="Times New Roman" w:hAnsi="Times New Roman" w:cs="Times New Roman"/>
          <w:kern w:val="0"/>
          <w:sz w:val="24"/>
          <w:szCs w:val="24"/>
          <w:lang w:eastAsia="tr-TR"/>
          <w14:ligatures w14:val="none"/>
        </w:rPr>
        <w:t>.</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w:t>
      </w:r>
      <w:r w:rsidR="00E33606">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ilk şekli</w:t>
      </w:r>
      <w:r w:rsidR="00E33606">
        <w:rPr>
          <w:rFonts w:ascii="Times New Roman" w:eastAsia="Times New Roman" w:hAnsi="Times New Roman" w:cs="Times New Roman"/>
          <w:kern w:val="0"/>
          <w:sz w:val="24"/>
          <w:szCs w:val="24"/>
          <w:lang w:eastAsia="tr-TR"/>
          <w14:ligatures w14:val="none"/>
        </w:rPr>
        <w:t>nde</w:t>
      </w:r>
      <w:r w:rsidRPr="00F42596">
        <w:rPr>
          <w:rFonts w:ascii="Times New Roman" w:eastAsia="Times New Roman" w:hAnsi="Times New Roman" w:cs="Times New Roman"/>
          <w:kern w:val="0"/>
          <w:sz w:val="24"/>
          <w:szCs w:val="24"/>
          <w:lang w:eastAsia="tr-TR"/>
          <w14:ligatures w14:val="none"/>
        </w:rPr>
        <w:t xml:space="preserve"> nokta ve hareke</w:t>
      </w:r>
      <w:r w:rsidR="00E33606">
        <w:rPr>
          <w:rFonts w:ascii="Times New Roman" w:eastAsia="Times New Roman" w:hAnsi="Times New Roman" w:cs="Times New Roman"/>
          <w:kern w:val="0"/>
          <w:sz w:val="24"/>
          <w:szCs w:val="24"/>
          <w:lang w:eastAsia="tr-TR"/>
          <w14:ligatures w14:val="none"/>
        </w:rPr>
        <w:t xml:space="preserve"> bulunmamaktadır</w:t>
      </w:r>
      <w:r w:rsidRPr="00F42596">
        <w:rPr>
          <w:rFonts w:ascii="Times New Roman" w:eastAsia="Times New Roman" w:hAnsi="Times New Roman" w:cs="Times New Roman"/>
          <w:kern w:val="0"/>
          <w:sz w:val="24"/>
          <w:szCs w:val="24"/>
          <w:lang w:eastAsia="tr-TR"/>
          <w14:ligatures w14:val="none"/>
        </w:rPr>
        <w:t xml:space="preserve">. Bunun temel sebebi,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farklı kırâat vecihlerini ihtimal dâhilinde taşıyabilecek bir esnekliğe sahip olmasıdı</w:t>
      </w:r>
      <w:r w:rsidR="00E3360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İslâm dünyası içindeki matbu serüveni, 1201/1787’de Rusya’nın Saint Petersburg şehrinde Mevlây Osman (?) tarafından gerçekleştirilen baskıyla yeni bir safhaya girmiştir.</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1C27F2E8" w14:textId="007C00F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matbu mushafların sadece mevcut okuyuşları pasif biçimde yansıtan araçlar olmadığını göstermektedir. Aksine onlar, belirli kırâat rivâyetlerinin yaygınlaşmasında, standartlaşmasında ve geniş kitlelerce benimsenmesinde aktif rol oynamıştır. Verş rivâyetinin Mağrib’de, Hafs rivâyetinin ise Mısır ve ardından İslâm dünyasının büyük bölümünde yerleşmesi, mushaf neşri ile kırâat dolaşımı arasındaki ilişkinin ne kadar güçlü olduğunu ortaya koymaktadır. Bu sebeple çağdaş mushaf neşri tarihi incelenirken, hangi mushafın hangi kırâat rivâyetine göre yazıldığı ve hangi resm anlayışına göre basıldığı meselesi, doğrudan kırâat tarihinin seyriyle birlikte ele alınmalıdır.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w:t>
      </w:r>
      <w:r w:rsidRPr="00227C41">
        <w:rPr>
          <w:rFonts w:ascii="Times New Roman" w:eastAsia="Times New Roman" w:hAnsi="Times New Roman" w:cs="Times New Roman"/>
          <w:bCs/>
          <w:kern w:val="0"/>
          <w:sz w:val="24"/>
          <w:szCs w:val="24"/>
          <w:lang w:eastAsia="tr-TR"/>
          <w14:ligatures w14:val="none"/>
        </w:rPr>
        <w:t>Teftîş-i Mesâhif-i Şerîfe Meclisi</w:t>
      </w:r>
      <w:r w:rsidRPr="00F42596">
        <w:rPr>
          <w:rFonts w:ascii="Times New Roman" w:eastAsia="Times New Roman" w:hAnsi="Times New Roman" w:cs="Times New Roman"/>
          <w:kern w:val="0"/>
          <w:sz w:val="24"/>
          <w:szCs w:val="24"/>
          <w:lang w:eastAsia="tr-TR"/>
          <w14:ligatures w14:val="none"/>
        </w:rPr>
        <w:t>nin ve devamındaki denetim yapılarının, matbu İslâmî eserlerle birlikte mushaf neşrini de kontrol altına aldığını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Bu, Osmanlı’nın mushaf basımında hem metin güvenliğini hem de dinî meşruiyeti korumaya çalıştığını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Özetle, Türkiye’de mushaf basımının tarihî seyri üç temel nitelikle öne çıkmaktadır: geç başlaması, sıkı biçimde denetlenmesi ve nihayet Diyanet İşleri Başkanlığı bünyesinde kurumsal bir standarda bağlanması. Bu durum, mushafın Türkiye’de tarih boyunca hem metin güvenliği hem de dinî otorite açısından özel bir konuma sahip old</w:t>
      </w:r>
      <w:r w:rsidR="000570A2">
        <w:rPr>
          <w:rFonts w:ascii="Times New Roman" w:eastAsia="Times New Roman" w:hAnsi="Times New Roman" w:cs="Times New Roman"/>
          <w:kern w:val="0"/>
          <w:sz w:val="24"/>
          <w:szCs w:val="24"/>
          <w:lang w:eastAsia="tr-TR"/>
          <w14:ligatures w14:val="none"/>
        </w:rPr>
        <w:t>uğunu teyit etmektedir.</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araştırmanın ortaya koyduğu temel sonuç, resm-i mushaf ile kırâat rivâyeti arasındaki ilişkinin yazı ile söz karşıtlığı üzerinden açıklanamayacağıdır. Kırâatlerin aslî aktarım zemini telakki, müşâfehe, edâ, </w:t>
      </w:r>
      <w:r w:rsidRPr="00FB1750">
        <w:rPr>
          <w:rFonts w:ascii="Times New Roman" w:eastAsia="Times New Roman" w:hAnsi="Times New Roman" w:cs="Times New Roman"/>
          <w:kern w:val="0"/>
          <w:sz w:val="24"/>
          <w:szCs w:val="24"/>
          <w14:ligatures w14:val="none"/>
        </w:rPr>
        <w:t>isnad</w:t>
      </w:r>
      <w:r w:rsidRPr="00F42596">
        <w:rPr>
          <w:rFonts w:ascii="Times New Roman" w:eastAsia="Times New Roman" w:hAnsi="Times New Roman" w:cs="Times New Roman"/>
          <w:kern w:val="0"/>
          <w:sz w:val="24"/>
          <w:szCs w:val="24"/>
          <w14:ligatures w14:val="none"/>
        </w:rPr>
        <w:t xml:space="preserve"> ve </w:t>
      </w:r>
      <w:r w:rsidRPr="00DB7320">
        <w:rPr>
          <w:rFonts w:ascii="Times New Roman" w:eastAsia="Times New Roman" w:hAnsi="Times New Roman" w:cs="Times New Roman"/>
          <w:kern w:val="0"/>
          <w:sz w:val="24"/>
          <w:szCs w:val="24"/>
          <w14:ligatures w14:val="none"/>
        </w:rPr>
        <w:t>rivâyettir</w:t>
      </w:r>
      <w:r w:rsidRPr="00F42596">
        <w:rPr>
          <w:rFonts w:ascii="Times New Roman" w:eastAsia="Times New Roman" w:hAnsi="Times New Roman" w:cs="Times New Roman"/>
          <w:kern w:val="0"/>
          <w:sz w:val="24"/>
          <w:szCs w:val="24"/>
          <w14:ligatures w14:val="none"/>
        </w:rPr>
        <w:t xml:space="preserve">. Mushaf yazısı, hocadan öğrenilen okuyuşun yerine geçmez ve harf iskeletinden hareketle bağımsız kırâat üretmez. Buna karşılık sözlü olarak nakledilen okuyuşlar da ortak mushaf metninden bütünüyle bağımsız değildir.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tarihsel sürekliliği, lafzın sözlü icrası ile bu lafzın ortak yazılı kaydının birlikte işlemesi sayesinde korunmuştur.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Osmânî istinsahın önemli sonuçlarından biri, okuyuş farklılıklarını ortadan kaldırmadan kabul edilebilir çeşitliliği ortak bir yazım çerçevesi içinde korumasıdır. Resm-i Osmânî bazı okuyuşları harf yapısıyla doğrudan göster</w:t>
      </w:r>
      <w:r w:rsidR="00A23EB2">
        <w:rPr>
          <w:rFonts w:ascii="Times New Roman" w:eastAsia="Times New Roman" w:hAnsi="Times New Roman" w:cs="Times New Roman"/>
          <w:kern w:val="0"/>
          <w:sz w:val="24"/>
          <w:szCs w:val="24"/>
          <w14:ligatures w14:val="none"/>
        </w:rPr>
        <w:t xml:space="preserve">miş, </w:t>
      </w:r>
      <w:r w:rsidRPr="00F42596">
        <w:rPr>
          <w:rFonts w:ascii="Times New Roman" w:eastAsia="Times New Roman" w:hAnsi="Times New Roman" w:cs="Times New Roman"/>
          <w:kern w:val="0"/>
          <w:sz w:val="24"/>
          <w:szCs w:val="24"/>
          <w14:ligatures w14:val="none"/>
        </w:rPr>
        <w:t xml:space="preserve">bazı okuyuşlarla ihtimal yoluyla bağdaşabilmiştir. Gerçek uygunluk ile </w:t>
      </w:r>
      <w:r w:rsidRPr="00564B8A">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uygunluk arasındaki ayrım, aynı yazı iskeletinin sahih rivâyetle sabit birden fazla okuyuşa imkân verebilmesini açıklamaktadır. Bununla birlikte yazının bir okuyuşu mümkün kılması, o okuyuşun kendiliğinden sahih olduğunu gösterme</w:t>
      </w:r>
      <w:r w:rsidR="00A23EB2">
        <w:rPr>
          <w:rFonts w:ascii="Times New Roman" w:eastAsia="Times New Roman" w:hAnsi="Times New Roman" w:cs="Times New Roman"/>
          <w:kern w:val="0"/>
          <w:sz w:val="24"/>
          <w:szCs w:val="24"/>
          <w14:ligatures w14:val="none"/>
        </w:rPr>
        <w:t>mekte, h</w:t>
      </w:r>
      <w:r w:rsidRPr="00F42596">
        <w:rPr>
          <w:rFonts w:ascii="Times New Roman" w:eastAsia="Times New Roman" w:hAnsi="Times New Roman" w:cs="Times New Roman"/>
          <w:kern w:val="0"/>
          <w:sz w:val="24"/>
          <w:szCs w:val="24"/>
          <w14:ligatures w14:val="none"/>
        </w:rPr>
        <w:t>angi okuyuşun kırâat olarak sabit olduğu telakki, isnad ve edâ yoluyla belirlen</w:t>
      </w:r>
      <w:r w:rsidR="00A23EB2">
        <w:rPr>
          <w:rFonts w:ascii="Times New Roman" w:eastAsia="Times New Roman" w:hAnsi="Times New Roman" w:cs="Times New Roman"/>
          <w:kern w:val="0"/>
          <w:sz w:val="24"/>
          <w:szCs w:val="24"/>
          <w14:ligatures w14:val="none"/>
        </w:rPr>
        <w:t>mekted</w:t>
      </w:r>
      <w:r w:rsidRPr="00F42596">
        <w:rPr>
          <w:rFonts w:ascii="Times New Roman" w:eastAsia="Times New Roman" w:hAnsi="Times New Roman" w:cs="Times New Roman"/>
          <w:kern w:val="0"/>
          <w:sz w:val="24"/>
          <w:szCs w:val="24"/>
          <w14:ligatures w14:val="none"/>
        </w:rPr>
        <w:t>ir; resm-i Osmânî’ye uygunluk ise rivâyetin ortak mushaf geleneğiyle bağdaşıp bağdaşmadığını gösteren ölçülerden biridir.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nedenle resm-i Osmânî’ye uygunluk, kırâatlerin kabulünde tek başına yeterli veya diğer şartlara indirgenebilecek bir ölçü değildir. Rivâyetin güvenilirliği, Arap dilinde bir veche sahip olması ve resm-i Osmânî’ye uygunluk birlikte değerlendirilmiştir. Bu uygunluğun bulunması zayıf veya temelsiz bir nakli sahih hâle getirmediği gibi, isnadın varlığı da mushaf hattına açıkça aykırı bir okuyuşa genel tilâvet alanında bağlayıcılık kazandırmamaktadır. Sahih, meşhur, âhâd ve şâz okuyuşlara ilişkin değerlendirmeler de bu çoklu ölçü düzeni içinde anlam kazanmaktadır. Şâz rivâyetlerin tefs</w:t>
      </w:r>
      <w:r w:rsidR="00B35BC4">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Basılı mushaflar </w:t>
      </w:r>
      <w:r w:rsidR="00D34C8F" w:rsidRPr="00F42596">
        <w:rPr>
          <w:rFonts w:ascii="Times New Roman" w:eastAsia="Times New Roman" w:hAnsi="Times New Roman" w:cs="Times New Roman"/>
          <w:kern w:val="0"/>
          <w:sz w:val="24"/>
          <w:szCs w:val="24"/>
          <w14:ligatures w14:val="none"/>
        </w:rPr>
        <w:t xml:space="preserve">yalnız </w:t>
      </w:r>
      <w:r w:rsidRPr="00F42596">
        <w:rPr>
          <w:rFonts w:ascii="Times New Roman" w:eastAsia="Times New Roman" w:hAnsi="Times New Roman" w:cs="Times New Roman"/>
          <w:kern w:val="0"/>
          <w:sz w:val="24"/>
          <w:szCs w:val="24"/>
          <w14:ligatures w14:val="none"/>
        </w:rPr>
        <w:t>mevcut okuyuşları yansıtmamış, belirli rivâyetlerin standartlaşması ve geniş coğrafyalarda yaygınlaşması üzerinde de etkili olmuştur. Ana metinde ele alınan Hafs ve Verş örnekleri, mushaf neşri ile kırâatlerin bölgesel ve daha geniş dolaşımı arasındaki ilişkinin birlikte incelenmesi gerektiğini göstermektedir.</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Erken mushaf yazmaları, şehir mushaflarına nispet edilen farklılıklar, bölgesel kırâat gelenekleri ve çağdaş neşirlerin resm tercihleri, bu yaklaşımın daha ayrıntılı uygulanabileceği araştırma alanlarıdır.</w:t>
      </w:r>
    </w:p>
    <w:p w14:paraId="5B0BF432" w14:textId="38CA92E0"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Sonuç olarak resm-i Osmânî, kırâati doğuran bağımsız kaynak değil, rivâyet yoluyla nakledilen kırâatlerin ortak yazılı sınırıdır. Bu sınır, tek bir okuyuşu her durumda zorunlu kılan dar bir fonetik kalıp olmadığı gibi, sınırsız seslendirme ihtimallerine açık bir yazı alanı da değildir. Resm-i Osmânî, sahih rivâyetle sabit okuyuşların bir kısmını açık biçimde gösterip bir kısmıyla ihtimal yoluyla bağdaşarak metin ile edâ, yazılı birlik ile okuyuş çeşitliliği ve tarihsel süreklilik ile ilmî denetim arasında denge kurulmasına katkı sağlamıştır.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doğru aktarımı da mushaf metninin, güvenilir rivâyetin, ehil hocanın, müşâfehenin ve edâ geleneğinin birlikte korunmasına bağlıdır.</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2 Cilt.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24C7864" w14:textId="5D396EB6"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Abdullah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Selîm b. Îde’l-Hilâlî el-Eserî. Amman: Ğarâs, 2006.</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47F23E23" w14:textId="668F079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w:t>
      </w:r>
      <w:r w:rsidR="00A069EB"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mmed Abdullah b. Muslim. </w:t>
      </w:r>
      <w:r w:rsidRPr="0058794F">
        <w:rPr>
          <w:rFonts w:ascii="Times New Roman" w:eastAsia="Times New Roman" w:hAnsi="Times New Roman" w:cs="Times New Roman"/>
          <w:i/>
          <w:iCs/>
          <w:kern w:val="0"/>
          <w:sz w:val="24"/>
          <w:szCs w:val="24"/>
          <w:lang w:eastAsia="tr-TR"/>
          <w14:ligatures w14:val="none"/>
        </w:rPr>
        <w:t>Te’vîlu muhtelifi’l-hadîs</w:t>
      </w:r>
      <w:r w:rsidRPr="0058794F">
        <w:rPr>
          <w:rFonts w:ascii="Times New Roman" w:eastAsia="Times New Roman" w:hAnsi="Times New Roman" w:cs="Times New Roman"/>
          <w:kern w:val="0"/>
          <w:sz w:val="24"/>
          <w:szCs w:val="24"/>
          <w:lang w:eastAsia="tr-TR"/>
          <w14:ligatures w14:val="none"/>
        </w:rPr>
        <w:t>. thk. Muhammed Muhyiddîn el-Asfar. Beyrut: el-Mektebetü’l-İslâmî, 1999.</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 https://doi.org/http://doi.org/1051702/esoguifd.791085</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ed-Dânî,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ez-Zürkânî,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(bu dipnot daha önce geçmiş </w:t>
      </w:r>
      <w:proofErr w:type="gramStart"/>
      <w:r>
        <w:rPr>
          <w:color w:val="FF0000"/>
        </w:rPr>
        <w:t>midir.yoksa</w:t>
      </w:r>
      <w:proofErr w:type="gramEnd"/>
      <w:r>
        <w:rPr>
          <w:color w:val="FF0000"/>
        </w:rPr>
        <w:t xml:space="preserve"> kitabın ilk adı bu şekilde mi) buna bakılması.</w:t>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(bu eserin müellifi meçhuldür </w:t>
      </w:r>
      <w:proofErr w:type="gramStart"/>
      <w:r>
        <w:rPr>
          <w:color w:val="FF0000"/>
        </w:rPr>
        <w:t>literatürde</w:t>
      </w:r>
      <w:proofErr w:type="gramEnd"/>
      <w:r>
        <w:rPr>
          <w:color w:val="FF0000"/>
        </w:rPr>
        <w:t xml:space="preserve"> bu şekilde geçiyor.</w:t>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es-Suyûtî,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(el-Cum’â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w:t>
      </w:r>
      <w:r w:rsidRPr="00534B75">
        <w:rPr>
          <w:color w:val="FF0000"/>
        </w:rPr>
        <w:t>bu eser daha önce tam adıyla geçmişmiydi)</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eş</w:t>
      </w:r>
      <w:proofErr w:type="gramEnd"/>
      <w:r>
        <w:t>-</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ez</w:t>
      </w:r>
      <w:proofErr w:type="gramEnd"/>
      <w:r>
        <w:t>-</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en</w:t>
      </w:r>
      <w:proofErr w:type="gramEnd"/>
      <w:r>
        <w:t>-</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eş</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ez</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