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oluşturur.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bulunur.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oluşturur.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koyar. Bu duruma dair öne çıkan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görülür.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 döneminde vahiy metinleri farklı malzemeler üzerinde yazılı olarak bulunuyor, ancak iki kapak arasında tek bir derleme hâlinde toplanmış değildi. Zerkeşî’nin Hâris el-Muhâsibî’den aktardığı değerlendirmede de Kur’an’ın nüzûl döneminde yazıya geçirildiği ve kayıtların farklı malzemeler üzerinde dağınık biçimde bulunduğu belirtilir.</w:t>
      </w:r>
      <w:r w:rsidRPr="00F4259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0B58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014370">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öne çıkan bilgiler yer alır.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“İki şahit” ifadesi farklı şekillerde yorumlanmıştır. Bir görüş, yazılı malzemenin hafızadaki aktarım ile birlikte doğrulanmasını esas alır ve Huzeyme b. Sâbit rivâyetini bu yönde değerlendirir. Başka bir görüş ise iki kişinin şahitliğini öne çıkarır. Rivâyetlerin farklılığı sebebiyle bu uygulama tek bir usûlle açıklanmamalıdır.</w:t>
      </w:r>
      <w:r w:rsidRPr="00F42596">
        <w:rPr>
          <w:rFonts w:ascii="Times New Roman" w:eastAsia="Times New Roman" w:hAnsi="Times New Roman" w:cs="Times New Roman"/>
          <w:kern w:val="0"/>
          <w:sz w:val="24"/>
          <w:szCs w:val="24"/>
          <w:lang w:eastAsia="tr-TR"/>
          <w14:ligatures w14:val="none"/>
        </w:rPr>
        <w:lastRenderedPageBreak/>
        <w:t/>
      </w:r>
      <w:r w:rsidR="00B2622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bulunur.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eder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Huzeyfe rivâyeti, Medine merkezli eğitim ortamında dahi kırâat farklılıklarının tartışma ve inkâra dönüştüğünü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Fetihlerle genişleyen İslâm coğrafyası askerî ve siyasi değişimin yanında</w:t>
      </w:r>
      <w:r w:rsidR="00D431B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268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Hâfız sahâbîler yeni Müslüman olan topluluklara Kur’an öğretmek üzere farklı merkezlerde görev almıştır.</w:t>
      </w:r>
      <w:r w:rsidR="00966AB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öne çıkan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oluşturur</w:t>
      </w:r>
      <w:r w:rsidRPr="004D2020">
        <w:rPr>
          <w:rFonts w:ascii="Times New Roman" w:eastAsia="Times New Roman" w:hAnsi="Times New Roman" w:cs="Times New Roman"/>
          <w:color w:val="FF0000"/>
          <w:kern w:val="0"/>
          <w:sz w:val="24"/>
          <w:szCs w:val="24"/>
          <w:lang w:eastAsia="tr-TR"/>
          <w14:ligatures w14:val="none"/>
        </w:rPr>
        <w:t>.</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Kırâat ihtilaflarının yaygınlaşması, Kur’an’ın yazılı bir ölçüye bağlanması</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Hz. Osman dönemindeki istinsah faaliyetinin arka planını değerlendirirken bölgesel okuyuş farklılıkları, fetihlerle genişleyen öğretim çevreleri ve Huzeyfe b. Yemân rivâyeti birlikte ele alınmalıdır. Kaynakların aktardığı ihtilaf örnekleri bu tarihsel zeminin temel verileridir.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bulunur.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bulunur.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görülür</w:t>
      </w:r>
      <w:r w:rsidR="00104C2B">
        <w:rPr>
          <w:rFonts w:ascii="Times New Roman" w:eastAsia="Times New Roman" w:hAnsi="Times New Roman" w:cs="Times New Roman"/>
          <w:kern w:val="0"/>
          <w:sz w:val="24"/>
          <w:szCs w:val="24"/>
          <w:lang w:eastAsia="tr-TR"/>
          <w14:ligatures w14:val="none"/>
        </w:rPr>
        <w:t xml:space="preserve">.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bu durum erken dönem rivâyetlerin daha genel ve özet nitelikte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öne çıkandir.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Somut kayıtların yokluğu,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bulunur.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bulunur. Kevserî ise bir mushafın halifenin yanında bırakıldığını, beş mushafın da emsâr bölgelerine gönderildiğini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es-Sâlih ile el-Aʿzamî'nin yaklaşımları büyük ölçüde paralellik gösterir.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bulunur.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resm kelimesinin “iz” anlamı ile yazının “lafzın görsel izi” oluşu arasında doğal ve yapısal bir ilişki bulunur.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Kur’an yazımı bağlamındaki teknik kullanım, kelimelerin mushaflarda hangi harf düzeniyle yazıldığını ifade eden özel bir anlam kazanmıştır. Bu teknik kullanımın tarihsel gelişimi resm literatürü üzerinden izlenmelidir.</w:t>
      </w:r>
      <w:r w:rsidR="009D23FC">
        <w:rPr>
          <w:rFonts w:ascii="Times New Roman" w:eastAsia="Times New Roman" w:hAnsi="Times New Roman" w:cs="Times New Roman"/>
          <w:kern w:val="0"/>
          <w:sz w:val="24"/>
          <w:szCs w:val="24"/>
          <w:lang w:eastAsia="tr-TR"/>
          <w14:ligatures w14:val="none"/>
        </w:rPr>
        <w:t xml:space="preserve"/>
      </w:r>
      <w:r w:rsidR="009D23FC" w:rsidRPr="009D23FC">
        <w:rPr>
          <w:rFonts w:ascii="Times New Roman" w:eastAsia="Times New Roman" w:hAnsi="Times New Roman" w:cs="Times New Roman"/>
          <w:color w:val="FF0000"/>
          <w:kern w:val="0"/>
          <w:sz w:val="24"/>
          <w:szCs w:val="24"/>
          <w:lang w:eastAsia="tr-TR"/>
          <w14:ligatures w14:val="none"/>
        </w:rPr>
        <w:t/>
      </w:r>
      <w:r w:rsidR="008A7642" w:rsidRPr="0056779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resm kavramı yalnızca “iz bırakma” anlamından çıkar, teknik ve kurallı bir yazım anlayışına dönüşür. Yazı hem lafzı temsil eder hem de onu belirli bir sistem içinde sabitler.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Cürcânî ve Kastallânî’nin tanımlarında resmin lafzı yazıyla temsil etme ve yazılı biçimi tanınabilir kılma yönleri öne çıkmaktadır. Bu kavramsal zemin, Hz. Osman döneminde çoğaltılan mushaflara nispet edilen yazım geleneğinin nasıl tanımlandığını incelemeyi gerekli kılar.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B32516">
        <w:rPr>
          <w:rFonts w:ascii="Times New Roman" w:eastAsia="Times New Roman" w:hAnsi="Times New Roman" w:cs="Times New Roman"/>
          <w:color w:val="FF0000"/>
          <w:kern w:val="0"/>
          <w:sz w:val="24"/>
          <w:szCs w:val="24"/>
          <w:lang w:eastAsia="tr-TR"/>
          <w14:ligatures w14:val="none"/>
        </w:rPr>
        <w:t/>
      </w:r>
      <w:r w:rsidR="008A7642" w:rsidRPr="00B3251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Hz. Osman dönemindeki istinsah sürecinde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Kur’an ilimlerine dair eserlerinde Osman mushaflarının yazımını sahâbe nakline dayanan bir metin geleneği içinde değerlendirmesi, resm düşüncesinin erken safhasını izlemeye imkân verir.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Sicistânî’nin rivâyet temelli aktarımı, Osman mushaflarının yazımını sahâbe nakline dayanan bağlayıcı bir metin geleneği içinde sunar.</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resm, belirli kuralları, örnekleri ve tasnif biçimleri bulunan teknik bir alan hâline gelmiştir. Dânî'nin yaklaşımı, farklı merkezlere nispet edilen yazım rivâyetlerini karşılaştırmalı biçimde ele alır.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Resm literatüründe esas alınan zemin, Osman mushaflarına nispet edilen yazım özelliklerinin rivâyet yoluyla kaydedilip sonraki nesillere aktarılmasıdır. Bu tarihsel yazım geleneği daha sonra kıyasî imlâdan ayrı kurallar ve tasnifler içinde incelenmiş; Dânî ve Ebû Dâvud gibi müelliflerin eserlerinde müstakil bir çalışma alanı hâline gelmiştir.</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7739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2527AA">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11C28">
        <w:rPr>
          <w:rFonts w:ascii="Times New Roman" w:eastAsia="Times New Roman" w:hAnsi="Times New Roman" w:cs="Times New Roman"/>
          <w:color w:val="FF0000"/>
          <w:kern w:val="0"/>
          <w:sz w:val="24"/>
          <w:szCs w:val="24"/>
          <w:lang w:eastAsia="tr-TR"/>
          <w14:ligatures w14:val="none"/>
        </w:rPr>
        <w:t/>
      </w:r>
      <w:r w:rsidRP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belirtirler. bu durum resm-i Osmânî’nin hem sınırlayıcı hem de kuşatıcı bir fonksiyon taşıdığını ortaya koyar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Déroche, noktasızlık, harekesizlik ve bazı yazım farklılıklarını erken Arap yazısının doğal özellikleri çerçevesinde değerlendirir.</w:t>
      </w:r>
      <w:r w:rsidRPr="000838E1">
        <w:rPr>
          <w:rFonts w:ascii="Times New Roman" w:eastAsia="Times New Roman" w:hAnsi="Times New Roman" w:cs="Times New Roman"/>
          <w:bCs/>
          <w:color w:val="FF0000"/>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belirtir</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Motzki ve Déroche’nin değerlendirmeleri, sözlü aktarım ile erken mushaf yazısının tarihsel verilerini farklı kanıt türleri üzerinden ele alır. Bu veriler, resm-i Osmânî’nin kırâatleri meydana getiren bağımsız bir kaynak olduğu sonucuna dönüştürülmemelidir.</w:t>
      </w:r>
      <w:r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E28B3">
        <w:rPr>
          <w:rFonts w:ascii="Times New Roman" w:eastAsia="Times New Roman" w:hAnsi="Times New Roman" w:cs="Times New Roman"/>
          <w:kern w:val="0"/>
          <w:sz w:val="24"/>
          <w:szCs w:val="24"/>
          <w:lang w:eastAsia="tr-TR"/>
          <w14:ligatures w14:val="none"/>
        </w:rPr>
        <w:t xml:space="preserve"/>
      </w:r>
      <w:r w:rsidR="00FE28B3" w:rsidRPr="00F42596">
        <w:rPr>
          <w:rFonts w:ascii="Times New Roman" w:eastAsia="Times New Roman" w:hAnsi="Times New Roman" w:cs="Times New Roman"/>
          <w:kern w:val="0"/>
          <w:sz w:val="24"/>
          <w:szCs w:val="24"/>
          <w:lang w:eastAsia="tr-TR"/>
          <w14:ligatures w14:val="none"/>
        </w:rPr>
        <w:t/>
      </w:r>
      <w:r w:rsidR="00FE28B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öne çıkandir.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görülür.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bulunur</w:t>
      </w:r>
      <w:r w:rsidR="002660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belirtir. Albânî, rivâyeti zayıf hatta uydurma kabul ettiği için delil değeri taşımadığı sonucuna varır.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Hz. Peygamber döneminde vahyin yazıya geçirildiği konusunda güçlü bir rivâyet zemini bulunmakla birlikte, mushaf yazımının bütün ayrıntılarının doğrudan peygamberî talimatla belirlendiğini göstermek için kullanılan bazı rivâyetlerin isnadı tartışmalıdır. Resm-i Osmânî’ye bağlılık ile yazımın bütün ayrıntılarının tevkîfî olduğu iddiası ayrı değerlendirilmelidir.</w:t>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2A553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eder</w:t>
      </w:r>
      <w:r w:rsidR="005B06B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örnekler, resm-i Osmânî’nin bazı rivâyetle sabit okuyuşlarla bağdaşabilen esnek bir yazı yapısı sunduğunu</w:t>
      </w:r>
      <w:r w:rsidRPr="00092B25">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Resm-i Osmânî’nin kıyasî yazımdan ayrılan özellikleri, erken mushaf yazısının tarihsel yapısı ve rivâyetle korunan okuyuşlarla ilişkisi birlikte değerlendirilerek açıklanmalıdır. Bu kuralların tümüne tek bir amaç yüklenmemeli; her özellik kendi tarihsel ve rivâyet bağlamında incelenmelidir.</w:t>
      </w:r>
      <w:r w:rsidRPr="00F42596">
        <w:rPr>
          <w:rFonts w:ascii="Times New Roman" w:eastAsia="Times New Roman" w:hAnsi="Times New Roman" w:cs="Times New Roman"/>
          <w:kern w:val="0"/>
          <w:sz w:val="24"/>
          <w:szCs w:val="24"/>
          <w:lang w:eastAsia="tr-TR"/>
          <w14:ligatures w14:val="none"/>
        </w:rPr>
        <w:t xml:space="preserve"/>
      </w:r>
      <w:r w:rsidRPr="00333703">
        <w:rPr>
          <w:rFonts w:ascii="Times New Roman" w:eastAsia="Times New Roman" w:hAnsi="Times New Roman" w:cs="Times New Roman"/>
          <w:kern w:val="0"/>
          <w:sz w:val="24"/>
          <w:szCs w:val="24"/>
          <w:lang w:eastAsia="tr-TR"/>
          <w14:ligatures w14:val="none"/>
        </w:rPr>
        <w:t/>
      </w:r>
      <w:r w:rsidR="00333703">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004F1B6E">
        <w:rPr>
          <w:rFonts w:ascii="Times New Roman" w:eastAsia="Times New Roman" w:hAnsi="Times New Roman" w:cs="Times New Roman"/>
          <w:kern w:val="0"/>
          <w:sz w:val="24"/>
          <w:szCs w:val="24"/>
          <w:lang w:eastAsia="tr-TR"/>
          <w14:ligatures w14:val="none"/>
        </w:rPr>
        <w:t/>
      </w:r>
      <w:r w:rsidRPr="00333703">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092B25">
        <w:rPr>
          <w:rFonts w:ascii="Times New Roman" w:eastAsia="Times New Roman" w:hAnsi="Times New Roman" w:cs="Times New Roman"/>
          <w:bCs/>
          <w:color w:val="FF0000"/>
          <w:kern w:val="0"/>
          <w:sz w:val="24"/>
          <w:szCs w:val="24"/>
          <w:lang w:eastAsia="tr-TR"/>
          <w14:ligatures w14:val="none"/>
        </w:rPr>
        <w:t/>
      </w:r>
      <w:r w:rsidR="008A7642">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kurallarının kırâatle ilişkisi örneğe göre değişir. Bazı yazım özellikleri belirli kırâat örnekleriyle ilişkilendirilebilirken bazıları erken yazı geleneğinin genel özellikleriyle açıklanmaktadır. Aşağıdaki kurallar bu farklı ilişki düzeyleri gözetilerek ele alınacaktır.</w:t>
      </w:r>
      <w:r w:rsidR="00AD3B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Vasl ve fasl örnekleri, resm-i Osmânî’nin her durumda kelimeleri zorunlu olarak birleştiren bir yazı sistemi olmadığını</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mushaflarda bugünkü hemze işaretleme sistemi henüz yerleşmemişti. Hemzenin yazımı dönemin Arap yazısının gelişim özellikleri içinde değerlendirilmelidir; kırâatle ilişkisi ise örnek bazında ayrıca ele alınmalıdır.</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C710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 lafızda açık karşılığı bulunmayan bir harfin mushaf yazısında yer almasıdır. Resm kaynakları bu örnekleri haziften ayrı bir başlık altında incelemiştir; kırâat ve mana ile ilişkileri örnekten örneğe değişmektedir.</w:t>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1C509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527E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eder</w:t>
      </w:r>
      <w:r w:rsidR="005620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Hz. Osman dönemindeki istinsah faaliyeti mevcut sahifelerin çoğaltılmasıyla sınırlı kalmamış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görülür.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bir dayanağa sahip olması gerekir.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öne çıkan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görülür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koyar</w:t>
      </w:r>
      <w:r w:rsidR="000E188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görülür</w:t>
      </w:r>
      <w:r w:rsidR="00747B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Klasik tefsîr ve kırâat geleneğinde mushaf yazısına uygunluk, okuyuşların değerlendirilmesinde başvurulan ölçülerden biri olmuş; bu ölçü rivâyet ve dil verileriyle birlikte işlemiştir.</w:t>
      </w:r>
      <w:r w:rsidRPr="00C573AD">
        <w:rPr>
          <w:rFonts w:ascii="Times New Roman" w:eastAsia="Times New Roman" w:hAnsi="Times New Roman" w:cs="Times New Roman"/>
          <w:kern w:val="0"/>
          <w:sz w:val="24"/>
          <w:szCs w:val="24"/>
          <w:lang w:eastAsia="tr-TR"/>
          <w14:ligatures w14:val="none"/>
        </w:rPr>
        <w:t/>
      </w:r>
      <w:r w:rsidR="00C573A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BB558C">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Osmânî mushafların farklı merkezlerde ortak başvuru nüshaları hâline gelmesi, resme uygunluğun sonraki kırâat literatüründe kabul ölçülerinden biri olarak yerleşmesinin tarihsel zeminini oluşturmuştur.</w:t>
      </w:r>
      <w:r w:rsidRPr="00F42596">
        <w:rPr>
          <w:rFonts w:ascii="Times New Roman" w:eastAsia="Times New Roman" w:hAnsi="Times New Roman" w:cs="Times New Roman"/>
          <w:kern w:val="0"/>
          <w:sz w:val="24"/>
          <w:szCs w:val="24"/>
          <w:lang w:eastAsia="tr-TR"/>
          <w14:ligatures w14:val="none"/>
        </w:rPr>
        <w:t/>
      </w:r>
      <w:r w:rsidR="00E051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Kırâat, Kur’an kelimelerinin edâ keyfiyetlerini ve bu keyfiyetlerdeki farklılıkları nakledenlere nispet ederek bilmeyi konu edinen rivâyet disiplinidir.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Kur’an kelimelerinin edâ biçimlerini ve bu biçimlerdeki farklılıkların rivâyetini konu edinen geniş bir ilim alanıdır.</w:t>
      </w:r>
      <w:r w:rsidR="00675903" w:rsidRPr="00675903">
        <w:rPr>
          <w:rFonts w:ascii="Times New Roman" w:eastAsia="Times New Roman" w:hAnsi="Times New Roman" w:cs="Times New Roman"/>
          <w:kern w:val="0"/>
          <w:sz w:val="24"/>
          <w:szCs w:val="24"/>
          <w:lang w:eastAsia="tr-TR"/>
          <w14:ligatures w14:val="none"/>
        </w:rPr>
        <w:t/>
      </w:r>
      <w:r w:rsidR="00675903"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7590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oluşturur</w:t>
      </w:r>
      <w:r w:rsidR="00F272E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Kur’an’ın aktarımında yazılı metne, okunarak öğretilen sözlü edâ geleneği eşlik etmiştir.</w:t>
      </w:r>
      <w:r w:rsidRPr="00F42596">
        <w:rPr>
          <w:rFonts w:ascii="Times New Roman" w:eastAsia="Times New Roman" w:hAnsi="Times New Roman" w:cs="Times New Roman"/>
          <w:kern w:val="0"/>
          <w:sz w:val="24"/>
          <w:szCs w:val="24"/>
          <w:lang w:eastAsia="tr-TR"/>
          <w14:ligatures w14:val="none"/>
        </w:rPr>
        <w:t xml:space="preserve">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bulunur</w:t>
      </w:r>
      <w:r w:rsidR="00FE3E0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Dil, rivâyet ve mushaf hattının birlikte değerlendirilmesi, kırâat ilminin zamanla daha disiplinli bir ölçü sistemine kavuştuğunu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belirtir</w:t>
      </w:r>
      <w:r w:rsidR="00693DC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Rivâyette kelimenin harfleriyle birlikte ses değeri ve edâ biçimi de aktarılır.</w:t>
      </w:r>
      <w:r w:rsidRPr="00B45E58">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İbnü’l-Cezerî, Tâceddîn Subkî’den naklettiği tanımda kırâati Kur’an kelimelerinin edâ keyfiyetleri ve bu keyfiyetlerdeki ihtilafın nakledenlere nispet edilerek bilinmesi şeklinde aktarır.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gösterir</w:t>
      </w:r>
      <w:r w:rsidR="008206D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gösterir</w:t>
      </w:r>
      <w:r w:rsidR="005C6C45">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İmamlar, râviler ve öğretim çevreleri arasındaki aktarım ağı, kırâat otoritesinin kişiler ve ilim çevreleri üzerinden geliştiğini</w:t>
      </w:r>
      <w:r w:rsidR="00AF44F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gösterir.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alır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gösterir</w:t>
      </w:r>
      <w:r w:rsidR="00D6768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bulunur.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Ortak mushaf metni, resmin tefsîrde yazılı bir referans zemini oluşturduğunu</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w:t>
      </w:r>
      <w:r w:rsidR="002E121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koyar.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öne çıkan özelliklerinden biri, bazı kelimelerin yazımının rivâyetle sabit birden fazla kırâatle bağdaşabilmesidir. Bu örnekler, yazının okuyuşu bütünüyle belirlemediğini; belirli okuyuşların ortak harf iskeleti içinde karşılık bulabildiğini gösterir.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zikredilir. Bunların bir kısmı belirli şehir mushaflarına nispet edilen yazım farklarını, bir kısmı aynı harf iskeletinin birden fazla rivâyetle bağdaşmasını, bir kısmı ise belirli bir okuyuşun resmde doğrudan karşılık bulmasını gösterir.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görülür;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bulunur.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Bazı klasik açıklamalarda açık “ta” ile yazılan bu örnekler lehçe özellikleriyle ilişkilendirilmiştir.</w:t>
      </w:r>
      <w:r w:rsidRPr="00887BA3">
        <w:rPr>
          <w:rFonts w:ascii="Times New Roman" w:hAnsi="Times New Roman" w:cs="Times New Roman"/>
          <w:bCs/>
          <w:sz w:val="24"/>
          <w:szCs w:val="24"/>
        </w:rPr>
        <w:t/>
      </w:r>
      <w:r w:rsidRPr="00887BA3">
        <w:rPr>
          <w:rFonts w:ascii="Times New Roman" w:hAnsi="Times New Roman" w:cs="Times New Roman"/>
          <w:sz w:val="24"/>
          <w:szCs w:val="24"/>
        </w:rPr>
        <w:t xml:space="preserve"/>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kaynaklar belirli yazımları harf veya harekenin kökensel yapısıyla ilişkilendirir. Bu açıklamalar ilgili örneklerle sınırlı tutulmalıdır. Doğru edâ telakki ve rivâyet yoluyla öğrenilir; resm belirli örneklerde bu aktarımı destekleyen yazılı veriler sunar.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CB2D77">
        <w:rPr>
          <w:rFonts w:ascii="Times New Roman" w:eastAsia="Times New Roman" w:hAnsi="Times New Roman" w:cs="Times New Roman"/>
          <w:color w:val="FF0000"/>
          <w:kern w:val="0"/>
          <w:sz w:val="24"/>
          <w:szCs w:val="24"/>
          <w:lang w:eastAsia="tr-TR"/>
          <w14:ligatures w14:val="none"/>
        </w:rPr>
        <w:t/>
      </w:r>
      <w:r w:rsidR="008A764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55494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A3B26">
        <w:rPr>
          <w:rFonts w:ascii="Times New Roman" w:eastAsia="Times New Roman" w:hAnsi="Times New Roman" w:cs="Times New Roman"/>
          <w:bCs/>
          <w:color w:val="FF0000"/>
          <w:kern w:val="0"/>
          <w:sz w:val="24"/>
          <w:szCs w:val="24"/>
          <w:lang w:eastAsia="tr-TR"/>
          <w14:ligatures w14:val="none"/>
        </w:rPr>
        <w:t/>
      </w:r>
      <w:r w:rsidRPr="00EA3B26">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E2A8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A6234">
        <w:rPr>
          <w:rFonts w:ascii="Times New Roman" w:eastAsia="Times New Roman" w:hAnsi="Times New Roman" w:cs="Times New Roman"/>
          <w:bCs/>
          <w:color w:val="FF0000"/>
          <w:kern w:val="0"/>
          <w:sz w:val="24"/>
          <w:szCs w:val="24"/>
          <w:lang w:eastAsia="tr-TR"/>
          <w14:ligatures w14:val="none"/>
        </w:rPr>
        <w:t/>
      </w:r>
      <w:r w:rsidRPr="00AA6234">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öne çıkan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öne çıkandir.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gösterir. Bu açıklama, ilgili yazım ile hitap tonu arasında kurulan klasik bir yorum ilişkisidir; yazımın tarihsel sebebini tek başına belirlemez.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“vav” ziyadesi hem ses hem de mana düzeyinde anlamlandırılmıştır. Bu da resm-i Osmânî’nin tek boyutluluktan ziyade, çok yönlü bir muhafaza sistemi olarak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 yazımının rahmet ve af bağlamında da mana yorumlarıyla ilişkilendirildiğini gösterir.</w:t>
      </w:r>
      <w:r w:rsidR="00AC4F69" w:rsidRPr="003D300A">
        <w:rPr>
          <w:rFonts w:ascii="Times New Roman" w:eastAsia="Times New Roman" w:hAnsi="Times New Roman" w:cs="Times New Roman"/>
          <w:kern w:val="0"/>
          <w:sz w:val="24"/>
          <w:szCs w:val="24"/>
          <w:lang w:eastAsia="tr-TR"/>
          <w14:ligatures w14:val="none"/>
        </w:rPr>
        <w:t/>
      </w:r>
      <w:r w:rsidR="00F42596" w:rsidRPr="003D300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belirtilir</w:t>
      </w:r>
      <w:r w:rsidR="00F80880">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eder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Bu yorum, yazım farkını söz dizimi ve anlamla ilişkilendirir; yazımın tarihsel sebebini tek başına belirlemez.</w:t>
      </w:r>
      <w:r w:rsidR="000A4E28" w:rsidRPr="0050360D">
        <w:rPr>
          <w:rFonts w:ascii="Times New Roman" w:eastAsia="Times New Roman" w:hAnsi="Times New Roman" w:cs="Times New Roman"/>
          <w:kern w:val="0"/>
          <w:sz w:val="24"/>
          <w:szCs w:val="24"/>
          <w:lang w:eastAsia="tr-TR"/>
          <w14:ligatures w14:val="none"/>
        </w:rPr>
        <w:t/>
      </w:r>
      <w:r w:rsidR="00F42596" w:rsidRPr="0050360D">
        <w:rPr>
          <w:rFonts w:ascii="Times New Roman" w:eastAsia="Times New Roman" w:hAnsi="Times New Roman" w:cs="Times New Roman"/>
          <w:kern w:val="0"/>
          <w:sz w:val="24"/>
          <w:szCs w:val="24"/>
          <w:lang w:eastAsia="tr-TR"/>
          <w14:ligatures w14:val="none"/>
        </w:rPr>
        <w:t xml:space="preserve"/>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burada kurulan soru yapısı, iki unsur arasında tercih yaptıran bir soru olmayıp daha çok önceki sözden ayrılan yeni bir mana istikametini gösterir.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âyetin cevabı ikinci seçeneğin daha doğru yolda olduğunu belirten cevap cümlesidir.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görülür.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Kaynaklardaki farklı açıklamalar, İslâm geleneğinde resm-i mushaf için tek bir açıklama şeklinin olmadığını; hikmet merkezli yorumlarla dil merkezli açıklamaların aynı gelenek içinde yan yana bulunduğunu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öne çıkan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Ferrâ’nın ifadesi, Arap dili içinde mümkün bir vecih bulunduğunda mushaf hattını tercih gerekçelerinden biri olarak dikkate aldığını belirtir. Bu yaklaşım bütün nahivcilerin resme mutlak biçimde tâbi olduğu şeklinde genelleştirilmemelidir.</w:t>
      </w:r>
      <w:r w:rsidR="00DE71A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Aksine mushaf hattı, dilin mümkün gördüğü vecihler arasında tercih yaparken göz önünde bulundurulan bir otorite alanıdır.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öne çıkandir.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görülür. Bu yaklaşımın en öne çıkan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öne çıkan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bulunur.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öne çıkan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oluşturur.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bu görüş hem klasik hem de çağdaş kaynaklarda güçlü biçimde varlığını sürdürür.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görülür.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klasik gelenekte resm-i Osmânî’ye ittibanın yanı sıra bu ittibanın hükmî derecesinin de tartışıldığını gösterir.</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681C">
        <w:rPr>
          <w:rFonts w:ascii="Times New Roman" w:eastAsia="Times New Roman" w:hAnsi="Times New Roman" w:cs="Times New Roman"/>
          <w:kern w:val="0"/>
          <w:sz w:val="24"/>
          <w:szCs w:val="24"/>
          <w:lang w:eastAsia="tr-TR"/>
          <w14:ligatures w14:val="none"/>
        </w:rPr>
        <w:t/>
      </w:r>
      <w:r w:rsidR="007F681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görülür.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edilir.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anlaşılır.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rivâyet ve yorumlar,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koyar.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öne çıkan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görülür.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görülür.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görülür.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görülür. Bu da selef-i sâlihînin ilmî faziletinin ferdî takdirin ötesine geçerek ümmetçe benimsenmiş bir otoriteye dönüştüğünü düşündürmektedir.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w:r>
      <w:r w:rsidRPr="00F11F7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eder.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sürdürür.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alır.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koyar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taşır.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ortaya koyar. Çünkü burada korunmak istenen sadece bir yazı alışkanlığı olmayıp; o yazı etrafında teşekkül etmiş bir ilmî gelenektir.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oluşturur.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anlaşılır.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öne çıkan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telakki, müşâfehe ve isnaddır.</w:t>
      </w:r>
      <w:r w:rsidR="00AD2F5F">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belirtir.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Kırâatlerin asıl kaynağı rivâyettir. Resm-i Osmânî’ye uygunluk, sahih rivâyetlerin müşterek mushaf yazısıyla ilişkisini değerlendirmede kullanılan tamamlayıcı ölçülerden biridir.</w:t>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77B95">
        <w:rPr>
          <w:rFonts w:asciiTheme="majorBidi" w:eastAsia="Times New Roman" w:hAnsiTheme="majorBidi" w:cstheme="majorBidi"/>
          <w:color w:val="FF0000"/>
          <w:kern w:val="0"/>
          <w:sz w:val="24"/>
          <w:szCs w:val="24"/>
          <w:lang w:eastAsia="tr-TR"/>
          <w14:ligatures w14:val="none"/>
        </w:rPr>
        <w:t/>
      </w:r>
      <w:r w:rsidR="00FC565E" w:rsidRPr="00FC565E">
        <w:rPr>
          <w:rFonts w:asciiTheme="majorBidi" w:hAnsiTheme="majorBidi" w:cstheme="majorBidi"/>
          <w:color w:val="FF0000"/>
          <w:sz w:val="24"/>
          <w:szCs w:val="24"/>
        </w:rPr>
        <w:t xml:space="preserve"/>
      </w:r>
      <w:r w:rsidRPr="00FC565E">
        <w:rPr>
          <w:rFonts w:asciiTheme="majorBidi" w:eastAsia="Times New Roman" w:hAnsiTheme="majorBidi" w:cstheme="majorBidi"/>
          <w:color w:val="FF0000"/>
          <w:kern w:val="0"/>
          <w:sz w:val="24"/>
          <w:szCs w:val="24"/>
          <w:lang w:eastAsia="tr-TR"/>
          <w14:ligatures w14:val="none"/>
        </w:rPr>
        <w:t/>
      </w:r>
      <w:r w:rsidRPr="005802A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örnekler, resmin okuyuşları seçen bağımsız bir özne olmadığını; rivâyet edilen okuyuşların müşterek yazılı çerçeveyle uyumunun değerlendirilmesine katkı sağladığını gösterir.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gösterir. her kârî için onun okuyuşuna çoğunlukla uygun düşen mushaf seçilmiş; böylece yazılı nüsha ile sözlü öğretim birlikte işletilmiştir.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öne çıkan yönlerinden biri, mushaf ile kırâat arasındaki ilişkinin mutlak ve birebir eşleşme şeklinde olmayıp, çoğunluk esasına dayalı bir uygunluk çerçevesinde kurulmuş olmasıdır.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belirtir.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koyar.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koyar.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ortak mushaf metninin başvuru niteliğini yansıtır.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koyar.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eder.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dönemindeki yazılı kayıtlar, vahyin korunmasına yönelik tedbirlerin erken safhada devreye girdiğine işaret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gösterir. </w:t>
      </w:r>
      <w:r w:rsidR="00D77B95">
        <w:rPr>
          <w:rFonts w:ascii="Times New Roman" w:eastAsia="Times New Roman" w:hAnsi="Times New Roman" w:cs="Times New Roman"/>
          <w:kern w:val="0"/>
          <w:sz w:val="24"/>
          <w:szCs w:val="24"/>
          <w:lang w:eastAsia="tr-TR"/>
          <w14:ligatures w14:val="none"/>
        </w:rPr>
        <w:t>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koyar.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koyar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edilir</w:t>
      </w:r>
      <w:r w:rsidRPr="00896D6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Hz. Ali ve Mus’ab b. Sa’d’dan nakledilen rivâyetler, mushafların birleştirilmesi yönündeki tasarrufun sahâbe çevresinde destek gördüğünü aktarır.</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F7A2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8067E4">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8067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bulunur.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bireysel rahatsızlıkların, sahâbe icmâının kurduğu ortak mushaf otoritesini bozmadığı anlaşılır.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aktarımındaki okuyuş, tertip ve yazım çeşitliliğine ilişkin tarihsel veri sağlar.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görülür. kurrâ, kendi okuyuşlarından mushaf hattına uygun düşen vecihlerle okumayı sürdürmüş, buna aykırı olanları ise terk etmiştir.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koyar.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 hattına aykırı kalan rivâyetlerin tamamı kaynaklarda baştan itibaren uydurma sayılmaz; bazı müellifler bunları daha önce okunmuş, ancak sonraki müşterek tilâvet alanının dışında kalmış vecihler olarak değerlendirir. Bu açıklama ilgili klasik yorum olarak sunulmalıdır.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İmamların tercihleri kendilerine ulaşan rivâyet ve öğretim geleneği içinde değerlendirilmelidir. Bazı kaynaklarda râvi sayısı, mushaf hattı, dil verileri ve genel kabul tercih gerekçeleri arasında birlikte zikredilir.</w:t>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E0D4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görülür.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öne çıkandir.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öne çıkan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İbn Hâleveyh’in tercihi, resm-i Osmânî’nin kırâat ilminde dil verileriyle birlikte kullanılan bir ölçü olduğunu</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koyar.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koyar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tercih örnekleri, resm-i Osmânî’nin kırâat ilminde meşruiyet ölçüsünün yanında tercîh ve tevcîh süreçlerinde de kullanıldığını</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taşır.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değerlendirilir.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koyar.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koyar.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Bazı vakıf uygulamalarında mushaf yazımı da dikkate alınmıştır.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koyar.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ortaya koyar</w:t>
      </w:r>
      <w:r w:rsidRPr="00F42596">
        <w:rPr>
          <w:rFonts w:ascii="Times New Roman" w:eastAsia="Times New Roman" w:hAnsi="Times New Roman" w:cs="Times New Roman"/>
          <w:kern w:val="0"/>
          <w:sz w:val="24"/>
          <w:szCs w:val="24"/>
          <w:lang w:eastAsia="tr-TR"/>
          <w14:ligatures w14:val="none"/>
        </w:rPr>
        <w:t xml:space="preserve">. Bu ilişkinin en öne çıkan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resmi karşı karşıya geldiğinde belirli durumlarda yazı geleneğinin üstün tutulabildiğine işaret eder.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eder. Bu tespit, resm rivâyetlerinin mushaf yazım biçimlerini ve okuyuşların yazılı mushaf geleneğiyle ilişkisini değerlendirmede tamamlayıcı bir veri alanı olduğunu gösterir.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resm ile kırâat arasındaki ilişkinin teorik bir irtibat olmaktan öte, doğrudan rivâyet malzemesinin yapısına işlemiş olduğu anlaşılır.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gösterir. Resm kaynaklarında bazı yazım biçimlerine hikmet veya anlam ilişkisi yükleyen açıklamalar bulunur.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Dânî’nin, emsâr mushaflarında farklılık gösteren harflerin tamamının Hz. Osman’ın yazdırdığı İmam Mushaftan istinsah edilen nüshalarda bulunduğunu ve hepsinin Allah’ın kelâmı olduğunu söylemesi öne çıkandir.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gösterir.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anlaşılır. Şehir mushaflarına nispet edilen yazım farklılıkları, yalnız şekilsel ayrılıklar olarak ele alınmaz;</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kırâat vecihlerinin nakli ve temellendirilmesinde işlev gören canlı bir rivâyet alanı oluşturduğunu ortaya koyar.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için temel kaynak malzemesi sağlar.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görülür.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bulunur.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anlaşılır.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Dânî’nin yardımcı işaretlere ilişkin tavrı, sonradan eklenen işaretlerde bile asıl yazı biçiminin korunmasının esas alındığını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gösterir.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anlaşılır. Müstensih uygulamaları, sonraki dönemlerde mushaf yazımında iki eğilimin yan yana bulunduğunu gösterir: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neşirlerde resm-i Osmânî’nin esas alınması, klasik resm rivâyetlerinin modern üretim süreçlerine aktarılmasıyla ilişkilidir.</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yoğun bir yazı faaliyeti içinde sürdüğünü ve bu süreçte yazım farklılıklarının neden bütünüyle önlenemediğini açıklamaya katkı sağlar.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Dânî ve Ebû Dâvud’un eserlerinin başvuru kaynağı olarak kullanılması, çağdaş mushaf neşrinde resm-i Osmânî’nin klasik rivâyet kaynaklarına dayalı bir yöntemle sürdürüldüğünü</w:t>
      </w:r>
      <w:r w:rsidR="000709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93E98">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eder.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öne çıkan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Mısır mushaf heyetinin Ebû Dâvud’un görüşlerini tercih etmesi, Muhtaṣaru’t-Tebyîn’in mushaf yazımını yönlendiren bir başvuru metni olarak kullanıldığını</w:t>
      </w:r>
      <w:r w:rsidR="00F42596" w:rsidRPr="00F42596">
        <w:rPr>
          <w:rFonts w:ascii="Times New Roman" w:eastAsia="Times New Roman" w:hAnsi="Times New Roman" w:cs="Times New Roman"/>
          <w:i/>
          <w:iCs/>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gösterir.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oluşturur.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Belirli rivâyetlere göre zapt edilen mushafların yaygınlaşması, kırâatlerin coğrafi dolaşımına katkıda bulunduğunu</w:t>
      </w:r>
      <w:r w:rsidRPr="00302B74">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gösterir. Belirli bir rivâyete göre zapt edilen mushafların yaygınlaşması, o rivâyetin daha geniş okuyucu çevrelerine ulaşmasına katkıda bulunmuştur. Bölgesel öğretim gelenekleri, eğitim kurumları, resmî neşir tercihleri ve mevcut kırâat geleneği de bu dolaşımın biçimlenmesinde etkilidir.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gösterir.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belirtir. Ona göre bu genel kabul bazen Medine ve Kûfe ehlinin üzerinde birleştiği okuyuşu, bazen de Haremeyn (Mekke- Medine) halkının benimsediği rivâyeti ifade eder. Hatta zaman zaman tercih ölçüsünün doğrudan Nâfiʿ ve Âsım kırâatleri etrafında şekillendiği görülür.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belirli kırâat rivâyetleri etrafında yoğunlaşmasını açıklamaya katkı sağlar.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görülür.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anlaşılır.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aktarılır. Aynı şekilde matbu kitapların ilk dönemlerde halk nezdinde de rağbet görmediği, insanların bu eserleri satın almaya yanaşmadığı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Tashih ve denetim uygulamaları,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gösterir.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koyar. Aynı şekilde Hindistan’da yapılan baskılar da, mushaf basımının giderek İslâm toplumlarının kendi ilmî denetim ve neşir tecrübesi içine taşındığını gösterir.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Matbaanın Osmanlı'daki kabul süreci, mushaf basımına izin verilmesinin</w:t>
      </w:r>
      <w:r w:rsidRPr="002B6A7B">
        <w:rPr>
          <w:rFonts w:asciiTheme="majorBidi" w:hAnsiTheme="majorBidi" w:cstheme="majorBidi"/>
          <w:color w:val="FF0000"/>
          <w:sz w:val="24"/>
          <w:szCs w:val="24"/>
        </w:rPr>
        <w:lastRenderedPageBreak/>
        <w:t> aynı dönemde ve aynı ölçüde gerçekleşmediğini; mushaf neşrinin diğer matbu eserlerden ayrı değerlendirildiğini gösterir.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Diyanet denetimi, Türkiye’de mushaf basımının teknik üretimin yanında ilmî ve dinî denetime tâbi olduğunu</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gösterir</w:t>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Türkiye’deki mushaf basım düzeni;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görülür.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Mevcut veriler Osmânî istinsahı, mevcut sahifeler esas alınarak ortak başvuru mushaflarının çoğaltıldığı ve şahsî nüshalardan doğabilecek ihtilafların sınırlandırılmasına yönelik bir tedbir olarak sunar.</w:t>
      </w:r>
      <w:r w:rsidR="00925F21">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302B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ile bütün yazım ayrıntılarının tevkîfî olduğu görüşü ayrı meselelerdir. Kaynaklarda Osmânî yazım geleneğinin kökeni ve yazım ayrıntılarının mahiyeti hakkında farklı görüşler bulunur.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gösterir</w:t>
      </w:r>
      <w:r w:rsidR="00DD77AC">
        <w:rPr>
          <w:rFonts w:ascii="Times New Roman" w:eastAsia="Times New Roman" w:hAnsi="Times New Roman" w:cs="Times New Roman"/>
          <w:kern w:val="0"/>
          <w:sz w:val="24"/>
          <w:szCs w:val="24"/>
          <w14:ligatures w14:val="none"/>
        </w:rPr>
        <w:t>.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