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Belirli kırâat rivâyetlerine göre hazırlanan matbu mushaflar, bu rivâyetlerin yazılı görünürlüğünü ve kullanım alanını artırmıştır. Bununla birlikte bir rivâyetin belirli bölgelerde yaygınlaşması yalnız baskı faaliyetiyle açıklanamaz; öğretim gelenekleri, bölgesel kırâat tercihleri, resmî neşir politikaları ve eğitim kurumları da bu süreçte etkili olmuştur.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