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Mushaf</w:t>
      </w:r>
      <w:r w:rsidR="006572ED">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’l-Kur’an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İmam Mushaf esas alınarak</w:t>
      </w:r>
      <w:r w:rsidRPr="006572ED">
        <w:rPr>
          <w:rFonts w:ascii="Times New Roman" w:eastAsia="Times New Roman" w:hAnsi="Times New Roman" w:cs="Times New Roman"/>
          <w:kern w:val="0"/>
          <w:sz w:val="24"/>
          <w:szCs w:val="24"/>
          <w:lang w:eastAsia="tr-TR"/>
          <w14:ligatures w14:val="none"/>
        </w:rPr>
        <w:t xml:space="preserve"/>
      </w:r>
      <w:r w:rsidR="006572ED">
        <w:rPr>
          <w:rFonts w:ascii="Times New Roman" w:eastAsia="Times New Roman" w:hAnsi="Times New Roman" w:cs="Times New Roman"/>
          <w:kern w:val="0"/>
          <w:sz w:val="24"/>
          <w:szCs w:val="24"/>
          <w:lang w:eastAsia="tr-TR"/>
          <w14:ligatures w14:val="none"/>
        </w:rPr>
        <w:t/>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 esas alınarak</w:t>
      </w:r>
      <w:r w:rsidRPr="00F42596">
        <w:rPr>
          <w:rFonts w:ascii="Times New Roman" w:eastAsia="Times New Roman" w:hAnsi="Times New Roman" w:cs="Times New Roman"/>
          <w:kern w:val="0"/>
          <w:sz w:val="24"/>
          <w:szCs w:val="24"/>
          <w:lang w:eastAsia="tr-TR"/>
          <w14:ligatures w14:val="none"/>
        </w:rPr>
        <w:t xml:space="preserve">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ulûmu’l-Kur’an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-Kur’an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ulûmu’l-Kur’an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rivâyetlerinin mushaf yazım biçimlerini ve okuyuşların yazılı mushaf geleneğiyle ilişkisini değerlendirmede tamamlayıcı bir veri alanı olduğunu göstermektedir.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Resm kaynaklarında bazı yazım biçimlerine hikmet veya anlam ilişkisi yükleyen açıklamalar bulunmaktadır.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bakımından önemlidir.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Mushafının hattı</w:t>
      </w:r>
      <w:r w:rsidR="0035357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mushafların yüksek düzeyde görsel ve metinsel birlik göstermesinde resm-i Osmânî'ye bağlılık önemli bir unsur olmakla birlikte tek etken değildir. Matbaa teknolojisinin gelişmesi, tashih ve denetim kurulları, kırâat ve yazım alanındaki uzmanlık, eğitim kurumları ve resmî neşir politikaları da bu standardizasyon sürecine katkıda bulunmuştur.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 neşrinde resm-i Osmânî'nin uygulanması, klasik resm literatüründe kaydedilen yazım rivâyetleri ve kurallarının yeniden değerlendirilmesine dayanır. Dânî ve Ebû Dâvud'un eserleri bu bakımdan temel başvuru kaynakları arasındadır. Bununla birlikte modern neşir uygulaması yalnız klasik metinlerin aktarımından ibaret değildir; tashih kurulları, kırâat uzmanlığı ve neşir kurumlarının tercihleri de sürece katılmaktadır.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Mushafın matbaa yoluyla çoğaltılması, resm-i Osmânî'nin yeni üretim teknikleri içinde nasıl korunacağı meselesini gündeme getirmiştir. Erken matbu mushaflardan Osmanlı ve sonraki resmî neşir girişimlerine uzanan süreçte baskı tekniği, tashih mekanizmaları ve resm geleneğine bağlılık birlikte etkili olmuştur. Belirli kırâat rivâyetlerine göre hazırlanan baskılar ise bu tarihsel sürecin ayrı bir boyutunu oluşturmaktadır. Matbaa öncesinde mushaf istinsahı, hat ve yazı geleneği içinde sürdürülmüştür.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İbn Kesîr’in aktardığı tarihsel çerçevede, erken yazı biçimi daha sade iken İbn Mukle ve İbnü’l-Bevvâb ile birlikte daha kaideli bir üslup gelişmiştir.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C01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95403">
        <w:rPr>
          <w:rFonts w:ascii="Times New Roman" w:eastAsia="Times New Roman" w:hAnsi="Times New Roman" w:cs="Times New Roman"/>
          <w:kern w:val="0"/>
          <w:sz w:val="24"/>
          <w:szCs w:val="24"/>
          <w:lang w:eastAsia="tr-TR"/>
          <w14:ligatures w14:val="none"/>
        </w:rPr>
        <w:t/>
      </w:r>
      <w:r w:rsidRPr="00E64677">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Erken mushafların yazı iskeleti zamanla nokta, hareke ve diğer yardımcı işaretlerin gelişmesiyle daha ayrıntılı bir görsel sisteme kavuşmuştur. Bu gelişme, resm-i Osmânî'nin temel harf yapısının sonraki mushaflarda korunmasıyla birlikte ilerlemiştir. Nokta ve harekenin ilk mushaflarda bugünkü biçimiyle bulunmaması dönemin yazı sistemiyle ilgilidir; bunu yalnız farklı kırâatleri açık tutmak amacıyla yapılmış bilinçli bir tercih olarak açıklamak ihtiyat gerektirir.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Kur’an'ın matbu serüvenindeki önemli örneklerden biri, II. Katerina'nın emriyle 1201/1787'de Saint Petersburg'da gerçekleştirilen baskıdır.</w:t>
      </w:r>
      <w:r w:rsidR="00F42596" w:rsidRPr="00F42596">
        <w:rPr>
          <w:rFonts w:ascii="Times New Roman" w:eastAsia="Times New Roman" w:hAnsi="Times New Roman" w:cs="Times New Roman"/>
          <w:kern w:val="0"/>
          <w:sz w:val="24"/>
          <w:szCs w:val="24"/>
          <w:lang w:eastAsia="tr-TR"/>
          <w14:ligatures w14:val="none"/>
        </w:rPr>
        <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Teftîş-i Mesâhif-i Şerîfe Meclisi, basılan mushafların tashih ve denetimini kurumsal bir çerçeveye bağlamıştır. Bu uygulama, Osmanlı döneminde mushaf neşrinin yalnız teknik bir baskı faaliyeti olarak görülmediğini, metnin doğruluğunu korumaya yönelik idarî denetim mekanizmalarının da oluşturulduğunu göstermektedir.</w:t>
      </w:r>
      <w:r w:rsidRPr="00227C41">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w:r>
      <w:r w:rsidR="00A5209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Matbu mushafların yaygınlaşması, resm-i Osmânî'nin yeni üretim teknikleri içinde uygulanmasını ve belirli kırâat rivâyetlerinin yazılı neşir yoluyla daha görünür hâle gelmesini sağlamıştır. Bu süreç, klasik resm kaynakları, kırâat öğretimi, tashih kurumları, baskı teknolojisi ve resmî neşir politikalarının birlikte etkisiyle şekillenmiştir.</w:t>
      </w:r>
      <w:r w:rsidR="000570A2">
        <w:rPr>
          <w:rFonts w:ascii="Times New Roman" w:eastAsia="Times New Roman" w:hAnsi="Times New Roman" w:cs="Times New Roman"/>
          <w:kern w:val="0"/>
          <w:sz w:val="24"/>
          <w:szCs w:val="24"/>
          <w:lang w:eastAsia="tr-TR"/>
          <w14:ligatures w14:val="none"/>
        </w:rPr>
        <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çalışmada ulaşılan temel sonuç, resm-i Osmânî'nin kırâatleri meydana getiren bağımsız bir kaynak olmadığı; kırâatlerin aslî aktarımının telakki, müşâfehe, edâ, isnad ve rivâyet yoluyla gerçekleştiğidir. Resm-i Osmânî ise rivâyetle sabit okuyuşların müşterek mushaf yazısıyla bağdaşma durumunu belirleyen tamamlayıcı bir ölçü olarak işlev görmüştür. Bazı okuyuşlar yazıda açık karşılık bulurken bazıları harf iskeletinin ihtimali içinde yer almış; ancak grafik ihtimal hiçbir durumda okuyuşun sahihliğini tek başına belirlememiştir.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çerçeve, Kur’an metninin korunmasını yalnız yazıya veya yalnız sözlü aktarım zincirine indirgemeden açıklamayı mümkün kılmaktadır. Sözlü rivâyet okuyuşun nasıl edâ edileceğini ve hangi nakil hattına dayandığını korurken, müşterek mushaf yazısı bu rivâyetlerin yazılı metinle ilişkisini denetleyen bir çerçeve sağlamıştır. Kırâatlerin kabulünde isnad, Arap diline uygunluk ve resm-i Osmânî'ye uygunluk bu nedenle birbirinin alternatifi değil, birlikte değerlendirilen ölçülerdir.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Sahih, meşhur, âhâd ve şâz okuyuşlara ilişkin değerlendirmeler bu çoklu ölçü düzeni içinde anlam kazanmaktadır. Şâz rivâyetlerin tefsîr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Matbu mushafların yaygınlaşması, belirli kırâat rivâyetlerinin yazılı biçimde daha geniş çevrelere ulaşmasına katkı sağlamıştır. Bununla birlikte modern mushaf standardizasyonu yalnız baskının veya resm-i Osmânî'ye bağlılığın sonucu değildir; öğretim gelenekleri, tashih kurumları, kırâat uzmanlığı, bölgesel tercihler ve resmî neşir süreçleri de bu gelişmede etkili olmuştur.</w:t>
      </w:r>
      <w:r w:rsidR="00D34C8F" w:rsidRPr="00F42596">
        <w:rPr>
          <w:rFonts w:ascii="Times New Roman" w:eastAsia="Times New Roman" w:hAnsi="Times New Roman" w:cs="Times New Roman"/>
          <w:kern w:val="0"/>
          <w:sz w:val="24"/>
          <w:szCs w:val="24"/>
          <w14:ligatures w14:val="none"/>
        </w:rPr>
        <w:t xml:space="preserve"/>
      </w:r>
      <w:r w:rsidRPr="00F42596">
        <w:rPr>
          <w:rFonts w:ascii="Times New Roman" w:eastAsia="Times New Roman" w:hAnsi="Times New Roman" w:cs="Times New Roman"/>
          <w:kern w:val="0"/>
          <w:sz w:val="24"/>
          <w:szCs w:val="24"/>
          <w14:ligatures w14:val="none"/>
        </w:rPr>
        <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Son tahlilde resm-i Osmânî ile kırâat rivâyeti arasındaki ilişki, yazı ile sözlü aktarımın birbirinin yerine geçtiği değil, birbirini tamamladığı bir aktarım düzeni içinde anlaşılmalıdır. Resm, rivâyet edilen okuyuşların müşterek mushaf yazısıyla bağdaşma sınırlarını gösterirken, okuyuşun sahihliği ve edâsı rivâyet geleneği içinde belirlenmiştir.</w:t>
      </w:r>
    </w:p>
    <w:p>
      <w:pPr>
        <w:spacing w:before="180" w:after="0" w:line="276" w:lineRule="auto"/>
        <w:ind w:firstLine="425"/>
        <w:jc w:val="both"/>
        <w:rPr>
          <w:rFonts w:ascii="Times New Roman" w:eastAsia="Times New Roman" w:hAnsi="Times New Roman" w:cs="Times New Roman"/>
          <w:kern w:val="0"/>
          <w:sz w:val="24"/>
          <w:szCs w:val="24"/>
          <w14:ligatures w14:val="none"/>
        </w:rPr>
        <w:keepNext w:val="0"/>
        <w:pageBreakBefore w:val="0"/>
      </w:pPr>
      <w:r>
        <w:rPr>
          <w:rFonts w:ascii="Times New Roman" w:eastAsia="Times New Roman" w:hAnsi="Times New Roman" w:cs="Times New Roman"/>
          <w:kern w:val="0"/>
          <w:sz w:val="24"/>
          <w:szCs w:val="24"/>
          <w14:ligatures w14:val="none"/>
        </w:rPr>
        <w:t>Gelecek çalışmalar, erken mushaf nüshaları, şehir mushaflarına ilişkin rivâyetler ve kırâat literatüründeki resm atıflarını karşılaştırmalı olarak inceleyerek bu ilişkinin belirli örneklerdeki tarihsel görünümünü daha ayrıntılı biçimde ortaya koyabilir.</w:t>
      </w: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ageBreakBefore w:val="1"/>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w:r>
      <w:proofErr w:type="gramStart"/>
      <w:r>
        <w:rPr>
          <w:color w:val="FF0000"/>
        </w:rPr>
        <w:t/>
      </w:r>
      <w:proofErr w:type="gramEnd"/>
      <w:r>
        <w:rPr>
          <w:color w:val="FF0000"/>
        </w:rPr>
        <w:t xml:space="preserve"/>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w:r>
      <w:proofErr w:type="gramStart"/>
      <w:r>
        <w:rPr>
          <w:color w:val="FF0000"/>
        </w:rPr>
        <w:t/>
      </w:r>
      <w:proofErr w:type="gramEnd"/>
      <w:r>
        <w:rPr>
          <w:color w:val="FF0000"/>
        </w:rPr>
        <w:t xml:space="preserve"/>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
      </w:r>
      <w:r w:rsidRPr="00534B75">
        <w:rPr>
          <w:color w:val="FF0000"/>
        </w:rPr>
        <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
      </w:r>
      <w:proofErr w:type="gramEnd"/>
      <w:r>
        <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