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geleneğindeki bağlayıcılığı ile bütün yazım ayrıntılarının tevkîfî olduğu görüşü ayrı meselelerdir.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şekil özellikleriyle birlikte bağdaştıkları veya dışladıkları kırâat ihtimalleri açısından ele alınmaktadır.</w:t>
      </w:r>
      <w:r w:rsidRPr="00877B83">
        <w:rPr>
          <w:rFonts w:ascii="Times New Roman" w:eastAsia="Times New Roman" w:hAnsi="Times New Roman" w:cs="Times New Roman"/>
          <w:color w:val="FF0000"/>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 kaynaklarında İslâm öncesi Mekke’de yazının kullanımına ilişkin başka örnekler de aktarılır. Kusay b. Kilâb’ın Razâh b. Rebîa’ya bir mektup gönderdiğine dair rivâyet bunlardan biridir.</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ilişkin rivâyetlerde Hz. Peygamber’in vahiy geldiğinde kâtiplerden birini çağırdığı ve âyetleri yazdırdığı aktarılır.</w:t>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w:t>
      </w:r>
      <w:r w:rsidR="00501F1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01F1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AE49D8">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 bu uygulamanın örneklerinden biridir. Rivâyetlerde Medine dönemindeki vahiy kaydı düzenli bir uygulama olarak yer alır.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