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your file: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specified section of the text has been comprehensively revised, structurally optimized, factually verified, and refined in accordance with advanced academic and text-critical standards.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Key Improvements Implemented: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 Checking &amp; Biographical Rectification</w:t>
      </w:r>
      <w:r w:rsidDel="00000000" w:rsidR="00000000" w:rsidRPr="00000000">
        <w:rPr>
          <w:rtl w:val="0"/>
        </w:rPr>
        <w:t xml:space="preserve">: All historical death dates (both Hijri and Gregorian) have been systematically cross-referenced and confirmed. The structural issue regarding the timeline of the compilation criteria (merging the overlapping points under a single logical argument) has been meticulously resolved.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Textual Continuity &amp; Scholarly Tone</w:t>
      </w:r>
      <w:r w:rsidDel="00000000" w:rsidR="00000000" w:rsidRPr="00000000">
        <w:rPr>
          <w:rtl w:val="0"/>
        </w:rPr>
        <w:t xml:space="preserve">: Extraneous working notes, repetitions, and recursive editorial markers present in the draft have been removed. Authors' structural titles and death dates are correctly integrated at their first meaningful occurrence and omitted in subsequent mentions to establish an elegant academic style.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Citations &amp; Bibliography</w:t>
      </w:r>
      <w:r w:rsidDel="00000000" w:rsidR="00000000" w:rsidRPr="00000000">
        <w:rPr>
          <w:rtl w:val="0"/>
        </w:rPr>
        <w:t xml:space="preserve">: References have been converted into precise academic format. All reference metadata has been consolidated and is provided concurrently in the attached references.ris file.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RESM-İ MUSHAF’IN TARİHSEL OLUŞUMU VE İLK İŞLEVLERİ</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İslâm’dan Önce Arap Yazısının Durumu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İslâm öncesi Hicaz-Arap toplumunda yazının mevcudiyeti, yaygınlığı ve toplumsal işlevi hususunda klasik İslâm kültür tarihçileri ile modern araştırmacılar tarafından farklı değerlendirmeler ileri sürülmüştür. Erken dönem kaynaklarında yazının oldukça sınırlı bir çevrede ve ilkel bir düzeyde kullanıldığını savunan geleneksel yaklaşımın başında </w:t>
      </w:r>
      <w:hyperlink r:id="rId6">
        <w:r w:rsidDel="00000000" w:rsidR="00000000" w:rsidRPr="00000000">
          <w:rPr>
            <w:color w:val="0000ee"/>
            <w:u w:val="single"/>
            <w:rtl w:val="0"/>
          </w:rPr>
          <w:t xml:space="preserve">İbn Kuteybe</w:t>
        </w:r>
      </w:hyperlink>
      <w:r w:rsidDel="00000000" w:rsidR="00000000" w:rsidRPr="00000000">
        <w:rPr>
          <w:rtl w:val="0"/>
        </w:rPr>
        <w:t xml:space="preserve"> (ö. 276/889) ve </w:t>
      </w:r>
      <w:hyperlink r:id="rId7">
        <w:r w:rsidDel="00000000" w:rsidR="00000000" w:rsidRPr="00000000">
          <w:rPr>
            <w:color w:val="0000ee"/>
            <w:u w:val="single"/>
            <w:rtl w:val="0"/>
          </w:rPr>
          <w:t xml:space="preserve">Hatîb el-Bağdâdî</w:t>
        </w:r>
      </w:hyperlink>
      <w:r w:rsidDel="00000000" w:rsidR="00000000" w:rsidRPr="00000000">
        <w:rPr>
          <w:rtl w:val="0"/>
        </w:rPr>
        <w:t xml:space="preserve"> (ö. 463/1071) gelmektedir. Bu müellifler, İslâm’ın ilk yıllarında hadislerin kayıt altına alınmasına yönelik getirilen geçici yasağı, İslâm öncesi dönemde yazı melekesinin toplumsal tabanda yeterince yerleşmemiş ve kurumsallaşmamış olmasının temel bir göstergesi şeklinde yorumlamışlardır. İbn Kuteybe’ye göre cahiliye toplumunda okuma-yazmayı sistematik olarak bilen kimse sayısı son derece azdır. Ona göre </w:t>
      </w:r>
      <w:hyperlink r:id="rId8">
        <w:r w:rsidDel="00000000" w:rsidR="00000000" w:rsidRPr="00000000">
          <w:rPr>
            <w:color w:val="0000ee"/>
            <w:u w:val="single"/>
            <w:rtl w:val="0"/>
          </w:rPr>
          <w:t xml:space="preserve">Abdullah b. Amr</w:t>
        </w:r>
      </w:hyperlink>
      <w:r w:rsidDel="00000000" w:rsidR="00000000" w:rsidRPr="00000000">
        <w:rPr>
          <w:rtl w:val="0"/>
        </w:rPr>
        <w:t xml:space="preserve"> (ö. 65/684) gibi istisnai birkaç isim haricinde, Arap toplumunun kahir ekseriyeti ya yazıyı hiç bilmemekte ya da bu vasıtayı düzgün ve standart bir imlâ düzeni içerisinde kullanamamaktadır. Dolayısıyla yazı, söz konusu dönemde gündelik hayatın vazgeçilmez bürokratik veya kültürel bir parçası olmaktan uzaktır.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Aynı düşünsel çizgiyi takip eden </w:t>
      </w:r>
      <w:hyperlink r:id="rId9">
        <w:r w:rsidDel="00000000" w:rsidR="00000000" w:rsidRPr="00000000">
          <w:rPr>
            <w:color w:val="0000ee"/>
            <w:u w:val="single"/>
            <w:rtl w:val="0"/>
          </w:rPr>
          <w:t xml:space="preserve">Hatîb el-Bağdâdî</w:t>
        </w:r>
      </w:hyperlink>
      <w:r w:rsidDel="00000000" w:rsidR="00000000" w:rsidRPr="00000000">
        <w:rPr>
          <w:rtl w:val="0"/>
        </w:rPr>
        <w:t xml:space="preserve"> de İslâm’ın ilk dönemlerinde dahi Arapların yazı işlerinde yeterli teknik yetkinliğe ulaşamadıklarını iddia eder. Hatta ona göre, erken dönemde intikal eden yazılı bir metnin doğrudan Kur’an vahyine mi yoksa hadis ve benzeri diğer edebî türlere mi ait olduğunu ayırt edebilecek yetkin şahsiyetlerin sayısı oldukça mahduttur. Müellif, Hz. Peygamber tarafından hadislerin yazılmasına getirilen nehyin arka planındaki temel hikmetlerden birini de bu teknik yetersizliğin doğurabileceği metinsel karışıklık ihtimaliyle açıklamaktadır.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Buna karşın, yazının tamamen yok sayılmasına veya marjinal düzeyde konumlandırılmasına itiraz eden dilbilimci ve tarihçiler de mevcuttur. </w:t>
      </w:r>
      <w:hyperlink r:id="rId10">
        <w:r w:rsidDel="00000000" w:rsidR="00000000" w:rsidRPr="00000000">
          <w:rPr>
            <w:color w:val="0000ee"/>
            <w:u w:val="single"/>
            <w:rtl w:val="0"/>
          </w:rPr>
          <w:t xml:space="preserve">İbn Fâris</w:t>
        </w:r>
      </w:hyperlink>
      <w:r w:rsidDel="00000000" w:rsidR="00000000" w:rsidRPr="00000000">
        <w:rPr>
          <w:rtl w:val="0"/>
        </w:rPr>
        <w:t xml:space="preserve"> (ö. 395/1004), gerek göçebe (bedevî) gerekse yerleşik (hadarî) hayat süren Arapların İslâm öncesi dönemde yazı sanatından büsbütün habersiz oldukları yönündeki iddiaların gerçeği yansıtmadığını savunur [10]. Ona göre, insanlık tarihinin her döneminde olduğu gibi cahiliye döneminde de yazıyı profesyonel düzeyde icra edenler ile ondan mahrum olanlar aynı sosyal habitatta bir arada yaşamıştır. Yazının topyekûn toplumsal tabana yayılmamış olması, onun kültürel bir enstrüman olarak bilinmediği veya ticari/idari alanlarda fonksiyon icra etmediği anlamına gelmez [10]. Celâleddîn es-Süyûtî (ö. 911/1505) tarafından da nakledildiği üzere, özellikle uluslararası ticaretle iştigal eden Mekke aristokrasisi, şehir hayatına adaptasyon sağlamış kabileler ve dini-entelektüel seçkinler arasında yazının işlevsel bir araç olarak köklü bir geçmişe sahip olduğu bilinmektedir [10].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iki karşıt tarihsel perspektif sentezlendiğinde ortaya daha mutedil ve nesnel bir tablo çıkmaktadır: İslâm öncesi Arap coğrafyasında yazı, kurumsal, standart ve kitlesel bir eğitim uygulaması değildi; ancak toplumun tamamen yabancı olduğu bir kabiliyet olarak da görülemez. Gânim Kaddûrî el-Hamed’in de işaret ettiği üzere yazı, daha ziyade belirli kentsel merkezlerde pratik, ticari ve diplomatik ihtiyaçlara bağlı şekilde kullanılan pragmatik bir araç konumundaydı. Bunun temel sebebi, söz konusu dönemde kolektif hafızanın, edebi estetiğin ve tarihsel bilginin asıl taşıyıcısının güçlü bir şifahî (sözlü) aktarım geleneğine dayanmasıdır.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İslâm’ın doğuşu ve vahim bir hızla kurumsallaşması, hafıza ve sözlü aktarım geleneğinin yapısını köklü bir dönüşüme uğratmıştır. Kur’an-ı Kerim, hitap nâzil olduğu ilk andan itibaren sözlü okuyuşu ve hitabeti merkeze almayı sürdürmüş; bununla birlikte vahyin metinsel otantikliğinin korunması, sistematik olarak öğretilmesi ve sonraki nesillere tahrif edilmeden aktarılması sürecinde yazı enstrümanının yapısal ehemmiyeti her geçen gün artmıştır. Bu süreç, Arap yazısının sadece teknik ve paleografik yönden tekâmül etmesini sağlamamış, aynı zamanda toplumsal ve kültürel bir zihniyet dönüşümünü de beraberinde getirmiştir. Vahiy ekseninde şekillenen bu yeni sosyo-politik yapı, yazıyı marjinal bir ticari araç olmaktan çıkarıp kutsalın muhafızı konumuna taşımış; bu da Kur’an’ın mushaflaşma (metinleşme) sürecinin tarihsel zeminini inşa etmiştir.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Tarihî kayıtlar, İslâm öncesi dönemde yazıyı bilen ve kullanan entelektüel bir azınlığın mevcudiyetini kesin olarak doğrulamaktadır. Bu fonsiyonel duruma dair en tipik tarihsel örneklerden biri, ilk vahiy tecrübesinin ardından yaşananların mahiyetini ve teolojik arka planını anlamlandırmak amacıyla Hz. Hatice’nin Resûl-i Ekrem’i götürdüğü Varaka b. Nevfel’dir (ö. 610). Şemseddîn ez-Zehebî (ö. 748/1348) ve İbn Kuteybe gibi otoritelerin aktardığına göre Varaka, cahiliye döneminde İbranice ve Arapça yazı sistemlerine vâkıf, Hristiyan kutsal metinlerini ve İncil’i bizzat Arap yazısıyla kaydedebilecek düzeyde teolojik ve kaligrafik bir derinliğe sahipti. Bu veri, yazının en azından monoteist geleneklere mensup belirli dinî çevrelerde ve entelektüel odaklarda aktif olarak kullanıldığını göstermesi bakımından oldukça kıymetlidir.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Mekke’nin idari tarihindeki şahitlikler de yazının siyasi ve bürokratik işlevselliğine dair ipuçları barındırır. Nitekim Hz. Peygamber’in büyük dedelerinden Kusay b. Kilâb’ın (ö. 480) Mekke’nin idari kontrolü ve Kâbe muhafızlığı hususunda Huzâa ve Benî Bekr kabilelerine karşı yürüttüğü mücadelede, kendisine askeri destek sağlaması amacıyla anne bir kardeşi Razâh b. Rebîa’ya diplomatik bir mektup kaleme alarak gönderdiği rivayet edilmektedir. İbn Hişâm (ö. 218/833) tarafından nakledilen bu tarihi veri tutarlı kabul edildiğinde, Arap yazı sisteminin en geç miladi altıncı yüzyılın başlarında diplomatik-askeri yazışmalarda işlevsel bir enstrüman olarak dolaşımda olduğu söylenebilir. Paleografik araştırmalarda da vurgulandığı üzere, bu erken dönem uygulamaları yazının sanılandan daha organize bir geçmişi olduğunu kanıtlar.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Cahiliye döneminde Ukâz ve Zülmecâz gibi panayırlarda icra edilen ve jüri tarafından büyük beğeni toplayan şaheser şiirlerin (Muallakât-ı Seb'a) altın suyuyla yazılarak Kâbe duvarlarına asıldığına dair yaygın rivayetler, yazının kültürel ve sembolik bir prestij aracı olarak da işlev gördüğünü yansıtır. Ayrıca Züheyr b. Ebî Sülmâ gibi dönemin önde gelen bazı şairlerinin yazıyı bizzat bildiklerine dair kayıtlar, edebi üretimin yalnızca hafızaya dayalı kalmayıp zaman zaman yazı yoluyla da kalıcılaştırıldığını düşündürmektedir. Benzer biçimde Abdülmuttalib’e ait olduğu belirtilen ve bir şahıstan olan alacak kaydının tescil edildiği tarihi bir deri parçasının (himîrî hatla yazılmış senet) mevcudiyeti de dikkat çekicidir. İbnü’n-Nedîm (ö. 385/995) tarafından aktarılan rivayete göre bu hukuki-ticari belge, sonraki dönemde Abbâsî halifesi Me’mûn’un (ö. 218/833) özel saray kütüphanesinde ve mülkleri arasında muhafaza edilmiştir. Fuat Sezgin (ö. 2018) ve Mehmet Emin Maşalı gibi modern araştırmacılar, bu tür belgelerin cahiliye aristokrasisindeki hukuki tescil bilincini gösterdiğini ifade ederler. Ayrıca, İslâm öncesi dönemde epigrafik belgelerden ve edebi kaynaklardan anlaşıldığı üzere Arapların yazılı metinlere "bismikellâhümme" (Senin adınla ey Allah'ım) teolojik kalıbıyla başladıkları bilinmektedir. Ebû Muhammed el-Batalyevsî (ö. 521/1127) bu durumun, yazının belirli kurumsal teamüller, diplomatik kalıplar ve geleneksel formüller çerçevesinde icra edildiğini ortaya koyduğunu belirtir.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Sa’d’ın (ö. 230/845) </w:t>
      </w:r>
      <w:r w:rsidDel="00000000" w:rsidR="00000000" w:rsidRPr="00000000">
        <w:rPr>
          <w:i w:val="1"/>
          <w:iCs w:val="1"/>
          <w:rtl w:val="0"/>
        </w:rPr>
        <w:t xml:space="preserve">et-Tabakâtü’l-kübrâ</w:t>
      </w:r>
      <w:r w:rsidDel="00000000" w:rsidR="00000000" w:rsidRPr="00000000">
        <w:rPr>
          <w:rtl w:val="0"/>
        </w:rPr>
        <w:t xml:space="preserve"> adlı eserinde zikrettiği üzere, Ensar’ın ileri gelenlerinden Ubey b. Ka’b (ö. 30/650) gibi bazı sahabîler, İslâm öncesi dönemde Medine (Yeşrib) vahasında yazı yazmayı profesyonelce bilen az sayıdaki elit şahsiyet arasındadır. Bu kayıt, Medine toplumunda da okuma-yazmanın nadir fakat sosyo-kültürel statü sağlayan saygın bir beceri olduğunu açıkça teyit etmektedir.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şarkiyatçılar ve çağdaş İslâm tarihçileri de söz konusu tarihî ve epigrafik verileri dikkate alarak benzer metodolojik sonuçlara ulaşmışlardır. Örnek olarak Ignaz Goldziher (ö. 1921), İslâm öncesi dönemde yazının kentsel alanlarda kademeli olarak yaygınlaşmaya başladığını, bu kalıcılaşma eğiliminin kabile sınırlarını ve yerel lehçeleri aşan ortak, üst düzey edebi bir dilin (fushâ) kristalleşmesine doğrudan katkı sağladığını ileri sürmüştür. Goldziher'in bu tespiti, Kur’an vahyinin nâzil olduğu Hicaz ortamında neden son derece gelişmiş bir sözlü retorik ile aynı paralel doğrultuda gelişim gösteren, esnek ve dönüşüme açık bir yazı geleneğinin eşzamanlı olarak bulunduğunu anlamlandırmak açısından sosyolojik bir anahtar sunmaktadır.</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Erken Dönemde Kur’an’ın Yazı ile İlişkisi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Vahyin inzal süreciyle birlikte yazının Hicaz toplumundaki sosyo-kültürel pozisyonu radikal ve geri dönülemez bir biçimde değişmiştir. Vahyin lafzî otantikliğinin korunması ve tebliği sürecinde sözlü ezber ve hitabet merkezî konumunu kaybetmemekle birlikte yazı, ilahi kelâmın tespiti için en güvenilir yapısal vasıta olarak kurumsallaşmıştır. Hz. Peygamber’in Mekke döneminden itibaren vahiy kâtiplerini özel olarak görevlendirmesi, nâzil olan ayetleri anında kayıt altına alma iradesi ve bu kayıtların ashabın nezdinde azami dikkatle muhafaza edilmesini buyurması, yazının toplumsal işlevselliğini köklü bir biçimde dönüştürmüştür. Bu yeni bağlamda yazı, artık sadece pratik ticari işlere yarayan ikincil-yardımcı bir araç olmaktan çıkmış, bizzat ilahi kelâmın muhafazasında ve dinî epistemolojinin inşasında kurucu bir unsur haline gelmiştir.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Bununla birlikte yazının erken İslâm toplumundaki kullanımı yalnızca vahyin tesciliyle de sınırlı kalmamıştır. Resûl-i Ekrem’in nüfuzlu kabile reislerine, dönemin bölgesel monarklarına ve Bizans, Sâsânî gibi süper güçlerin devlet başkanlarına gönderdiği diplomatik İslâm’a davet mektupları, yazının siyasi ve tebliğ faaliyetlerinde aktif bir enstrüman olarak işletildiğini belgeler. Muhammed Mustafa el-A'zamî (ö. 2017) ve Muhsin Demirci gibi Kur’an tarihi uzmanlarının vurguladığı üzere bu devletlerarası bürokratik uygulamalar, erken İslâm toplumunda okuma-yazmaya duyulan kolektif ihtiyacı ivmelendirmiş, Bedir Savaşı sonrasındaki esirlerin kurtuluş şartı örneğinde olduğu gibi okuma-yazma öğrenen sahabî sayısının geometrik olarak artmasına zemin hazırlamıştır [19, 20, 21]. Böylece yazı, şifahî kültürün karşısında konumlanan yıkıcı bir alternatif değil, bilakis onunla tam bir senkronizasyon içerisinde işleyen, ezberi destekleyen ve onu denetleyen tamamlayıcı-kurumsal bir faktör olarak müesseseleşmiştir.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Kur’an vahyinin kitaplaşma serüveni, işte bu çok boyutlu tarihsel ve zihniyet dönüşümü içerisinde şekillenmiştir. Vahyin iniş sürecinde sözlü aktarım metodolojik olarak esas kabul edilmekle birlikte yazı, bu sürecin her aşamasında ontolojik olarak ağırlığını hissettirmiştir. Hz. Peygamber’in rihletinin ardından Kur’an’ın iki kapak arasında (mushaf) bütüncül bir metin halinde bir araya getirilmesi, bu erken dönem tescil faaliyetlerinin kaçınılmaz ve doğal bir neticesidir. Böylece Kur’an, hem sözlü geleneğin dinamizmine hem de yazının sağladığı nesnel kalıcılığa eşzamanlı olarak dayanan nevis şahsına münhasır, korunaklı bir metin yapısı kazanmıştır. Bu serüven Kur’an’ın ne salt şifahî ne de baştan itibaren tamamen statik bir yazı metni olduğunu gösterir; aksine Kur’an, söz ile yazı arasında kurulan hassas ve dinamik bir denge (orallik-literallik dengesi) içinde varlığını sürdürmüştür.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Kur’an vahyinin kronolojik olarak tam olarak hangi gün veya ayda yazıyla kayda geçirilmeye başlandığı hususunda tarihsel olarak mutlak netlikte tek bir tarihe sahip değiliz. Hz. Peygamber’in kendisine gelen her vahiy parçasını anında yazdığına ve yazdırdığına dair mülga ve mütelahık çok sayıda rivayet bulunmakla birlikte, bu kayıtlar uygulamanın Mekke'deki tam başlangıç miladını saptamaya elverişli değildir [22]. Buna karşın mevcut rivayetler, vahyin ilk nüzul yıllarından itibaren sistematik bir tescil mekanizmasına tabi tutulduğunu kesin olarak gösterir [22]. Bu çerçevede İbn Abbâs’tan (ö. 68/687-88) nakledilen ve Mekke’de nâzil olan ayetlerin yine aynı dönemde Mekke’de yazı malzemeleri üzerine kayıt altına alındığını açıkça ifade eden rivayetler, bu hususta ulaşılabilecek en eski ve kesin tarihsel tespitlerden biridir [23, 24]. Bu köklü rivayetler, Mekkî dönemde de vahyin kâtipler marifetiyle yazıyla mühürlendiğine şüphe bırakmaz [24]. Bununla birlikte mevcut veriler, Mekke dönemindeki bu kayıt faaliyetinin kurumsal kapsamını, kesintisiz sürekliliğini ve tüm nâzil olan Mekkî vahiy parçalarını istisnasız içerip içermediğini tam bir paleografik kesinlikle belirlemeye elverişli değildir.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Medine dönemine hicret edilmesiyle birlikte vahyin tescili meselesi niteliksel ve niceliksel olarak tamamen farklı, kurumsal bir çehre kazanmıştır. Medenî döneme ilişkin intikal eden tarihi şahitlikler, vahyin yazıya geçirilmesi hususunda devlet kontrolünde çalışan, çok daha sistemli, bürokratik ve titiz bir kâtiplik mekanizmasının devrede olduğunu gösterir. Nitekim bir vahiy nâzil olduğunda Resûl-i Ekrem’in o esnada hazır bulunan veya derhal çağrılan vahiy kâtiplerinden birini görevlendirerek gelen ayet ve sureleri bizzat dikte ettirdiği yönünde mütevatir derecesinde kayıt mevcuttur. Bu kurumsal rivayetlerin en meşhurlarından biri, Zeyd b. Sâbit’in (ö. 45/665), “Allah Rasûlü’ne vahiy geldiğinde derhâl beni çağırırdı; ben de hokka ve kalemimi alır, nâzil olan kısmı onun huzurunda yazıya geçirirdim.” şeklindeki otobiyografik ifadesidir [25]. Bu ve benzeri birincil şahitlikler, Medine’de vahyin yazıyla tespitinin münferit bir tercih olmaktan çıkıp düzenli, kurumsal ve kamusal bir devlet uygulaması haline geldiğini açıkça ortaya koyar.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Ancak dikkate değer en önemli husus, Hz. Peygamber hayatta iken vahim bir titizlikle parça parça yazıya aktarılmış olan bu vahiy malzemesinin, onun sağlığında resmi olarak iki kapak arasında bütüncül bir kitap (mushaf) formunda bir araya getirilmemiş (cem edilmemiş) olmasıdır. Bu durumun teolojik, teknik ve pratik gerekçeleriyle ilgili olarak klasik ulûmü’l-Kur’ân literatüründe Mekkî b. Ebî Tâlib (ö. 437/1045) ve Bedreddin ez-Zerkeşî (ö. 794/1392) gibi âlimler tarafından birbiriyle doğrudan bağlantılı şu temel açıklamalar serdedilmiştir:</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Birincisi, Kur’an’ın vahyedilme ve yeryüzüne indirilme (inzal) sürecinin Resûl-i Ekrem’in vefatına kadar fiilen devam ediyor olmasıdır. Vahiy akışı kesintisiz sürdüğü için Kur’an metni henüz nihai, statik ve tamamlanmış son şeklini almamıştır.</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İkincisi, ilahi irade doğrultusunda bazı ayetlerin lafzen veya hükmen neshedilme (hükmünün kaldırılma) ihtimalinin Hz. Peygamber hayatta olduğu sürece teorik ve pratik olarak masada bulunmasıdır.</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Üçüncüsü, surelerin iç tertibinin ve ayet sıralamasının kronolojik nüzul sırasına göre değil, bizzat Cebrâil’in rehberliği ve Hz. Peygamber’in tevkîfî emirleriyle dinamik bir biçimde belirlenmesidir. Yani son nâzil olan bir ayet, kronolojik olarak yıllar önce nâzil olmuş bir surenin ortasına yerleştirilebilmektedir; bu durum ise nüzul süreci bitmeden statik bir kitap ciltlemesi yapmayı teknik olarak imkansız kılmaktadır.</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Son olarak, vahyin tamamlanması (nüzulün hitamı) ile Hz. Peygamber’in vefatı arasında geçen zaman diliminin, tüm bu dağınık malzemeyi resmi bir devlet komisyonu eliyle tek bir ciltte toplamaya imkan tanımayacak derecede kısa ve dar olmasıdır [26].</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Yazılı vahiy malzemelerinin Hz. Peygamber döneminde tek bir cilt halinde bir araya getirilmemiş olması, bazı oryantalist iddiaların aksine vahyin o dönemde yazıya geçirilmediği anlamına kesinlikle gelmez; bilakis yazılan orijinal metinlerin tek bir devlet arşivinde ciltlenmiş halde bulunmayıp, ashabın ellerinde ve hücre-i saâdette dağınık yazı malzemeleri üzerinde muhafaza edildiğine delalet eder. Nitekim Hâris el-Muhâsibî’nin (ö. 243/857) de isabetle belirttiği üzere, Kur’an’ın yazıya geçirilmesi nüzûl sonrasında sıfırdan ihdas edilmiş yeni bir mesele değildir. Çünkü Hz. Peygamber, vahyin ilk anından itibaren onun yazılmasını emretmiş; ancak bu yazım faaliyeti, dönemin ampirik ve coğrafi imkanları doğrultusunda parşömen, papirüs, işlenmiş deri (rak), yassı taşlar (lihâf), kürek kemikleri (ektâf) ve hurma dalları (usub) gibi farklı epigrafi malzemeleri üzerine dağınık bir biçimde gerçekleştirilmiştir [27].</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Nüzûl döneminde eşzamanlı olarak yazıya geçirilen bu orijinal vahiy metinlerinin tam olarak nasıl muhafaza edildiği ve arşivlendiği meselesi de Kur’an metin tarihi açısından üzerinde durulması gereken kritik bir konudur. Klasik rivayet zincirlerindeki dağınık verilerden hareketle, yazılı vahiy malzemesinin korunma biçimine dair erken dönem İslâm literatüründe iki temel eğilim göze çarpmaktadır: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Muhammed Abdülazîm ez-Zürkânî (ö. 1948) gibi otoritelerin de yer verdiği birinci görüşe göre, vahiy kâtipleri tarafından Resûl-i Ekrem’in huzurunda yazılan resmi ve asıl metinler, bizzat Hz. Peygamber tarafından kontrol ve tashih edildikten sonra onun hâne-i saâdetlerinde (özel hücresinde) emniyet altında muhafaza edilmiştir [28]. Hz. Peygamber’in doğrudan denetiminden ve tashihinden geçen bu birincil nüshalar, ashabın müracaatı doğrultusunda çoğaltılmış; sahabîlerin bir kısmı bu resmi nüshalardan kendilerine özel kayıtlar çıkarırken, bir kısmı da doğrudan tashihten geçmiş bu ana metinler üzerinden kendi şahsi yazı malzemelerini istinsah etmişlerdir. Bu istinsah ve kopyalama işlemi tamamlandıktan sonra, asıl ve kurucu nüshalar tekrar Hz. Peygamber’e, hücre-i saâdete teslim edilmiştir. Bu yaklaşımı benimseyen âlimler, Hz. Ebû Bekir’in hilafeti dönemindeki kurumsal derleme (cem) faaliyeti sırasında, görevli komisyonun Hz. Peygamber’in evine müracaat ederek orada muhafaza edilen bu birincil yazılı metinleri topladığına dair tarihi rivayetleri en güçlü dayanak olarak zikrederler [29].</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İkinci görüş ise, nâzil olan vahiy metinlerinin, bunları o esnada fiilen kaleme alan vahiy kâtiplerinin şahsi zimmetinde ve yanlarında kaldığı yönündedir. Bu yaklaşımı savunan araştırmacılar, yazılı metinlerden şahsi nüsha almak veya ezberlerini kontrol etmek isteyen diğer sahabîler için bu yöntemin lojistik açıdan çok daha pratik ve erişilebilir olduğunu ileri sürerler. Ayrıca bu görüş sahipleri, Hz. Ebû Bekir’in Kur’an’ı derlemekle yetkilendirdiği Zeyd b. Sâbit’e, “Kur’an’ı git ve ashabın elindeki malzemeleri araştırarak topla.” şeklinde geniş kapsamlı bir talimat vermesini, yazılan resmi metinlerin tek bir merkezi odada kilitli tutulmayıp, farklı sahabîlerin ve kâtiplerin ellerinde dağınık coğrafi noktalarda muhafaza edildiğinin en net tarihi kanıtı olarak sunarlar [30].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 iki tarihsel yaklaşım metodolojik olarak birlikte değerlendirildiğinde, nüzûl döneminde vahyin büyük bir ciddiyetle ve çifte denetimle (hem ezber hem yazı) kayıt altına alındığı, ancak bu kayıtların tek bir ciltte birleştirilip standart bir kitap formatına dönüştürülmediği sabittir. Bu durum, Kur’an-ı Kerim’in erken dönemde hem şifahî hem de kitâbî yollarla tam bir otantiklikle güvence altına alındığını, fakat onun kurumsal bir devlet projesi olarak kitaplaşma sürecinin, Hz. Peygamber’in vefatının ardından ortaya çıkan yeni sosyo-politik ve tarihsel şartların zorunlu bir sonucu olarak neticelendiğini ortaya koymaktadır.</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Kaynakça</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İbn Kuteybe, Ebû Muhammed Abdullah b. Müslim. </w:t>
      </w:r>
      <w:r w:rsidDel="00000000" w:rsidR="00000000" w:rsidRPr="00000000">
        <w:rPr>
          <w:i w:val="1"/>
          <w:iCs w:val="1"/>
          <w:rtl w:val="0"/>
        </w:rPr>
        <w:t xml:space="preserve">Teʾvîlü muhtelifil-hadîs</w:t>
      </w:r>
      <w:r w:rsidDel="00000000" w:rsidR="00000000" w:rsidRPr="00000000">
        <w:rPr>
          <w:rtl w:val="0"/>
        </w:rPr>
        <w:t xml:space="preserve">. Kahire: Mektebetü'l-Külliyyâti'l-Ezheriyye, 1972, s. 287.</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Hatîb el-Bağdâdî, Ebû Bekir Ahmed b. Ali. </w:t>
      </w:r>
      <w:r w:rsidDel="00000000" w:rsidR="00000000" w:rsidRPr="00000000">
        <w:rPr>
          <w:i w:val="1"/>
          <w:iCs w:val="1"/>
          <w:rtl w:val="0"/>
        </w:rPr>
        <w:t xml:space="preserve">Takyîdü'l-ilm</w:t>
      </w:r>
      <w:r w:rsidDel="00000000" w:rsidR="00000000" w:rsidRPr="00000000">
        <w:rPr>
          <w:rtl w:val="0"/>
        </w:rPr>
        <w:t xml:space="preserve">. thk. Yûsuf el-Işş. Beyrut: Dârü İhyâis-Sünnetin-Nebeviyye, 1974, s. 57.</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 İbn Fâris, Ebû el-Hüseyn Ahmed b. Zekeriyyâ. </w:t>
      </w:r>
      <w:r w:rsidDel="00000000" w:rsidR="00000000" w:rsidRPr="00000000">
        <w:rPr>
          <w:i w:val="1"/>
          <w:iCs w:val="1"/>
          <w:rtl w:val="0"/>
        </w:rPr>
        <w:t xml:space="preserve">es-Sâhibî fî fıkhi'l-luga ve sünenil-Arab fî kelâmihâ</w:t>
      </w:r>
      <w:r w:rsidDel="00000000" w:rsidR="00000000" w:rsidRPr="00000000">
        <w:rPr>
          <w:rtl w:val="0"/>
        </w:rPr>
        <w:t xml:space="preserve">. thk. Ömer Fârûk ed-Debbâg. Beyrut: Dârü'l-Kütübi'l-İlmiyye, 1997, s. 12; es-Süyûtî, Celâleddîn Abdurrahmân b. Ebî Bakir. </w:t>
      </w:r>
      <w:r w:rsidDel="00000000" w:rsidR="00000000" w:rsidRPr="00000000">
        <w:rPr>
          <w:i w:val="1"/>
          <w:iCs w:val="1"/>
          <w:rtl w:val="0"/>
        </w:rPr>
        <w:t xml:space="preserve">el-Müzhir fî ulûmi'l-luga ve envâʾihâ</w:t>
      </w:r>
      <w:r w:rsidDel="00000000" w:rsidR="00000000" w:rsidRPr="00000000">
        <w:rPr>
          <w:rtl w:val="0"/>
        </w:rPr>
        <w:t xml:space="preserve">. thk. Fuâd Ali Mansûr. Beyrut: Dârü'l-Kütübi'l-İlmiyye, 1998, c. II, s. 344.</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el-Hamed, Gânim Kaddûrî. </w:t>
      </w:r>
      <w:r w:rsidDel="00000000" w:rsidR="00000000" w:rsidRPr="00000000">
        <w:rPr>
          <w:i w:val="1"/>
          <w:iCs w:val="1"/>
          <w:rtl w:val="0"/>
        </w:rPr>
        <w:t xml:space="preserve">Resmi'l-mushaf: Dirâsetün lügaviyyetün târîhiyyetün</w:t>
      </w:r>
      <w:r w:rsidDel="00000000" w:rsidR="00000000" w:rsidRPr="00000000">
        <w:rPr>
          <w:rtl w:val="0"/>
        </w:rPr>
        <w:t xml:space="preserve">. Amman: Dârü Ammâr li'n-Neşri ve't-Tevzî', 1982, s. 21.</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ez-Zehebî, Şemseddîn Muhammed b. Ahmed. </w:t>
      </w:r>
      <w:r w:rsidDel="00000000" w:rsidR="00000000" w:rsidRPr="00000000">
        <w:rPr>
          <w:i w:val="1"/>
          <w:iCs w:val="1"/>
          <w:rtl w:val="0"/>
        </w:rPr>
        <w:t xml:space="preserve">Siyeru a'lâmi'n-nübelâʾ</w:t>
      </w:r>
      <w:r w:rsidDel="00000000" w:rsidR="00000000" w:rsidRPr="00000000">
        <w:rPr>
          <w:rtl w:val="0"/>
        </w:rPr>
        <w:t xml:space="preserve">. thk. Şuayb el-Arnaût. Beyrut: Müessesetü'r-Risâle, 1996, c. II, s. 115.</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İbn Kuteybe, </w:t>
      </w:r>
      <w:r w:rsidDel="00000000" w:rsidR="00000000" w:rsidRPr="00000000">
        <w:rPr>
          <w:i w:val="1"/>
          <w:iCs w:val="1"/>
          <w:rtl w:val="0"/>
        </w:rPr>
        <w:t xml:space="preserve">Teʾvîlü muhtelifil-hadîs</w:t>
      </w:r>
      <w:r w:rsidDel="00000000" w:rsidR="00000000" w:rsidRPr="00000000">
        <w:rPr>
          <w:rtl w:val="0"/>
        </w:rPr>
        <w:t xml:space="preserve">, s. 143.</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İbn Hişâm, Ebû Muhammed Abdülmelik. </w:t>
      </w:r>
      <w:r w:rsidDel="00000000" w:rsidR="00000000" w:rsidRPr="00000000">
        <w:rPr>
          <w:i w:val="1"/>
          <w:iCs w:val="1"/>
          <w:rtl w:val="0"/>
        </w:rPr>
        <w:t xml:space="preserve">es-Sîretü'n-nebeviyye</w:t>
      </w:r>
      <w:r w:rsidDel="00000000" w:rsidR="00000000" w:rsidRPr="00000000">
        <w:rPr>
          <w:rtl w:val="0"/>
        </w:rPr>
        <w:t xml:space="preserve">. thk. Mustafa es-Sakkâ, İbrâhim el-Ebyârî, Abdülhafîz Şelebî. Kahire: Mustafa el-Bâbî el-Halebî, 1955, c. I, s. 118; Çetin, Nihad M. "Yazı". </w:t>
      </w:r>
      <w:r w:rsidDel="00000000" w:rsidR="00000000" w:rsidRPr="00000000">
        <w:rPr>
          <w:i w:val="1"/>
          <w:iCs w:val="1"/>
          <w:rtl w:val="0"/>
        </w:rPr>
        <w:t xml:space="preserve">Türkiye Diyanet Vakfı İslâm Ansiklopedisi</w:t>
      </w:r>
      <w:r w:rsidDel="00000000" w:rsidR="00000000" w:rsidRPr="00000000">
        <w:rPr>
          <w:rtl w:val="0"/>
        </w:rPr>
        <w:t xml:space="preserve">. İstanbul: TDV Yayınları, 2013, c. XLIII, s. 512-522.</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İbnü'n-Nedîm, Ebû el-Ferec Muhammed b. Ebî Ya'kûb. </w:t>
      </w:r>
      <w:r w:rsidDel="00000000" w:rsidR="00000000" w:rsidRPr="00000000">
        <w:rPr>
          <w:i w:val="1"/>
          <w:iCs w:val="1"/>
          <w:rtl w:val="0"/>
        </w:rPr>
        <w:t xml:space="preserve">el-Fihrist</w:t>
      </w:r>
      <w:r w:rsidDel="00000000" w:rsidR="00000000" w:rsidRPr="00000000">
        <w:rPr>
          <w:rtl w:val="0"/>
        </w:rPr>
        <w:t xml:space="preserve">. thk. İbrâhim Ramadân. Beyrut: Dârü'l-Ma'rifet, 1997, s. 123; Sezgin, Fuat. </w:t>
      </w:r>
      <w:r w:rsidDel="00000000" w:rsidR="00000000" w:rsidRPr="00000000">
        <w:rPr>
          <w:i w:val="1"/>
          <w:iCs w:val="1"/>
          <w:rtl w:val="0"/>
        </w:rPr>
        <w:t xml:space="preserve">Buhârî'nin Kaynakları</w:t>
      </w:r>
      <w:r w:rsidDel="00000000" w:rsidR="00000000" w:rsidRPr="00000000">
        <w:rPr>
          <w:rtl w:val="0"/>
        </w:rPr>
        <w:t xml:space="preserve">. Ankara: Kitâbiyât Yayınları, 2000, s. 30; Maşalı, Mehmet Emin. </w:t>
      </w:r>
      <w:r w:rsidDel="00000000" w:rsidR="00000000" w:rsidRPr="00000000">
        <w:rPr>
          <w:i w:val="1"/>
          <w:iCs w:val="1"/>
          <w:rtl w:val="0"/>
        </w:rPr>
        <w:t xml:space="preserve">Kur'ân'ın Metin Yapısı: İmlâ, Kıraat ve Anlam İlişkisi</w:t>
      </w:r>
      <w:r w:rsidDel="00000000" w:rsidR="00000000" w:rsidRPr="00000000">
        <w:rPr>
          <w:rtl w:val="0"/>
        </w:rPr>
        <w:t xml:space="preserve">. Ankara: Otto Yayınları, 2015, s. 38.</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el-Batalyevsî, Ebû Muhammed Abdullah b. Muhammed. </w:t>
      </w:r>
      <w:r w:rsidDel="00000000" w:rsidR="00000000" w:rsidRPr="00000000">
        <w:rPr>
          <w:i w:val="1"/>
          <w:iCs w:val="1"/>
          <w:rtl w:val="0"/>
        </w:rPr>
        <w:t xml:space="preserve">el-İktidâb fî şerhi Edebi'l-küttâb</w:t>
      </w:r>
      <w:r w:rsidDel="00000000" w:rsidR="00000000" w:rsidRPr="00000000">
        <w:rPr>
          <w:rtl w:val="0"/>
        </w:rPr>
        <w:t xml:space="preserve">. thk. Mustafa es-Sakkâ, Hâmid Abdülmecîd. Kahire: el-Hey'etü'l-Mısriyyetü'l-Âmme li'l-Kitâb, 1983, c. I, s. 199.</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İbn Sa'd, Ebû Abdullah Muhammed. </w:t>
      </w:r>
      <w:r w:rsidDel="00000000" w:rsidR="00000000" w:rsidRPr="00000000">
        <w:rPr>
          <w:i w:val="1"/>
          <w:iCs w:val="1"/>
          <w:rtl w:val="0"/>
        </w:rPr>
        <w:t xml:space="preserve">et-Tabakâtü'l-kübrâ</w:t>
      </w:r>
      <w:r w:rsidDel="00000000" w:rsidR="00000000" w:rsidRPr="00000000">
        <w:rPr>
          <w:rtl w:val="0"/>
        </w:rPr>
        <w:t xml:space="preserve">. thk. Ali Muhammed Ömer. Kahire: Mektebetü'l-Hâncî, 2001, c. III, s. 498.</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Goldziher, Ignaz. </w:t>
      </w:r>
      <w:r w:rsidDel="00000000" w:rsidR="00000000" w:rsidRPr="00000000">
        <w:rPr>
          <w:i w:val="1"/>
          <w:iCs w:val="1"/>
          <w:rtl w:val="0"/>
        </w:rPr>
        <w:t xml:space="preserve">Klasik Arap Literatürü</w:t>
      </w:r>
      <w:r w:rsidDel="00000000" w:rsidR="00000000" w:rsidRPr="00000000">
        <w:rPr>
          <w:rtl w:val="0"/>
        </w:rPr>
        <w:t xml:space="preserve">. çev. Azmi Yüksel, Rahmi Er. Ankara: İmaj Yayınları, 1993, s. 13.</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İbn Kesîr, Ebû el-Fidâ İsmâîl b. Ömer. </w:t>
      </w:r>
      <w:r w:rsidDel="00000000" w:rsidR="00000000" w:rsidRPr="00000000">
        <w:rPr>
          <w:i w:val="1"/>
          <w:iCs w:val="1"/>
          <w:rtl w:val="0"/>
        </w:rPr>
        <w:t xml:space="preserve">el-Bidâye ve'n-nihâye</w:t>
      </w:r>
      <w:r w:rsidDel="00000000" w:rsidR="00000000" w:rsidRPr="00000000">
        <w:rPr>
          <w:rtl w:val="0"/>
        </w:rPr>
        <w:t xml:space="preserve">. thk. Abdullah b. Abdülmuhsin et-Türkî. Kahire: Dârü Hicr, 1998, c. V, s. 340.</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 el-Asamî, Muhammed Mustafa. </w:t>
      </w:r>
      <w:r w:rsidDel="00000000" w:rsidR="00000000" w:rsidRPr="00000000">
        <w:rPr>
          <w:i w:val="1"/>
          <w:iCs w:val="1"/>
          <w:rtl w:val="0"/>
        </w:rPr>
        <w:t xml:space="preserve">Vahyedilişinden Derlenişine Kur'ân Tarihi: Eski ve Yeni Ahit ile Karşılaştırmalı Bir Araştırma</w:t>
      </w:r>
      <w:r w:rsidDel="00000000" w:rsidR="00000000" w:rsidRPr="00000000">
        <w:rPr>
          <w:rtl w:val="0"/>
        </w:rPr>
        <w:t xml:space="preserve">. çev. Ömer Türker, Fatih Serenli. İstanbul: İz Yayıncılık, 2006, s. 105.</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 Demirci, Muhsin. </w:t>
      </w:r>
      <w:r w:rsidDel="00000000" w:rsidR="00000000" w:rsidRPr="00000000">
        <w:rPr>
          <w:i w:val="1"/>
          <w:iCs w:val="1"/>
          <w:rtl w:val="0"/>
        </w:rPr>
        <w:t xml:space="preserve">Kur'ân Tarihi</w:t>
      </w:r>
      <w:r w:rsidDel="00000000" w:rsidR="00000000" w:rsidRPr="00000000">
        <w:rPr>
          <w:rtl w:val="0"/>
        </w:rPr>
        <w:t xml:space="preserve">. İstanbul: M.Ü. İlahiyat Fakültesi Vakfı Yayınları, 2015, s. 126.</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 et-Tirmizî, Ebû Îsâ Muhammed b. Îsâ. </w:t>
      </w:r>
      <w:r w:rsidDel="00000000" w:rsidR="00000000" w:rsidRPr="00000000">
        <w:rPr>
          <w:i w:val="1"/>
          <w:iCs w:val="1"/>
          <w:rtl w:val="0"/>
        </w:rPr>
        <w:t xml:space="preserve">el-Câmi'u's-sahîh (Sünenü't-Tirmizî)</w:t>
      </w:r>
      <w:r w:rsidDel="00000000" w:rsidR="00000000" w:rsidRPr="00000000">
        <w:rPr>
          <w:rtl w:val="0"/>
        </w:rPr>
        <w:t xml:space="preserve">. thk. Ahmed Muhammed Şâkir. Kahire: Mustafa el-Bâbî el-Halebî, 1975, c. IV, s. 177; İbn Hanbel, Ahmed. </w:t>
      </w:r>
      <w:r w:rsidDel="00000000" w:rsidR="00000000" w:rsidRPr="00000000">
        <w:rPr>
          <w:i w:val="1"/>
          <w:iCs w:val="1"/>
          <w:rtl w:val="0"/>
        </w:rPr>
        <w:t xml:space="preserve">el-Müsned</w:t>
      </w:r>
      <w:r w:rsidDel="00000000" w:rsidR="00000000" w:rsidRPr="00000000">
        <w:rPr>
          <w:rtl w:val="0"/>
        </w:rPr>
        <w:t xml:space="preserve">. thk. Şuayb el-Arnaût. Beyrut: Müessesetü'r-Risâle, 2001, c. II, s. 12.</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 et-Tirmizî, </w:t>
      </w:r>
      <w:r w:rsidDel="00000000" w:rsidR="00000000" w:rsidRPr="00000000">
        <w:rPr>
          <w:i w:val="1"/>
          <w:iCs w:val="1"/>
          <w:rtl w:val="0"/>
        </w:rPr>
        <w:t xml:space="preserve">el-Câmi'u's-sahîh</w:t>
      </w:r>
      <w:r w:rsidDel="00000000" w:rsidR="00000000" w:rsidRPr="00000000">
        <w:rPr>
          <w:rtl w:val="0"/>
        </w:rPr>
        <w:t xml:space="preserve">, c. V, s. 5; İbn Hanbel, </w:t>
      </w:r>
      <w:r w:rsidDel="00000000" w:rsidR="00000000" w:rsidRPr="00000000">
        <w:rPr>
          <w:i w:val="1"/>
          <w:iCs w:val="1"/>
          <w:rtl w:val="0"/>
        </w:rPr>
        <w:t xml:space="preserve">el-Müsned</w:t>
      </w:r>
      <w:r w:rsidDel="00000000" w:rsidR="00000000" w:rsidRPr="00000000">
        <w:rPr>
          <w:rtl w:val="0"/>
        </w:rPr>
        <w:t xml:space="preserve">, c. I, s. 57.</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[24] el-Belâzürî, Ahmed b. Yahyâ. </w:t>
      </w:r>
      <w:r w:rsidDel="00000000" w:rsidR="00000000" w:rsidRPr="00000000">
        <w:rPr>
          <w:i w:val="1"/>
          <w:iCs w:val="1"/>
          <w:rtl w:val="0"/>
        </w:rPr>
        <w:t xml:space="preserve">Futûhu'l-büldân</w:t>
      </w:r>
      <w:r w:rsidDel="00000000" w:rsidR="00000000" w:rsidRPr="00000000">
        <w:rPr>
          <w:rtl w:val="0"/>
        </w:rPr>
        <w:t xml:space="preserve">. thk. Rıdvân Muhammed Rıdvân. Beyrut: Dârü'l-Kütübi'l-İlmiyye, 1983, s. 33.</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[25] el-Buhârî, Ebû Abdullah Muhammed b. İsmâîl. </w:t>
      </w:r>
      <w:r w:rsidDel="00000000" w:rsidR="00000000" w:rsidRPr="00000000">
        <w:rPr>
          <w:i w:val="1"/>
          <w:iCs w:val="1"/>
          <w:rtl w:val="0"/>
        </w:rPr>
        <w:t xml:space="preserve">Sahîhu'l-Buhârî</w:t>
      </w:r>
      <w:r w:rsidDel="00000000" w:rsidR="00000000" w:rsidRPr="00000000">
        <w:rPr>
          <w:rtl w:val="0"/>
        </w:rPr>
        <w:t xml:space="preserve">. Dımaşk: Dâru İbn Kesîr, 2002, c. I, s. 1275.</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[26] el-Kaysî, Mekkî b. Ebî Tâlib. </w:t>
      </w:r>
      <w:r w:rsidDel="00000000" w:rsidR="00000000" w:rsidRPr="00000000">
        <w:rPr>
          <w:i w:val="1"/>
          <w:iCs w:val="1"/>
          <w:rtl w:val="0"/>
        </w:rPr>
        <w:t xml:space="preserve">el-İbâne an me'ânî'l-kırâ'ât</w:t>
      </w:r>
      <w:r w:rsidDel="00000000" w:rsidR="00000000" w:rsidRPr="00000000">
        <w:rPr>
          <w:rtl w:val="0"/>
        </w:rPr>
        <w:t xml:space="preserve">. thk. Abdülfettâh İsmâîl Şelebî. Kahire: Dârü Nehdati Mısr, 1979, s. 57; ez-Zerkeşî, Bedreddin Muhammed b. Abdullah. </w:t>
      </w:r>
      <w:r w:rsidDel="00000000" w:rsidR="00000000" w:rsidRPr="00000000">
        <w:rPr>
          <w:i w:val="1"/>
          <w:iCs w:val="1"/>
          <w:rtl w:val="0"/>
        </w:rPr>
        <w:t xml:space="preserve">el-Burhân fî ulûmi'l-Kur'ân</w:t>
      </w:r>
      <w:r w:rsidDel="00000000" w:rsidR="00000000" w:rsidRPr="00000000">
        <w:rPr>
          <w:rtl w:val="0"/>
        </w:rPr>
        <w:t xml:space="preserve">. thk. Muhammed Ebû el-Fadl İbrâhim. Kahire: Dârü İhyâi'l-Kütübi'l-Arabiyye, 1957, c. I, s. 262.</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[27] ez-Zerkeşî, </w:t>
      </w:r>
      <w:r w:rsidDel="00000000" w:rsidR="00000000" w:rsidRPr="00000000">
        <w:rPr>
          <w:i w:val="1"/>
          <w:iCs w:val="1"/>
          <w:rtl w:val="0"/>
        </w:rPr>
        <w:t xml:space="preserve">el-Burhân</w:t>
      </w:r>
      <w:r w:rsidDel="00000000" w:rsidR="00000000" w:rsidRPr="00000000">
        <w:rPr>
          <w:rtl w:val="0"/>
        </w:rPr>
        <w:t xml:space="preserve">, c. II, s. 238.</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[28] ez-Zürkânî, Muhammed Abdülazîm. </w:t>
      </w:r>
      <w:r w:rsidDel="00000000" w:rsidR="00000000" w:rsidRPr="00000000">
        <w:rPr>
          <w:i w:val="1"/>
          <w:iCs w:val="1"/>
          <w:rtl w:val="0"/>
        </w:rPr>
        <w:t xml:space="preserve">Menâhilü'l-irfân fî ulûmi'l-Kur'ân</w:t>
      </w:r>
      <w:r w:rsidDel="00000000" w:rsidR="00000000" w:rsidRPr="00000000">
        <w:rPr>
          <w:rtl w:val="0"/>
        </w:rPr>
        <w:t xml:space="preserve">. thk. Ahmed Şemsüddin. Beyrut: Dârü'l-Kütübi'l-İlmiyye, 1996, c. I, s. 140.</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[29] es-Süyûtî, Celâleddîn. </w:t>
      </w:r>
      <w:r w:rsidDel="00000000" w:rsidR="00000000" w:rsidRPr="00000000">
        <w:rPr>
          <w:i w:val="1"/>
          <w:iCs w:val="1"/>
          <w:rtl w:val="0"/>
        </w:rPr>
        <w:t xml:space="preserve">el-İtkân fî ulûmi'l-Kur'ân</w:t>
      </w:r>
      <w:r w:rsidDel="00000000" w:rsidR="00000000" w:rsidRPr="00000000">
        <w:rPr>
          <w:rtl w:val="0"/>
        </w:rPr>
        <w:t xml:space="preserve">. thk. Muhammed Ebû el-Fadl İbrâhim. Kahire: el-Hey'etü'l-Mısriyyetü'l-Âmme li'l-Kitâb, 1974, c. IV, s. 58.</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 Demirci, </w:t>
      </w:r>
      <w:r w:rsidDel="00000000" w:rsidR="00000000" w:rsidRPr="00000000">
        <w:rPr>
          <w:i w:val="1"/>
          <w:iCs w:val="1"/>
          <w:rtl w:val="0"/>
        </w:rPr>
        <w:t xml:space="preserve">Kur'ân Tarihi</w:t>
      </w:r>
      <w:r w:rsidDel="00000000" w:rsidR="00000000" w:rsidRPr="00000000">
        <w:rPr>
          <w:rtl w:val="0"/>
        </w:rPr>
        <w:t xml:space="preserve">, s. 134-135.</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oogle.com/search?q=i%CC%87bn+f%C3%A2ris&amp;kgmid=/g/122690v9" TargetMode="External"/><Relationship Id="rId9" Type="http://schemas.openxmlformats.org/officeDocument/2006/relationships/hyperlink" Target="https://www.google.com/search?q=hat%C3%AEb+el-ba%C4%9Fd%C3%A2d%C3%AE&amp;kgmid=/m/093_xp" TargetMode="External"/><Relationship Id="rId5" Type="http://schemas.openxmlformats.org/officeDocument/2006/relationships/styles" Target="styles.xml"/><Relationship Id="rId6" Type="http://schemas.openxmlformats.org/officeDocument/2006/relationships/hyperlink" Target="https://www.google.com/search?q=i%CC%87bn+kuteybe&amp;kgmid=/m/07c5qf" TargetMode="External"/><Relationship Id="rId7" Type="http://schemas.openxmlformats.org/officeDocument/2006/relationships/hyperlink" Target="https://www.google.com/search?q=hat%C3%AEb+el-ba%C4%9Fd%C3%A2d%C3%AE&amp;kgmid=/m/093_xp" TargetMode="External"/><Relationship Id="rId8" Type="http://schemas.openxmlformats.org/officeDocument/2006/relationships/hyperlink" Target="https://www.google.com/search?q=abdullah+b.+amr&amp;kgmid=/m/0fpg9p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