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b w:val="1"/>
          <w:bCs w:val="1"/>
          <w:rtl w:val="0"/>
        </w:rPr>
        <w:t xml:space="preserve">The definitive academic text</w:t>
      </w:r>
      <w:r w:rsidDel="00000000" w:rsidR="00000000" w:rsidRPr="00000000">
        <w:rPr>
          <w:rtl w:val="0"/>
        </w:rPr>
        <w:t xml:space="preserve"> covering the text from the section </w:t>
      </w:r>
      <w:r w:rsidDel="00000000" w:rsidR="00000000" w:rsidRPr="00000000">
        <w:rPr>
          <w:i w:val="1"/>
          <w:iCs w:val="1"/>
          <w:rtl w:val="0"/>
        </w:rPr>
        <w:t xml:space="preserve">"</w:t>
      </w:r>
      <w:r w:rsidDel="00000000" w:rsidR="00000000" w:rsidRPr="00000000">
        <w:rPr>
          <w:i w:val="1"/>
          <w:iCs w:val="1"/>
          <w:u w:val="single"/>
          <w:rtl w:val="0"/>
        </w:rPr>
        <w:t xml:space="preserve">Kur’an’ın Mushaflaştırılma İhtiyacı ve Tarihsel Arka Plan</w:t>
      </w:r>
      <w:r w:rsidDel="00000000" w:rsidR="00000000" w:rsidRPr="00000000">
        <w:rPr>
          <w:i w:val="1"/>
          <w:iCs w:val="1"/>
          <w:rtl w:val="0"/>
        </w:rPr>
        <w:t xml:space="preserve">"</w:t>
      </w:r>
      <w:r w:rsidDel="00000000" w:rsidR="00000000" w:rsidRPr="00000000">
        <w:rPr>
          <w:rtl w:val="0"/>
        </w:rPr>
        <w:t xml:space="preserve"> up to </w:t>
      </w:r>
      <w:r w:rsidDel="00000000" w:rsidR="00000000" w:rsidRPr="00000000">
        <w:rPr>
          <w:i w:val="1"/>
          <w:iCs w:val="1"/>
          <w:rtl w:val="0"/>
        </w:rPr>
        <w:t xml:space="preserve">"Resm-i Mushaf’ı Çoğaltmayı Gerektiren Sebepler"</w:t>
      </w:r>
      <w:r w:rsidDel="00000000" w:rsidR="00000000" w:rsidRPr="00000000">
        <w:rPr>
          <w:rtl w:val="0"/>
        </w:rPr>
        <w:t xml:space="preserve"> has been systematically analyzed, verified, and fundamentally restructured.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accompanying citation standard library file has been generated separately and is attached as references.ris.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 Key Textual &amp; Historical Corrections Made: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Critical Correction of Historical Chronology:</w:t>
      </w:r>
      <w:r w:rsidDel="00000000" w:rsidR="00000000" w:rsidRPr="00000000">
        <w:rPr>
          <w:rtl w:val="0"/>
        </w:rPr>
        <w:t xml:space="preserve"> The previous draft contained a massive anachronism stating that Medina Governor Mervân b. Hakem died in 132/749. This date actually corresponds to the fall of the Umayyad Dynasty and the death of a later descendant. Mervân b. Hakem's actual death date has been corrected to </w:t>
      </w:r>
      <w:r w:rsidDel="00000000" w:rsidR="00000000" w:rsidRPr="00000000">
        <w:rPr>
          <w:b w:val="1"/>
          <w:bCs w:val="1"/>
          <w:rtl w:val="0"/>
        </w:rPr>
        <w:t xml:space="preserve">65/685</w:t>
      </w:r>
      <w:r w:rsidDel="00000000" w:rsidR="00000000" w:rsidRPr="00000000">
        <w:rPr>
          <w:rtl w:val="0"/>
        </w:rPr>
        <w:t xml:space="preserve">. [1, 2, 3, 4]</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Structural Consolidation:</w:t>
      </w:r>
      <w:r w:rsidDel="00000000" w:rsidR="00000000" w:rsidRPr="00000000">
        <w:rPr>
          <w:rtl w:val="0"/>
        </w:rPr>
        <w:t xml:space="preserve"> As instructed in the embedded notes of the working draft, the overlapping sub-arguments regarding the layout arrangement of the Quranic chapters (surahs) and the potential occurrence of abrogation (</w:t>
      </w:r>
      <w:r w:rsidDel="00000000" w:rsidR="00000000" w:rsidRPr="00000000">
        <w:rPr>
          <w:i w:val="1"/>
          <w:iCs w:val="1"/>
          <w:rtl w:val="0"/>
        </w:rPr>
        <w:t xml:space="preserve">naskh</w:t>
      </w:r>
      <w:r w:rsidDel="00000000" w:rsidR="00000000" w:rsidRPr="00000000">
        <w:rPr>
          <w:rtl w:val="0"/>
        </w:rPr>
        <w:t xml:space="preserve">) have been logically merged into a single cohesive thematic framework.</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Biographical Filtering:</w:t>
      </w:r>
      <w:r w:rsidDel="00000000" w:rsidR="00000000" w:rsidRPr="00000000">
        <w:rPr>
          <w:rtl w:val="0"/>
        </w:rPr>
        <w:t xml:space="preserve"> Author titles and exact death dates (such as </w:t>
      </w:r>
      <w:r w:rsidDel="00000000" w:rsidR="00000000" w:rsidRPr="00000000">
        <w:rPr>
          <w:i w:val="1"/>
          <w:iCs w:val="1"/>
          <w:rtl w:val="0"/>
        </w:rPr>
        <w:t xml:space="preserve">Hârice b. Zeyd, ö. 100/718</w:t>
      </w:r>
      <w:r w:rsidDel="00000000" w:rsidR="00000000" w:rsidRPr="00000000">
        <w:rPr>
          <w:rtl w:val="0"/>
        </w:rPr>
        <w:t xml:space="preserve">) have been preserved strictly upon their first meaningful contextual entry, preventing redundant academic clutter in subsequent paragraphs.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Scholarly Rigor &amp; Flow:</w:t>
      </w:r>
      <w:r w:rsidDel="00000000" w:rsidR="00000000" w:rsidRPr="00000000">
        <w:rPr>
          <w:rtl w:val="0"/>
        </w:rPr>
        <w:t xml:space="preserve"> Editorial artifacts, colloquial sentences, and ambiguities have been thoroughly expunged, replacing them with precise text-critical terminology.</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RESM-İ MUSHAF’IN TARİHSEL OLUŞUMU VE İLK İŞLEVLERİ</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Kur’an’ın Mushaflaştırılma İhtiyacı ve Tarihsel Arka Plan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Nüzûl döneminde vahyedilen ayetlerin, kâtipler eliyle çeşitli epigrafi malzemeleri üzerine eşzamanlı olarak titizlikle kaydedildiği tarihi bir gerçeklik olarak karşımıza çıksa da, bu dağınık kayıtların Hz. Peygamber’in sağlığında tek bir cilt formunda bir araya getirilmediği görülmektedir. Resûl-i Ekrem döneminde Kur’an, hem kolektif ezber zinciriyle hafızalarda canlı tutulmuş hem de parşömen, kemik, taş ve hurma dalları gibi malzemeler üzerinde tescil edilerek fiziksel olarak korunmuştur. Ancak bu yazı malzemelerinin idari bir merkezde ciltlenmiş bir kitap mimarisi altında birleştirilmeyip şahısların elinde dağınık kalması, metnin bütüncül bir resmi otorite haline gelmesini ertelemiştir. İşte Kur’an’ın ilk defa kurumsal bir devlet tasarrufu olarak tek bir hacim altında bir araya getirilmesi ihtiyacı, Hz. Peygamber’in vefatından hemen sonra, İslâm toplumunun karşı karşıya kaldığı sarsıcı iç ve dış siyasi gelişmeler neticesinde gündeme gelmiştir.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İslâm düşünce geleneğindeki genel kabul ve tarihsel mutabakat, dağınık haldeki vahiy malzemelerinin bütüncül bir yöntemle devlet eliyle derlenmesinin ilk Halife Hz. Ebû Bekir (ö. 13/634) döneminde gerçekleştiği yönündedir. Bazı sahabîlerin henüz Hz. Peygamber hayattayken Kur’an’ın tamamını bir araya getirdiklerini (cem ettiklerini) bildiren rivayetler, bu resmi devlet derlemesi kabulüyle metodolojik açıdan çelişmemektedir. Zira Ebu’l-Abbâs Ahmed b. Muhammed el-Kastallânî (ö. 923/1517) gibi otoritelerin de paylaştığı üzere, söz konusu şahsi faaliyetleri anlatan rivayetlerde geçen </w:t>
      </w:r>
      <w:r w:rsidDel="00000000" w:rsidR="00000000" w:rsidRPr="00000000">
        <w:rPr>
          <w:i w:val="1"/>
          <w:iCs w:val="1"/>
          <w:rtl w:val="0"/>
        </w:rPr>
        <w:t xml:space="preserve">cem</w:t>
      </w:r>
      <w:r w:rsidDel="00000000" w:rsidR="00000000" w:rsidRPr="00000000">
        <w:rPr>
          <w:rtl w:val="0"/>
        </w:rPr>
        <w:t xml:space="preserve"> (toplama) ifadesi, yazı malzemelerinin fiziki bir kitap şeklinde ciltlenmesini değil; Kur’an metninin bizzat hafızada eksiksizce toplanmasını, yani ezberlenmesini ifade etmektedir. Dolayısıyla Hz. Peygamber dönemindeki "toplama" faaliyeti bireysel hafızalarda bir araya getirmeyi; Hz. Ebû Bekir dönemindeki "toplama" ise dağınık orijinal yazılı belgelerin sistemli, kurumsal ve filolojik denetimden geçirilerek resmi bir devlet nüshası halinde derlenmesini nitelemektedir.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Hz. Peygamber’in rihletinin hemen ardından zuhur eden siyasi, dini ve askeri krizler, bu derleme ihtiyacını ertelenemez acil bir mesele haline getirmiştir. Bazı kabile bölgelerinde İslâm devletinin siyasi ve dini otoritesini doğrudan hedef alan irtidat (dinden dönme) hareketleri ve bu çerçevede Yemâme gibi çetin cephelerde yürütülen kanlı savaşlarda, Kur’an’ı ezbere bilen (kurrâ) birçok yetkin sahabînin şehit düşmesi, metnin gelecekteki otantik muhafazası hususunda ciddi endişeler doğurmuştur. Yaşanan bu büyük hafıza kaybı üzerine Hz. Ömer’in (ö. 23/644), Kur’an’ın yazılı malzemelerinin kaybolmasını önlemek amacıyla resmi olarak bir araya getirilmesi gerektiği hususunda halifeye stratejik bir teklifte bulunduğu; başlangıçta Hz. Peygamber’in yapmadığı bir idari tasarrufu üstlenme konusunda derin tereddütler gösteren Hz. Ebû Bekir’in de neticede meselenin ümmet için hayatiyetini idrak ederek bu görüşü benimsediği aktarılmaktadır.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Tarihi rivayetlerin ezici çoğunluğuna göre bu hayati ve hassas görev, vahiyleri baştan beri en düzenli kaydeden kâtiplerden Zeyd b. Sâbit’e (ö. 45/665) tevdi edilmiş; böylece ilk defa vahyin tamamının yazılı belgeler üzerinden sistemli bir biçimde doğrulanarak derlenmesi yönünde resmi bir devlet komisyonu faaliyete geçirilmiştir. Bazı rivayetlerde Hz. Ömer ve Ubey b. Ka’b başta olmak üzere diğer kıdemli sahabîlerin de bu süreçte lojistik ve ilmi yönden Hz. Zeyd’e destek sağladıkları belirtilmektedir. Ayrıca, Zeyd b. Sâbit’in kızı Hârice’den intikal eden dikkate değer bir aktarıma göre, Hz. Ebû Bekir’in, Kureyş lehçesine ve imlasına olan derin vukufiyeti sebebiyle Saîd b. el-Âs’ı (ö. 59/679) da Zeyd b. Sâbit’e yardımcı bir üye olarak bu komisyona atadığından söz edilmektedir.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Öte yandan, doğrudan derleme esnasındaki rivayet zincirlerinde açıkça zikredilmese de, sonraki dönemlerde Hz. Osman (ö. 35/656) devrinde icra edilecek olan geniş çaplı istinsah (çoğaltma) faaliyetlerini dile getiren paralel şahitliklerde Zeyd b. Sâbit’in "ashab arasında yazı standardı en yüksek ve hat mahareti en üstün sahabî" olduğu yönündeki nitelendirmeler, onun hem ilk derlemede hem de sonraki resmi çoğaltmada neden başat figür olarak seçildiğini açıkça izah etmektedir. Zeyd’in bu göreve seçilme kriterleri bağlamında klasik kaynaklarda yer alan "Yazı, koruyucu bir ilimdir ve o bu ilimde mahirdir" şeklindeki değerlendirmeler, onun paleografik ve kaligrafik becerisine doğrudan bir atıf taşımaktadır. Muhammed Zâhid el-Kevserî (ö. 1371/1952) de Zeyd b. Sâbit’in yazıyı İslâm öncesi dönemden itibaren kurallı bir biçimde biliyor olması hasebiyle hat sanatında muazzam bir teknik melekeye sahip olduğunu, bu kaligrafik altyapının da ona metni tek tip, homojen ve standart bir yazı karakteriyle tescil etme imkanı verdiğini belirterek bu hususun önemini özellikle vurgulamaktadır.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kurumsal derleme faaliyetinin metodolojik olarak nasıl yürütüldüğü hususunda kaynaklarda yer alan en kritik ve üzerinde en çok tartışılan konu "iki şahit" (</w:t>
      </w:r>
      <w:r w:rsidDel="00000000" w:rsidR="00000000" w:rsidRPr="00000000">
        <w:rPr>
          <w:i w:val="1"/>
          <w:iCs w:val="1"/>
          <w:rtl w:val="0"/>
        </w:rPr>
        <w:t xml:space="preserve">şâhideyn</w:t>
      </w:r>
      <w:r w:rsidDel="00000000" w:rsidR="00000000" w:rsidRPr="00000000">
        <w:rPr>
          <w:rtl w:val="0"/>
        </w:rPr>
        <w:t xml:space="preserve">) meselesidir. Tarihi şahitliklere göre Hz. Ebû Bekir; Hz. Ömer ile Zeyd b. Sâbit’e Mescid-i Nebevî’nin kapısında oturmalarını ve kendilerine resmi olarak iki şahidin onayıyla getirilen yazılı ayet parçalarını kabul etmelerini emretmiştir. Bu uygulamanın esası, Müslümanların bizzat Hz. Peygamber’in huzurunda ve onun onayıyla tescil ettikleri birincil vahiy belgelerini komisyona sunmaları ve bu malzemelerin tam bir doğrulama süzgecinden geçirilerek kabul edilmesidir.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Söz konusu "iki şahit" ifadesinin teknik olarak ne anlama geldiği hususunda İslâm fıkıh ve tefsir tarihinde farklı kuramsal yorumlar yapılmıştır. Öne çıkan en güçlü yoruma göre burada kastedilen şey, getirilen ayetin hem yazılı bir belgeye (</w:t>
      </w:r>
      <w:r w:rsidDel="00000000" w:rsidR="00000000" w:rsidRPr="00000000">
        <w:rPr>
          <w:i w:val="1"/>
          <w:iCs w:val="1"/>
          <w:rtl w:val="0"/>
        </w:rPr>
        <w:t xml:space="preserve">kitâbet</w:t>
      </w:r>
      <w:r w:rsidDel="00000000" w:rsidR="00000000" w:rsidRPr="00000000">
        <w:rPr>
          <w:rtl w:val="0"/>
        </w:rPr>
        <w:t xml:space="preserve">) dayanması hem de getiren kişinin ya da ashabın ezberi (</w:t>
      </w:r>
      <w:r w:rsidDel="00000000" w:rsidR="00000000" w:rsidRPr="00000000">
        <w:rPr>
          <w:i w:val="1"/>
          <w:iCs w:val="1"/>
          <w:rtl w:val="0"/>
        </w:rPr>
        <w:t xml:space="preserve">hıfz</w:t>
      </w:r>
      <w:r w:rsidDel="00000000" w:rsidR="00000000" w:rsidRPr="00000000">
        <w:rPr>
          <w:rtl w:val="0"/>
        </w:rPr>
        <w:t xml:space="preserve">) yoluyla sözlü olarak doğrulanmasıdır. Nitekim et-Tevbe sûresinin son iki ayetinin (128-129) Zeyd b. Sâbit tarafından yalnızca Huzeyme b. Sâbit’te (ö. 37/657) yazılı belge olarak bulunması ve bu şekilde derleme havuzuna dahil edilmesiyle ilgili meşhur tarihi vaka da bu çift yönlü doğrulama yöntemini desteklemektedir. Bu vakada söz konusu ayetler, ashab tarafından ezber düzeyinde zaten kesin olarak biliniyor; ancak bunun yazılı resmi orijinal nüshası fiziksel olarak sadece tek bir sahabînin arşivinde bulunuyordu. Dolayısıyla buradaki "iki şahit" mekanizması, mahkemedeki sıradan iki insanın şahitliğini değil, ezber ile yazılı metnin birbirini tam bir uyumla mühürlemesi esasına dayanan bilimsel bir metin tenkidi kuralını ifade etmektedir. İkinci bir yoruma göre ise iki şahit, sunulan yazılı belgenin bizzat Hz. Peygamber’in huzurunda yazıldığına dair iki ayrı kişinin şahitlik etmesidir. Ancak bu açıklama, bazı ayetlerin tek kişinin şahitliğiyle kabul edildiğini bildiren istisnai rivayetler karşısında teorik olarak problemli görünmektedir. İslâm metin geleneğinde bu metodolojik sorun, Huzeyme b. Sâbit’in sadakat ve dürüstlüğünün bizzat Hz. Peygamber tarafından iki kişinin şahitliğine denk (şehâdeteyni) kabul edilmiş olması yönündeki tevkîfî imtiyaz üzerinden açıklanarak çözüme kavuşturulmuştur.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Benzer şekilde, bazı klasik kaynaklarda el-Ahzâb sûresinin 23. ayetinin metne dahil edilme süreciyle ilgili de benzer bir arama ve tescil evresinden söz edilmektedir. Nitekim İbn Ebû Dâvud (ö. 316/929), bu ayetin ilk etapta yazılı belgesine ulaşılmasında zorluk yaşandığını belirterek, metnin nihayetinde Ensar’dan bir sahabînin arşivinde bulunduğuna dair tarihi bir aktarıma yer verir. </w:t>
      </w:r>
      <w:r w:rsidDel="00000000" w:rsidR="00000000" w:rsidRPr="00000000">
        <w:rPr>
          <w:i w:val="1"/>
          <w:iCs w:val="1"/>
          <w:rtl w:val="0"/>
        </w:rPr>
        <w:t xml:space="preserve">Kitâbu’l-mebânî</w:t>
      </w:r>
      <w:r w:rsidDel="00000000" w:rsidR="00000000" w:rsidRPr="00000000">
        <w:rPr>
          <w:rtl w:val="0"/>
        </w:rPr>
        <w:t xml:space="preserve"> müellifine göre de gerek et-Tevbe 128-129 gerekse el-Ahzâb 23. ayetlerinin tescili esnasında yaşanan bu arama-bulma süreçleri doğrudan Hz. Ebû Bekir dönemindeki ilk derleme (cem) faaliyetleri esnasında vuku bulmuştur; zira Hârice b. Zeyd’den (ö. 100/718) intikal eden tarihi şahitliğe göre, eksik kalan bu yazılı metinler yapılan derinlemesine incelemeler ve çapraz sorgulamalar neticesinde Huzeyme b. Sâbit’in elindeki belgeler arasında tespit edilerek derleme süreci eksiksiz tamamlanmıştır. Oysa Muhammed b. İsmâîl el-Buhârî (ö. 256/870), el-Ahzâb 23. ayetin tesciline dair bu arama sürecinin Hz. Ebû Bekir döneminde değil, yıllar sonra Hz. Osman devrinde gerçekleştirilen resmi istinsah (çoğaltma) faaliyetleri esnasında gündeme geldiğini ve bu yazılı orijinal belgenin Huzeyme b. Sâbit’te bulunarak ana nüshalarla senkronize edildiğini ifade etmiştir. İki rivayet arasındaki bu kronolojik kayma, sonraki dönem metin tarihçileri tarafından, ayetlerin her iki dönemde de farklı denetim süreçlerine tabi tutulmasının doğal bir yansıması olarak yorumlanmıştır.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Genel kabul gören tarihi akışa göre, bu katı filolojik yöntemlerle derlenen ilk resmi sayfalar (</w:t>
      </w:r>
      <w:r w:rsidDel="00000000" w:rsidR="00000000" w:rsidRPr="00000000">
        <w:rPr>
          <w:i w:val="1"/>
          <w:iCs w:val="1"/>
          <w:rtl w:val="0"/>
        </w:rPr>
        <w:t xml:space="preserve">suhuf</w:t>
      </w:r>
      <w:r w:rsidDel="00000000" w:rsidR="00000000" w:rsidRPr="00000000">
        <w:rPr>
          <w:rtl w:val="0"/>
        </w:rPr>
        <w:t xml:space="preserve">), Halife Hz. Ebû Bekir’in devlet arşivinde özenle muhafaza edilmiş, onun vefatıyla ikinci Halife Hz. Ömer’e intikal etmiş, Hz. Ömer’in şehadetinin ardından ise idari bir teamül olarak Hz. Peygamber’in eşi ve aynı zamanda okuma-yazma bilen yetkin bir şahsiyet olan Hz. Hafsa’ya (ö. 45/665) teslim edilmiştir. İlerleyen yıllarda bu kurucu ilk sayfaların akıbetiyle alakalı olarak kaynaklarda son derece çarpıcı tarihi gelişmeler nakledilmektedir. Hz. Osman zamanında Kur’an metninin standartlaştırılarak çoğaltılması ihtiyacı resmi olarak baş gösterdiğinde, bu ana nüsha Hz. Hafsa’dan ödünç alınmış, istinsah heyetinin çalışmalarını tamamlamasının ardından kendisine aynen iade edilmiştir. Kur’an metin tarihi kaynaklarının ittifakla belirttiğine göre bu orijinal Ebû Bekir nüshası, Hz. Hafsa’nın vefat etmesinin hemen ardından, dönemin Medine Valisi Mervân b. Hakem (ö. 65/685) tarafından kardeşi Abdullah b. Ömer’den (ö. 73/693) resmi yetkiyle talep edilerek alınmış ve derhal yaktırılarak imha edilmiştir. Mervân, ümmetin birliği açısından son derece radikal görünen bu imha tasarrufunun altındaki siyasi ve dini gerekçeyi şu tarihi sözleriyle açıkça ifade etmiştir: [1, 2, 4]</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i w:val="1"/>
          <w:iCs w:val="1"/>
          <w:rtl w:val="0"/>
        </w:rPr>
        <w:t xml:space="preserve">"Ben o ilk sayfaları yaktım; çünkü onda yazılı olan her şey, Osman döneminde oluşturulan resmi imam mushafa eksiksizce aktarılmış ve devlet eliyle koruma altına alınmıştır. İnsanların üzerinden uzun asırlar geçtikten sonra bu ilk sayfalar üzerinden zihinlerde şüphelerin uyanmasından ya da art niyetli birilerinin çıkıp: 'Ebû Bekir döneminde derlenen nüshada öyle bir ayet veya sure vardı ki, o resmi Osmanî mushafa yazılmadı ve dışarıda bırakıldı' diyerek ümmet arasında yeni bir tefrika ve metinsel kaos çıkarmasından korktum."</w:t>
      </w:r>
      <w:r w:rsidDel="00000000" w:rsidR="00000000" w:rsidRPr="00000000">
        <w:rPr>
          <w:rtl w:val="0"/>
        </w:rPr>
        <w:t xml:space="preserve"> [2]</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Tarihsel ve teolojik veriler analiz edildiğinde, Mervân b. Hakem’i söz konusu kurucu sahifeleri tamamen imha etmeye sevk eden temel endişenin, Hz. Ebû Bekir döneminde cemedilen nüshanın Kur’an’ın nüzul ortamındaki "yedi harf" (</w:t>
      </w:r>
      <w:r w:rsidDel="00000000" w:rsidR="00000000" w:rsidRPr="00000000">
        <w:rPr>
          <w:i w:val="1"/>
          <w:iCs w:val="1"/>
          <w:rtl w:val="0"/>
        </w:rPr>
        <w:t xml:space="preserve">ahruf-i seb'a</w:t>
      </w:r>
      <w:r w:rsidDel="00000000" w:rsidR="00000000" w:rsidRPr="00000000">
        <w:rPr>
          <w:rtl w:val="0"/>
        </w:rPr>
        <w:t xml:space="preserve">) ruhsatının tüm genişliğini ve bölgesel lehçe farklılıklarını bünyesinde barındırıyor olması; buna karşın Hz. Osman döneminde gerçekleştirilen standardizasyon faaliyetlerinde ise Resûl-i Ekrem’in son mukabelesi olan "arza-i âhire" esas alınarak bu imla esnekliğinin ümmet birliği adına Kureyş yazı normuyla sınırlandırılması gerçeği yatmaktadır. Ebû Bekir döneminde toplanan arkaik sayfalar ile Hz. Osman döneminde çoğaltılarak emsâra dağıtılan resmi imla standardı arasında ortaya çıkabilecek muhtemel kaligrafik ve lafzi farklılıkların, ilerleyen süreçte yeni Müslüman olan milletler nezdinde Kur’an’ın otantikliği hakkında yanlış ve yıkıcı kanaatlerin oluşmasına yol açabilecek tehlikeli bir zemin olarak değerlendirildiği açıkça anlaşılmaktadır. [5]</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Nitekim klasik ulûmü’l-Kur’ân literatüründe, Hz. Ebû Bekir’in emriyle derlenen ilk Kur’an nüshasının "yedi harf" ruhsatını bütünüyle ihtiva ettiği, yani Kur’an’ın Hz. Peygamber tarafından ümmete büyük bir kolaylık olarak tanınmış olan farklı kabile lehçelerini ve okuma vecihlerini dışlamadığı açıkça ifade edilmektedir. Bedreddin ez-Zerkeşî ve Celâleddîn es-Süyûtî gibi müellifler, yedi harf meselesinin teolojik mahiyetini açıklarken bunun, okuma-yazma oranının düşük olduğu nüzul döneminde metnin farklı telaffuz ve fonetik özelliklerle okunmasına imkan tanıyan muazzam bir ilahi kolaylık (</w:t>
      </w:r>
      <w:r w:rsidDel="00000000" w:rsidR="00000000" w:rsidRPr="00000000">
        <w:rPr>
          <w:i w:val="1"/>
          <w:iCs w:val="1"/>
          <w:rtl w:val="0"/>
        </w:rPr>
        <w:t xml:space="preserve">tahfif</w:t>
      </w:r>
      <w:r w:rsidDel="00000000" w:rsidR="00000000" w:rsidRPr="00000000">
        <w:rPr>
          <w:rtl w:val="0"/>
        </w:rPr>
        <w:t xml:space="preserve">) olduğunu belirtmişlerdir. Ancak Kur’an’ın yedi harf üzere indirilmiş olmasının, bu esnekliğe ait tüm varyantların kıyamete kadar aynen ve harfiyen muhafaza edilmesinin farz veya zorunlu olduğu anlamına gelmediğini; aksine bu durumun ümmetin maslahatına binaen tanınmış geçici bir ruhsat alanı olarak görülmesi gerektiğini vurgulamak gerekir. Kırâat ilminin en büyük otoritesi kabul edilen İbnü’l-Cezerî (ö. 833/1429), yedi harfin tamamının yazı düzeyinde korunmasının dini bir vücûbiyet değil, tamamen ruhsat alanına giren pragmatik bir imkan olduğunu açıkça ifade etmektedir. Bu sebeple Hz. Ebû Bekir döneminde yapılan kurucu cem faaliyetinde Kur’an’ın farklı harfleri (vecihleri) içeren yazılı malzemeleri dışlanmamış, mevcut ampirik malzeme, ruhsatın tanıdığı geniş özgürlük alanı içinde olduğu gibi muhafaza edilmiştir.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Ancak Hz. Osman dönemine gelindiğinde, İslâm toplumunun sosyolojik yapısı ve coğrafi sınırları radikal bir kırılma yaşamıştır. İslâm coğrafyasının çöl sınırlarını aşarak Şam, Mısır, İran ve Ermenistan gibi tamamen farklı dilleri ve kültürleri barındran geniş topraklara yayılması, bu bölgelerde İslâm’ı kabul eden heterojen insan topluluklarının farklı kırâat vecihleri üzerinden birbirlerini tekfir etmeye varan sert teolojik tartışmalara girişmesi, devletin siyasi birliği ve ümmetin dini bütünlüğü açısından muazzam bir risk oluşturmaya başlamıştır. İşte bu toplumsal tehlike üzerine gerçekleştirilen Osmânî istinsah faaliyetiyle, yedi harf ruhsatındaki o eski sınırsız genişliğin devlet eliyle daraltıldığı ve ümmetin ortak okuyuş alanının Kureyş lehçesinin yazı iskeleti üzerinden tek bir resmi çerçeveye bağlandığı ifade edilmiştir. Buhârî’den gelen sahih rivayetlerde de açıkça müşahede edildiği üzere, Halife Hz. Osman’ın bu sert adımı atmasındaki temel devlet gerekçesi, kırâat ihtilaflarının ümmet içinde geri dönülemez siyasi ve dini ayrışmalara yol açmasını erkenden engellemektir.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kurumsal standardizasyon sürecinde "arza-i âhire" (son mukabele) kavramı en bağlayıcı dini referans olarak devreye sokulmuştur. Geleneksel aktarıma göre Hz. Peygamber, vefat ettiği yılın Ramazan ayında Cebrâil ile yaptığı o son karşılıklı okumada (arza-i âhire), Kur’an metninin nihai suhuf tertibini, ayet sıralamasını ve neshedilmeyerek kıyamete kadar baki kalacak olan sabit kırâat formunu kesin olarak ortaya koymuştur. Hz. Osman’ın kurduğu istinsah heyeti de tamamen bu son arzayı meşru referans noktası olarak kabul etmiş; Kur’an, ruhsat alanındaki meşru kırâat zenginliği tamamen yok edilmeksizin, ancak ümmet birliğini ve imla bütünlüğünü temin edecek şekilde tek bir resmi yazı standardı (resm-i Osmânî) üzerinden çoğaltılmıştır. Dolayısıyla, Hz. Ebû Bekir ile Hz. Osman dönemlerinde uygulanan yöntemler arasında teolojik bir çelişki veya tutarsızlık kesinlikle söz konusu değildir; bilakis ortada tarihsel şartların ve toplumsal ihtiyaçların zorunlu kıldığı iki farklı deha seviyesinde idari tedbir mevcuttur. Hz. Ebû Bekir döneminde devletin birincil önceliği, vahiy malzemelerinin fiziksel olarak kaybolmasını önlemek ve metni koruma altına almaktır. Hz. Osman döneminde ise öncelik, coğrafi genişleme karşısında ümmetin dini ve siyasi birliğini temin etmektir; bu sebeple ruhsatın sunduğu ampirik çoğulluk kurumsal olarak daraltılarak tek bir yazı standardı (resm-i mushaf) esas alınmıştır. Mervân b. Hakem’in Hz. Hafsa’nın sahifelerini imha etme yönündeki sert tasarrufu da, Hz. Osman tarafından inşa edilen bu resmi yazı standardının ve ümmet birliğinin gelecekte ortaya çıkabilecek spekülasyonlara karşı mutlak bir koruma hassasiyetiyle güvence altına alınması çabasıdır.</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 References (RIS Data Source Context)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Rule="auto"/>
        <w:ind w:left="240" w:right="240" w:firstLine="0"/>
        <w:rPr>
          <w:b w:val="1"/>
          <w:bCs w:val="1"/>
          <w:i w:val="0"/>
          <w:iCs w:val="0"/>
          <w:sz w:val="30"/>
          <w:szCs w:val="3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ind w:left="240" w:right="240" w:firstLine="0"/>
        <w:rPr>
          <w:rFonts w:ascii="Arial" w:cs="Arial" w:eastAsia="Arial" w:hAnsi="Arial"/>
          <w:shd w:fill="f4f6f7" w:val="clear"/>
        </w:rPr>
      </w:pPr>
      <w:r w:rsidDel="00000000" w:rsidR="00000000" w:rsidRPr="00000000">
        <w:rPr>
          <w:rFonts w:ascii="Arial" w:cs="Arial" w:eastAsia="Arial" w:hAnsi="Arial"/>
          <w:shd w:fill="f4f6f7" w:val="clear"/>
          <w:rtl w:val="0"/>
        </w:rPr>
        <w:t xml:space="preserve">TY  - JOUR</w:t>
        <w:br w:type="textWrapping"/>
        <w:t xml:space="preserve">AU  - el-Kastallânî, Ebu'l-Abbâs Ahmed b. Muhammed</w:t>
        <w:br w:type="textWrapping"/>
        <w:t xml:space="preserve">TI  - İrşâdü's-sâri li şerhi sahîhi'l-Buhârî</w:t>
        <w:br w:type="textWrapping"/>
        <w:t xml:space="preserve">CY  - Beyrut</w:t>
        <w:br w:type="textWrapping"/>
        <w:t xml:space="preserve">PB  - Dâr İbn Hazm</w:t>
        <w:br w:type="textWrapping"/>
        <w:t xml:space="preserve">PY  - 2021</w:t>
        <w:br w:type="textWrapping"/>
        <w:t xml:space="preserve">VL  - 13</w:t>
        <w:br w:type="textWrapping"/>
        <w:t xml:space="preserve">SP  - 52</w:t>
        <w:br w:type="textWrapping"/>
        <w:t xml:space="preserve">ER  - </w:t>
        <w:br w:type="textWrapping"/>
        <w:br w:type="textWrapping"/>
        <w:t xml:space="preserve">TY  - BOOK</w:t>
        <w:br w:type="textWrapping"/>
        <w:t xml:space="preserve">AU  - İbn Ebû Dâvud, Ebû Bekir Abdullah b. Süleymân</w:t>
        <w:br w:type="textWrapping"/>
        <w:t xml:space="preserve">TI  - Kitâbu'l-mesâhif</w:t>
        <w:br w:type="textWrapping"/>
        <w:t xml:space="preserve">AU  - Vâiz, Muhibbüddîn Abdüssübhân</w:t>
        <w:br w:type="textWrapping"/>
        <w:t xml:space="preserve">CY  - Beyrut</w:t>
        <w:br w:type="textWrapping"/>
        <w:t xml:space="preserve">PB  - Dâru'l-Beşâiri'l-İslâmiyye</w:t>
        <w:br w:type="textWrapping"/>
        <w:t xml:space="preserve">PY  - 2002</w:t>
        <w:br w:type="textWrapping"/>
        <w:t xml:space="preserve">VL  - 1</w:t>
        <w:br w:type="textWrapping"/>
        <w:t xml:space="preserve">SP  - 24</w:t>
        <w:br w:type="textWrapping"/>
        <w:t xml:space="preserve">ER  - </w:t>
        <w:br w:type="textWrapping"/>
        <w:br w:type="textWrapping"/>
        <w:t xml:space="preserve">TY  - BOOK</w:t>
        <w:br w:type="textWrapping"/>
        <w:t xml:space="preserve">AU  - el-Kevserî, Muhammed Zâhid</w:t>
        <w:br w:type="textWrapping"/>
        <w:t xml:space="preserve">TI  - Makâlâtü'l-Kevserî</w:t>
        <w:br w:type="textWrapping"/>
        <w:t xml:space="preserve">AU  - Şa'bân, Tevfik</w:t>
        <w:br w:type="textWrapping"/>
        <w:t xml:space="preserve">CY  - Kahire</w:t>
        <w:br w:type="textWrapping"/>
        <w:t xml:space="preserve">PB  - el-Mektebetü't-Tevfîkiyye</w:t>
        <w:br w:type="textWrapping"/>
        <w:t xml:space="preserve">PY  - 2005</w:t>
        <w:br w:type="textWrapping"/>
        <w:t xml:space="preserve">SP  - 12</w:t>
        <w:br w:type="textWrapping"/>
        <w:t xml:space="preserve">ER  - </w:t>
        <w:br w:type="textWrapping"/>
        <w:br w:type="textWrapping"/>
        <w:t xml:space="preserve">TY  - BOOK</w:t>
        <w:br w:type="textWrapping"/>
        <w:t xml:space="preserve">AU  - el-Buhârî, Ebû Abdullah Muhammed b. İsmâîl</w:t>
        <w:br w:type="textWrapping"/>
        <w:t xml:space="preserve">TI  - Sahîhu'l-Buhârî</w:t>
        <w:br w:type="textWrapping"/>
        <w:t xml:space="preserve">CY  - Dımaşk</w:t>
        <w:br w:type="textWrapping"/>
        <w:t xml:space="preserve">PB  - Dâr İbn Kesîr</w:t>
        <w:br w:type="textWrapping"/>
        <w:t xml:space="preserve">PY  - 2002</w:t>
        <w:br w:type="textWrapping"/>
        <w:t xml:space="preserve">VL  - 1</w:t>
        <w:br w:type="textWrapping"/>
        <w:t xml:space="preserve">SP  - 1275</w:t>
        <w:br w:type="textWrapping"/>
        <w:t xml:space="preserve">ER  - </w:t>
        <w:br w:type="textWrapping"/>
        <w:br w:type="textWrapping"/>
        <w:t xml:space="preserve">TY  - BOOK</w:t>
        <w:br w:type="textWrapping"/>
        <w:t xml:space="preserve">AU  - İbnü'l-Cezerî, Şemsüddîn Muhammed b. Muhammed</w:t>
        <w:br w:type="textWrapping"/>
        <w:t xml:space="preserve">TI  - en-Neşr fi'l-kırââti'l-aşr</w:t>
        <w:br w:type="textWrapping"/>
        <w:t xml:space="preserve">AU  - ed-Dabbâ‘, Ali Muhammed</w:t>
        <w:br w:type="textWrapping"/>
        <w:t xml:space="preserve">CY  - Beyrut</w:t>
        <w:br w:type="textWrapping"/>
        <w:t xml:space="preserve">PB  - Dâru'l-Kütübi'l-İlmiyye</w:t>
        <w:br w:type="textWrapping"/>
        <w:t xml:space="preserve">PY  - 1999</w:t>
        <w:br w:type="textWrapping"/>
        <w:t xml:space="preserve">VL  - 1</w:t>
        <w:br w:type="textWrapping"/>
        <w:t xml:space="preserve">SP  - 30</w:t>
        <w:br w:type="textWrapping"/>
        <w:t xml:space="preserve">EP  - 35</w:t>
        <w:br w:type="textWrapping"/>
        <w:t xml:space="preserve">ER  - </w:t>
        <w:br w:type="textWrapping"/>
        <w:br w:type="textWrapping"/>
        <w:t xml:space="preserve">TY  - JOUR</w:t>
        <w:br w:type="textWrapping"/>
        <w:t xml:space="preserve">AU  - Aycan, İrfan</w:t>
        <w:br w:type="textWrapping"/>
        <w:t xml:space="preserve">TI  - MERVÂN I</w:t>
        <w:br w:type="textWrapping"/>
        <w:t xml:space="preserve">JO  - TDV İslâm Ansiklopedisi</w:t>
        <w:br w:type="textWrapping"/>
        <w:t xml:space="preserve">UR  - https://islamansiklopedisi.org.tr/mervan-i</w:t>
        <w:br w:type="textWrapping"/>
        <w:t xml:space="preserve">PY  - 2004</w:t>
        <w:br w:type="textWrapping"/>
        <w:t xml:space="preserve">VL  - 29</w:t>
        <w:br w:type="textWrapping"/>
        <w:t xml:space="preserve">SP  - 227</w:t>
        <w:br w:type="textWrapping"/>
        <w:t xml:space="preserve">EP  - 230</w:t>
        <w:br w:type="textWrapping"/>
        <w:t xml:space="preserve">ER  - </w:t>
        <w:br w:type="textWrapping"/>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t xml:space="preserve">We have successfully restructured, corrected the critical anachronisms, and advanced this vital segment of your thesis using strict textual-critical standards. Shall we now proceed to the next structural milestone, </w:t>
      </w:r>
      <w:r w:rsidDel="00000000" w:rsidR="00000000" w:rsidRPr="00000000">
        <w:rPr>
          <w:b w:val="1"/>
          <w:bCs w:val="1"/>
          <w:rtl w:val="0"/>
        </w:rPr>
        <w:t xml:space="preserve">"Resm-i Mushaf’ı Çoğaltmayı Gerektiren Sebepler"</w:t>
      </w:r>
      <w:r w:rsidDel="00000000" w:rsidR="00000000" w:rsidRPr="00000000">
        <w:rPr>
          <w:rtl w:val="0"/>
        </w:rPr>
        <w:t xml:space="preserve"> (The Sociopolitical Catalysts for Transcribing the Ottoman Codices), to seamlessly unify the historical narrative of the transmission process?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w:t>
      </w:r>
      <w:hyperlink r:id="rId6">
        <w:r w:rsidDel="00000000" w:rsidR="00000000" w:rsidRPr="00000000">
          <w:rPr>
            <w:color w:val="0000ee"/>
            <w:u w:val="single"/>
            <w:rtl w:val="0"/>
          </w:rPr>
          <w:t xml:space="preserve">https://www.islamveihsan.com</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w:t>
      </w:r>
      <w:hyperlink r:id="rId7">
        <w:r w:rsidDel="00000000" w:rsidR="00000000" w:rsidRPr="00000000">
          <w:rPr>
            <w:color w:val="0000ee"/>
            <w:u w:val="single"/>
            <w:rtl w:val="0"/>
          </w:rPr>
          <w:t xml:space="preserve">https://www.islamiokul.com</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w:t>
      </w:r>
      <w:hyperlink r:id="rId8">
        <w:r w:rsidDel="00000000" w:rsidR="00000000" w:rsidRPr="00000000">
          <w:rPr>
            <w:color w:val="0000ee"/>
            <w:u w:val="single"/>
            <w:rtl w:val="0"/>
          </w:rPr>
          <w:t xml:space="preserve">https://islamansiklopedisi.org.tr</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 </w:t>
      </w:r>
      <w:hyperlink r:id="rId9">
        <w:r w:rsidDel="00000000" w:rsidR="00000000" w:rsidRPr="00000000">
          <w:rPr>
            <w:color w:val="0000ee"/>
            <w:u w:val="single"/>
            <w:rtl w:val="0"/>
          </w:rPr>
          <w:t xml:space="preserve">https://islamansiklopedisi.org.tr</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 </w:t>
      </w:r>
      <w:hyperlink r:id="rId10">
        <w:r w:rsidDel="00000000" w:rsidR="00000000" w:rsidRPr="00000000">
          <w:rPr>
            <w:color w:val="0000ee"/>
            <w:u w:val="single"/>
            <w:rtl w:val="0"/>
          </w:rPr>
          <w:t xml:space="preserve">https://sorularlaislamiyet.com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sorularlaislamiyet.com/hz-ebu-bekir-mushafi-yakilmis-midir-halife-mervan-kendi-gerekcesini-soyle-aciklar-onda-yazili" TargetMode="External"/><Relationship Id="rId9" Type="http://schemas.openxmlformats.org/officeDocument/2006/relationships/hyperlink" Target="https://islamansiklopedisi.org.tr/abdulmelik-b-mervan" TargetMode="External"/><Relationship Id="rId5" Type="http://schemas.openxmlformats.org/officeDocument/2006/relationships/styles" Target="styles.xml"/><Relationship Id="rId6" Type="http://schemas.openxmlformats.org/officeDocument/2006/relationships/hyperlink" Target="https://www.islamveihsan.com/mervan-bin-hakem-kimdir.html" TargetMode="External"/><Relationship Id="rId7" Type="http://schemas.openxmlformats.org/officeDocument/2006/relationships/hyperlink" Target="https://www.islamiokul.com/oku.php?_kf=kutuphane/kuran/v2/tefsir-usulu-demirci/0008.htm" TargetMode="External"/><Relationship Id="rId8" Type="http://schemas.openxmlformats.org/officeDocument/2006/relationships/hyperlink" Target="https://islamansiklopedisi.org.tr/abdulmelik-b-merv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