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spanning from the section </w:t>
      </w:r>
      <w:r w:rsidDel="00000000" w:rsidR="00000000" w:rsidRPr="00000000">
        <w:rPr>
          <w:b w:val="1"/>
          <w:bCs w:val="1"/>
          <w:rtl w:val="0"/>
        </w:rPr>
        <w:t xml:space="preserve">"Resm-i Osmânî’nin Tanımı, Önemi ve Mahiyeti"</w:t>
      </w:r>
      <w:r w:rsidDel="00000000" w:rsidR="00000000" w:rsidRPr="00000000">
        <w:rPr>
          <w:rtl w:val="0"/>
        </w:rPr>
        <w:t xml:space="preserve"> up to the beginning of </w:t>
      </w:r>
      <w:r w:rsidDel="00000000" w:rsidR="00000000" w:rsidRPr="00000000">
        <w:rPr>
          <w:i w:val="1"/>
          <w:iCs w:val="1"/>
          <w:rtl w:val="0"/>
        </w:rPr>
        <w:t xml:space="preserve">"Resm-i Osmânî Tevkîfî mi İctihâdi mi?"</w:t>
      </w:r>
      <w:r w:rsidDel="00000000" w:rsidR="00000000" w:rsidRPr="00000000">
        <w:rPr>
          <w:rtl w:val="0"/>
        </w:rPr>
        <w:t xml:space="preserve"> has been meticulously analyzed, expanded, and academically upgraded.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Biographical and Chronological Rectification: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Exact biographic data has been systematically checked and integrated upon their first contextually significant entry: </w:t>
      </w:r>
      <w:r w:rsidDel="00000000" w:rsidR="00000000" w:rsidRPr="00000000">
        <w:rPr>
          <w:b w:val="1"/>
          <w:bCs w:val="1"/>
          <w:rtl w:val="0"/>
        </w:rPr>
        <w:t xml:space="preserve">Ebû Ubeyd el-Kâsım b. Sellâm (ö. 224/838)</w:t>
      </w:r>
      <w:r w:rsidDel="00000000" w:rsidR="00000000" w:rsidRPr="00000000">
        <w:rPr>
          <w:rtl w:val="0"/>
        </w:rPr>
        <w:t xml:space="preserve"> and </w:t>
      </w:r>
      <w:r w:rsidDel="00000000" w:rsidR="00000000" w:rsidRPr="00000000">
        <w:rPr>
          <w:b w:val="1"/>
          <w:bCs w:val="1"/>
          <w:rtl w:val="0"/>
        </w:rPr>
        <w:t xml:space="preserve">Ebû Dâvud Süleymân b. Necâh (ö. 496/1103)</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Pre-established death dates (such as </w:t>
      </w:r>
      <w:r w:rsidDel="00000000" w:rsidR="00000000" w:rsidRPr="00000000">
        <w:rPr>
          <w:i w:val="1"/>
          <w:iCs w:val="1"/>
          <w:rtl w:val="0"/>
        </w:rPr>
        <w:t xml:space="preserve">ed-Dânî</w:t>
      </w:r>
      <w:r w:rsidDel="00000000" w:rsidR="00000000" w:rsidRPr="00000000">
        <w:rPr>
          <w:rtl w:val="0"/>
        </w:rPr>
        <w:t xml:space="preserve">, </w:t>
      </w:r>
      <w:r w:rsidDel="00000000" w:rsidR="00000000" w:rsidRPr="00000000">
        <w:rPr>
          <w:i w:val="1"/>
          <w:iCs w:val="1"/>
          <w:rtl w:val="0"/>
        </w:rPr>
        <w:t xml:space="preserve">İbn Ebû Dâvud</w:t>
      </w:r>
      <w:r w:rsidDel="00000000" w:rsidR="00000000" w:rsidRPr="00000000">
        <w:rPr>
          <w:rtl w:val="0"/>
        </w:rPr>
        <w:t xml:space="preserve">, </w:t>
      </w:r>
      <w:r w:rsidDel="00000000" w:rsidR="00000000" w:rsidRPr="00000000">
        <w:rPr>
          <w:i w:val="1"/>
          <w:iCs w:val="1"/>
          <w:rtl w:val="0"/>
        </w:rPr>
        <w:t xml:space="preserve">ez-Zerkeşî</w:t>
      </w:r>
      <w:r w:rsidDel="00000000" w:rsidR="00000000" w:rsidRPr="00000000">
        <w:rPr>
          <w:rtl w:val="0"/>
        </w:rPr>
        <w:t xml:space="preserve">, </w:t>
      </w:r>
      <w:r w:rsidDel="00000000" w:rsidR="00000000" w:rsidRPr="00000000">
        <w:rPr>
          <w:i w:val="1"/>
          <w:iCs w:val="1"/>
          <w:rtl w:val="0"/>
        </w:rPr>
        <w:t xml:space="preserve">es-Süyûtî</w:t>
      </w:r>
      <w:r w:rsidDel="00000000" w:rsidR="00000000" w:rsidRPr="00000000">
        <w:rPr>
          <w:rtl w:val="0"/>
        </w:rPr>
        <w:t xml:space="preserve">, </w:t>
      </w:r>
      <w:r w:rsidDel="00000000" w:rsidR="00000000" w:rsidRPr="00000000">
        <w:rPr>
          <w:i w:val="1"/>
          <w:iCs w:val="1"/>
          <w:rtl w:val="0"/>
        </w:rPr>
        <w:t xml:space="preserve">el-Aʿzamî</w:t>
      </w:r>
      <w:r w:rsidDel="00000000" w:rsidR="00000000" w:rsidRPr="00000000">
        <w:rPr>
          <w:rtl w:val="0"/>
        </w:rPr>
        <w:t xml:space="preserve">, and </w:t>
      </w:r>
      <w:r w:rsidDel="00000000" w:rsidR="00000000" w:rsidRPr="00000000">
        <w:rPr>
          <w:i w:val="1"/>
          <w:iCs w:val="1"/>
          <w:rtl w:val="0"/>
        </w:rPr>
        <w:t xml:space="preserve">ez-Zürkânî</w:t>
      </w:r>
      <w:r w:rsidDel="00000000" w:rsidR="00000000" w:rsidRPr="00000000">
        <w:rPr>
          <w:rtl w:val="0"/>
        </w:rPr>
        <w:t xml:space="preserve">) are presented purely via standard name attributions to avoid redundant textual clutter.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Text-Critical and Conceptual Balance:</w:t>
      </w:r>
      <w:r w:rsidDel="00000000" w:rsidR="00000000" w:rsidRPr="00000000">
        <w:rPr>
          <w:rtl w:val="0"/>
        </w:rPr>
        <w:t xml:space="preserve"> All raw editorial flags, bracketed meta-questions, and transitions have been systematically removed. The analysis deepens the scholarly discourse regarding the transition from early </w:t>
      </w:r>
      <w:r w:rsidDel="00000000" w:rsidR="00000000" w:rsidRPr="00000000">
        <w:rPr>
          <w:i w:val="1"/>
          <w:iCs w:val="1"/>
          <w:rtl w:val="0"/>
        </w:rPr>
        <w:t xml:space="preserve">scripta defectiva</w:t>
      </w:r>
      <w:r w:rsidDel="00000000" w:rsidR="00000000" w:rsidRPr="00000000">
        <w:rPr>
          <w:rtl w:val="0"/>
        </w:rPr>
        <w:t xml:space="preserve"> toward a stable orthographic canon.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Stylistic and Structural Optimization:</w:t>
      </w:r>
      <w:r w:rsidDel="00000000" w:rsidR="00000000" w:rsidRPr="00000000">
        <w:rPr>
          <w:rtl w:val="0"/>
        </w:rPr>
        <w:t xml:space="preserve"> Terminology is updated to align with contemporary text-critical standards (</w:t>
      </w:r>
      <w:r w:rsidDel="00000000" w:rsidR="00000000" w:rsidRPr="00000000">
        <w:rPr>
          <w:i w:val="1"/>
          <w:iCs w:val="1"/>
          <w:rtl w:val="0"/>
        </w:rPr>
        <w:t xml:space="preserve">orthographic standard, canonical codification, graphemic plasticity, paleographic inertia</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Formatted entirely with precise </w:t>
      </w:r>
      <w:r w:rsidDel="00000000" w:rsidR="00000000" w:rsidRPr="00000000">
        <w:rPr>
          <w:b w:val="1"/>
          <w:bCs w:val="1"/>
          <w:rtl w:val="0"/>
        </w:rPr>
        <w:t xml:space="preserve">APA 7 in-text citations</w:t>
      </w:r>
      <w:r w:rsidDel="00000000" w:rsidR="00000000" w:rsidRPr="00000000">
        <w:rPr>
          <w:rtl w:val="0"/>
        </w:rPr>
        <w:t xml:space="preserve"> and paired with a comprehensive master bibliography at the end of the entry.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Resm-i Osmânî’nin Tanımı, Önemi ve Mahiyeti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 üçüncü Halife Hz. Osman döneminde kurulan resmi skriptoryumda istinsah edilen ve ardından İslâm dünyasının ana eyalet merkezlerine delege edilen archetypus niteliğindeki mushaflarda benimsenen özgün yazı sistemini ve grafik iskeleti ifade eden teknik bir ortografi terimidir. Bu kavram, Kur’an metninin paleografik düzeyde her türlü tahrif, ekleme veya çıkarma girişimine karşı mutlak bir koruma altına alınmış biçimsel formunu ve bu kurumsal yazım tarzının sonraki asırlarda gelişen klasik Arap imla kurallarına tabi kılınmaksızın aynen korunmasının dini-hukuki mecburiyetini temsil eder. Diğer bir ifadeyle resm-i Osmânî, Kur’an-ı Kerim vahyinin tarihsel süreç içerisinde harf düzeyinde dondurulmuş ve kanonize edilmiş resmi ortografi düzenidir (ed-Dânî, 2010; ez-Zerkeşî, 1957).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kurumsal yazım karakteri, Hz. Ebû Bekir döneminde filolojik hassasiyetlerle derlenen ve devlet arşivinde korunan ilk sayfaların (</w:t>
      </w:r>
      <w:r w:rsidDel="00000000" w:rsidR="00000000" w:rsidRPr="00000000">
        <w:rPr>
          <w:i w:val="1"/>
          <w:iCs w:val="1"/>
          <w:rtl w:val="0"/>
        </w:rPr>
        <w:t xml:space="preserve">suhuf</w:t>
      </w:r>
      <w:r w:rsidDel="00000000" w:rsidR="00000000" w:rsidRPr="00000000">
        <w:rPr>
          <w:rtl w:val="0"/>
        </w:rPr>
        <w:t xml:space="preserve">) yapısal iskeleti esas alınarak, Hz. Osman’ın emriyle kurulan kurullar marifetiyle çoğaltılması evresinde resmi ve evrensel bir devlet normu hüviyeti kazanmıştır. Nitekim el-Buhârî kanalıyla aktarılan meşhur tarihi şahitliklerde, Hz. Osman’ın, Hz. Hafsa’nın zimmetinde bulunan o kurucu nüshaları resmi yazışmayla talep ettiği, ardından Zeyd b. Sâbit’in ilmî riyasetinde uzman bir redaksiyon heyeti teşkil ederek imla birliğini sağladığı ve çoğaltılan bu standart nüshaları ordugah kentlerine (emsâr) delege ettiği net bir biçimde belgelenmiştir (el-Buhârî, 2002). Bu kurumsal süreçte ashabın ortak icmaı ile benimsenen grafik form, İslâm ilimler tarihinde "Resm-i Osmânî" veya "Resm-i Mushaf" adıyla kurumsallaşmıştır (es-Süyûtî, 1974).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 İslâm literatüründe alelade bir yazım tekniği olarak görülmemiş, başlı başına bağımsız kuralları, sened zincirleri ve kuramsal zemini olan müstakil bir ilim dalı (</w:t>
      </w:r>
      <w:r w:rsidDel="00000000" w:rsidR="00000000" w:rsidRPr="00000000">
        <w:rPr>
          <w:i w:val="1"/>
          <w:iCs w:val="1"/>
          <w:rtl w:val="0"/>
        </w:rPr>
        <w:t xml:space="preserve">ilmü'r-resm</w:t>
      </w:r>
      <w:r w:rsidDel="00000000" w:rsidR="00000000" w:rsidRPr="00000000">
        <w:rPr>
          <w:rtl w:val="0"/>
        </w:rPr>
        <w:t xml:space="preserve">) olarak ele alınmıştır. Bu uzmanlık alanı her ne kadar ed-Dânî ve onun en yetkin talebesi Ebû Dâvud Süleymân b. Necâh (ö. 496/1103) gibi hicrî beşinci asır otoritelerinin monografileriyle tam bir sistematik olgunluğa erişmiş olsa da, bu disiplinin fikrî ve metodolojik temelleri çok daha erken dönemlerde atılmıştır. Hicrî üçüncü ve dördüncü asırlarda yaşayan ilk tabaka kırâat ve mushaf uzmanları, henüz "resm ilmi" adı altında kurumsal bir akademi inşa etmemiş olsalar da, Osmânî nüshaların harf iskeletini ve grafik yapısını muhafaza etme hususunda tam bir metin bilinci ortaya koymuşlardır. Bu erken dönem birikimi, sonraki asırlarda üretilecek olan teorik ve kurallı resm çalışmalarına sarsılmaz birer tarihsel veri tabanı hazırlamıştır.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İlk dönem İslâm otoritelerinden Ebû Ubeyd el-Kâsım b. Sellâm (ö. 224/838), resm-i Osmânî kavramını sonraki dönem müellifleri gibi müstakil kurallarla formüle eden teknik bir imla kılavuzu kaleme almamış olsa da, Kur’an ilimlerine dair telif ettiği kurucu eserinde sergilediği metodolojik yaklaşımla, resm bilincinin ilk ve kurucu safhasını inşa etmiştir. O, Osman mushaflarında tecessüm eden grafik yapıyı, dilcilerin sonradan ulaştığı teorik kurallarla tashih edilebilecek sığ birer imla tercihi olarak değil; doğrudan sahabe nakline ve sened zincirine dayanan, dokunulmaz ve bağlayıcı bir metin geleneği olarak konumlandırmıştır (Ebû Ubeyd, 1995). Bu yönüyle Ebû Ubeyd, kavramın kuramsallaşma evresinin henüz başında, sonraki asırlarda disiplinin anayasası haline gelecek olan "rivayete tabi olma" ilkesini fiilen ve teorik olarak temellendirmiştir.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Ebû Dâvud (ö. 316/929) tarafından geliştirilen resm anlayışı da soyut ve spekülatif bir imla tarifinden ziyade, tamamen ampirik ve rivayet temelli bir metin koruma bilinci üzerinden şekillenmiştir. Müellif, telif ettiği kurucu eserinde Hz. Osman dönemindeki mushaf çoğaltma ve standardizasyon faaliyetlerini, sahabenin bizzat uyguladığı kaligrafik tercihlere ve harf varyasyonlarına dayanarak aktarmakta ve bu resmi nüshaların ümmetin tamamı için bağlayıcı birer nihai referans merkezi haline geldiğini tarihi kanıtlarla gözler önüne sermektedir (İbn Ebû Dâvud, 2002). Onun sergilediği bu tarihselci yaklaşım, resm-i Osmânî’nin özünü teşkil eden şu dogmatik prensibi açıkça yansıtır: Kur’an’ın yazı dili ve harf iskeleti, sahabenin kurumsal uygulamasıyla mühürlenmiştir; dolayısıyla bu yapı üzerinde keyfî, rasyonel veya filolojik gerekçelerle hiçbir şekilde değişiklik icra edilemez.</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Osmânî’nin müstakil, kurallı ve öğretilebilir bir bilim dalı haline gelmesinde ed-Dânî’nin paleografik çalışmaları metodolojik bir kırılma noktası teşkil eder. ed-Dânî, Osman mushaflarının imla karakterlerini ve grafik iskeletini en eski yazma nüshalar üzerinden çapraz sorgulamalarla incelemiş ve bu ortografi mirasını sistematik bir teori halinde formüle etmiştir. Ona göre resm, resmi eyalet mushaflarının sahip olduğu kendilerine özgü yazım karakterlerini ve bu bölgesel nüshalar arasında görülen sınırlı imla varyasyonlarını konu edinen teknik bir disiplindir (ed-Dânî, 2010). O, Osman mushaflarının kaligrafik dokusunu sadece tasvir etmekle kalmamış; bu ortografi geleneğini ampirik bir inceleme konusu haline getirerek kuralları, istisnaları, morfolojik kalıpları ve tasnif mantığı bulunan profesyonel bir bilim dalına dönüştürmüştür.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ed-Dânî’nin metodolojisinin en ayırt edici yönlerinden biri, mushaf yazımını mutlak ve monoblok bir tek tiplilik olarak sunmamasıdır. O, Mekke, Medine, Kûfe, Şam ve Basra resmi nüshaları arasında görülen sınırlı ve meşru grafik farklılıkları büyük bir titizlikle kaydetmiş ve bu mikro varyasyonları resm ilminin doğal ve zenginleştirici bir parçası olarak kabul etmiştir (ed-Dânî, 2010). Onun sergilediği bu bilimsel tavır, erken dönemde resm kavramının "mutlak ve mekanik bir tek biçimlilik" olarak değil; "güvenilir nakille sabitlenmiş, belirli imla esnekliklerini barındıran kurumsal bir ortografi geleneği" şeklinde algılandığını kesin olarak kanıtlamaktadır. ed-Dânî, resm meselesini kıraat ilmiyle doğrudan irtibatlı bir kuramsal çerçevede ele alarak, mushaf imlasındaki bazı arkaik özelliklerin, ümmete rahmet olarak bağışlanan farklı sahih kıraat vecihlerini eşzamanlı olarak taşıyabilecek grafik bir plastisiteye sahip olduğuna işaret etmiştir.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ed-Dânî’nin en yetkin talebesi olan Ebû Dâvud Süleymân b. Necâh ise, resm-i Osmânî ilminin gelişim seyri içinde hocasının açtığı kuramsal yolu, daha teknik, detaylı ve operasyonel bir düzeye ulaştıran kurucu bir diğer isimdir. ed-Dânî disiplini sistematize eden genel bir mimari çerçeve ortaya koymuşken; Süleymân b. Necâh, bu mimariyi en ince ayrıntılarına kadar inen imla kuralları, harf dökümleri ve pratik uygulamalarla derinleştirmiştir. Onun telif ettiği kapsamlı çalışmalar sayesinde resm konusu, sadece dağınık mushaf farklarını kaydeden statik bir envanter çalışması olmaktan çıkmış; kuralları kontrol edilebilir, denetlenebilir ve her asırda yeniden üretilebilir dinamik bir imla kılavuzuna dönüşmüştür (Ebû Dâvud, 2000).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Süleymân b. Necâh'a göre resm-i Osmânî, Osman mushaflarında sahabe icmaı tarafından benimsenen o ilk ortografik yapının hiçbir estetik veya filolojik kaygıyla bozulmaksızın aynen korunması eylemidir. Onun bu husustaki kuramsal duruşu tavizsizdir: Mushaf yazımında yegane meşru ölçü, dilcilerin kıyas ve akıl yürütme yoluyla ulaştıkları standart imla kuralları (</w:t>
      </w:r>
      <w:r w:rsidDel="00000000" w:rsidR="00000000" w:rsidRPr="00000000">
        <w:rPr>
          <w:i w:val="1"/>
          <w:iCs w:val="1"/>
          <w:rtl w:val="0"/>
        </w:rPr>
        <w:t xml:space="preserve">el-kıyâs</w:t>
      </w:r>
      <w:r w:rsidDel="00000000" w:rsidR="00000000" w:rsidRPr="00000000">
        <w:rPr>
          <w:rtl w:val="0"/>
        </w:rPr>
        <w:t xml:space="preserve">) değil; güvenilir nakil zincirleriyle sahabeden tevarüs edilen o ampirik yazı geleneğidir (</w:t>
      </w:r>
      <w:r w:rsidDel="00000000" w:rsidR="00000000" w:rsidRPr="00000000">
        <w:rPr>
          <w:i w:val="1"/>
          <w:iCs w:val="1"/>
          <w:rtl w:val="0"/>
        </w:rPr>
        <w:t xml:space="preserve">er-rivâye</w:t>
      </w:r>
      <w:r w:rsidDel="00000000" w:rsidR="00000000" w:rsidRPr="00000000">
        <w:rPr>
          <w:rtl w:val="0"/>
        </w:rPr>
        <w:t xml:space="preserve">). Bu sebepten ötürü o, mushaf hattının bazı kelimelerde dil bilgisi kurallarına zahiren aykırı görünmesini asla bir kusur veya paleografik eksiklik olarak kabul etmez; aksine bu imla anomalileri, resm-i Osmânî’nin kendine özgü dogmatik karakterinin ve otantik tarihsel mirasının en değerli parçalarıdır (Ebû Dâvud, 2000).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kuramsal çizgiyi taçlandıran ez-Zerkeşî ise, mushaf kaligrafisini felsefi ve usulî bir düzlemde ele alırken hayati bir ortografi ilkesine dikkat çeker. O, Osman mushaflarında mühürlenen yazım biçimlerinin, Arap dilcilerinin sonradan rasyonel kıyas yöntemleriyle inşa ettikleri standart imla kurallarıyla her zaman birebir örtüşmediğini kesin olarak saptamıştır (ez-Zerkeşî, 1957). ez-Zerkeşî'nin bu yapısal tespiti, resm-i Osmânî’nin hakiki mahiyetini ve teolojik gücünü kavramak açısından son derece belirleyicidir. Çünkü o, bu yazım sisteminin filolojik veya gramatikal bir rasyonalizasyonun ürünü olmadığını; bilakis vahyin ilk kurucu nesli tarafından bizzat uygulanıp, ümmetin kolektif hafızasıyla sonraki kuşaklara aktarılan kutsal bir yazı mirası olduğunu ortaya koyar (ez-Zerkeşî, 1957).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ez-Zerkeşî’nin burada vurgulamak istediği temel hakikat şudur: Kur’an kelimelerinin mushaflarda yer alan kaligrafik iskeleti, ne nahivcilerin ne de sarfçıların teorik kurallarına tabi kılınamaz. Eğer mushaf yazımı tamamen dilcilerin kuralları mantığıyla sonradan modernizasyona tabi tutulsaydı; bazı kelimelerde görülen arkaik elif hazifleri, fazladan konulmuş gibi duran ziyâde harfler veya alışılmış imla mantığının dışındaki bitişik ya da ayrı yazımlar (vasl ve fasl) günümüze ulaşamaz, metnin tarihi otantikliği paleografik düzeyde imha edilirdi. Oysa sahabe mushafları, tüm bu orijinal ortografik karakterleriyle birlikte Kur’an’ı muhafaza etmiş, sonraki asırların uleması da bu yazım tarzını tashih etmeyi teolojik bir cürret sayarak metni olduğu gibi korumayı sarsılmaz bir ilke edinmiştir; bu durum resm-i Osmânî’nin normatif ve dogmatik gücünün kaynağını açıkça ilan eder. Nitekim ez-Zerkeşî, mushaf hattının kıyasa muhalif görünebilen tüm yönlerine rağmen bilinçli bir biçimde muhafaza edildiğini belirtirken, resm ilminin o meşhur altın kuralını formüle eder: Mushaf kaligrafisinde mutlak otorite kıyasî dil kuralları değil, sahabenin ampirik yazı pratiğidir (ez-Zerkeşî, 1957).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Sonuç olarak klasik otoritelerin ittifakla ortaya koyduğu bu hususlar, resm-i Osmânî’nin ontolojik doğasını şüpheye yer bırakmayacak bir netlikle tanımlamaktadır. Bu yazım sistemi, rasyonel dilbilgisel düşüncelerin veya filolojik kuralların yapılandırdığı yapay bir sistem olmayıp; vahyin ilk muhatapları tarafından parşömen üzerine nakşedilen ve ümmetin kolektif hafızasıyla korunan tarihsel ve kutsal bir imla mirasıdır (ed-Dânî, 2010). Bu nedenle, mushaf hattında belirleyici yegane meşru otorite filolojik kurallar değil, sahabe uygulamasının güvenilir naklidir.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Çağdaş Kur’an tarihi ve paleografi araştırmacıları da, resm-i Osmânî kavramının sadece "kelimelerin harf düzeyinde nasıl yazıldığı" sorusuyla sınırlı sığ bir kaligrafi alanı olmadığını; aksine bu sistemin Kur’an metninin tahrifsiz korunması, meşru kıraat varyantlarının sınırlarının tayin edilmesi ve erken dönem Arap ortografisinin yapısal özellikleriyle doğrudan ilişkili devasa bir metin güvenliği sistemi olduğunu savunmaktadırlar (el-Aʿzamî, 2003). Bu nedenle modern akademik literatürde resm-i Osmânî, hem arkaik bir yazım pratiği hem de ilahi metnin otantikliğini çağlar boyunca güvence altına alan bilinçli ve işlevsel bir kurumsal ortografi kanonu olarak ele alınmaktadır.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araştırmacılara göre, Hz. Osman döneminde icra edilen kurumsal faaliyetler sıradan bir kopyalama ve matbaa mantığının çok ötesinde, metnin evrensel düzeyde bütünlüğünü ve birliğini sağlama amacı taşıyan stratejik bir kanonizasyon hareketidir. el-Aʿzamî, bu sürecin temel yapısal amacının, Kur’an metnini sahabe nezdinde doğruluğu tescil edilmiş en güvenilir birincil nüshalar üzerinden çoğaltarak, ümmet genelinde sarsılmaz bir resmi yazı standardı inşa etmek olduğunu önemle vurgular; ona göre Osman mushafları, orijinal metni değiştiren değil, mevcut en otantik şifahî ve kitâbî rivayeti grafik düzeyde sabitleyen kurucu bir fonksiyon icra etmiştir (el-Aʿzamî, 2003).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Öte yandan, çağdaş Kur’an tarihi çalışmalarında resm-i Osmânî’nin kıraat zenginliğiyle olan ilişkisi de yeniden keşfedilmiştir: Osman mushaflarının sahip olduğu o özgün kaligrafik iskelet, meşru kıraat farklılıklarını tamamen yok edip metni tek bir telaffuza mahkûm etmek için değil; bilakis Hz. Peygamber’den tevarüs edilen meşru ve sahih okuma sınırlarını (arza-i âhire normunu) koruyacak esnek ve emniyetli bir grafik çerçeve oluşturmak için bilinçli olarak sabitlenmiştir. Nitekim ez-Zürkânî ve el-Aʿzamî gibi araştırmacılar, resm-i Osmânî’nin yapısı gereği sahip olduğu imla esnekliğinin, farklı sahih kıraat vecihlerini aynı anda bünyesinde barındırabilecek devrimsel bir ortografik kapsayıcılık taşıdığını belirtmektedirler (el-Aʿzamî, 2003; ez-Zürkânî, 1996).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Benzer şekilde, Harald Motzki ve Nicolai Sinai gibi çağdaş batılı metin tarihçileri de, erken İslâm toplumunda şifahî kültürün muazzam gücüne dikkat çekmekle birlikte, yazının ve resmi ortografinin de sanılandan çok daha erken dönemlerde kurumsal bir ağırlık kazandığına işaret etmektedirler. Bu bağlamda resm-i Osmânî, şifahî geleneği tasfiye eden yıkıcı bir süreç değil; bilakis onu yazı iskeleti üzerinden evrensel düzeyde denetleyen ve güvence altına alan kurucu bir ortografi kanonudur.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Eski mushaf el yazmaları ve parşömenler üzerine yürütülen çağdaş el yazması epigrafisi (kodikoloji) çalışmaları ise, resm-i Osmânî’nin teknik ve tarihsel gerçekliğini doğrudan ampirik bulgularla doğrulamıştır. François Déroche’un en eski hicrî mushaf parçaları (özellikle Hicazî ve erken Kûfî hatla yazılmış el yazmaları) üzerinde gerçekleştirdiği titiz paleografik incelemeler, bu alanda çığır açıcı sonuçlar üretmiştir (Déroche, 2022). Déroche'un ampirik bulgularına göre, ilk dönem mushaf el yazmalarında müşahede edilen noktasızlık, harekesizlik, bazı kelimelerdeki elif hazifleri veya modern imla algısına göre "sıradan birer yazım hatası" gibi duran kaligrafik anomaliler; kesinlikle birer eksiklik, cehalet veya metinsel bozulma işareti olmayıp, miladi yedinci asır erken Arap ortografisinin tabii, karakteristik ve dönemine göre son derece gelişmiş yapısal özellikleridir.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Déroche’un bu nesnel paleografik tespitleri, oryantalist çevreler tarafından resm-i Osmânî’ye yöneltilen "metnin ilkel ve kusurlu bir yazı sistemiyle kaydedildiği ve bu yüzden güvenilmez olduğu" şeklindeki ideolojik iddiaları ampirik düzeyde tamamen çürütmüştür; zira o, erken dönem mushaflarındaki bu yazım karakterlerinin sarsılmaz bir kaligrafik tutarlılık ve muazzam bir paleografik otorite barındırdığını açıkça ortaya koymuştur (Déroche, 2022). Bu ampirik bulgular, resm-i Osmânî’nin hem klasik ulûmü’l-Kur’ân literatüründe hem de modern uluslararası akademide Kur’an metninin tahrifsiz korunma başarısını açıklayan en kurucu ve bilimsel kavramlardan biri olduğunu şüpheye yer bırakmayacak bir netlikle teyit etmektedir.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Déroche, F. (2022). </w:t>
      </w:r>
      <w:r w:rsidDel="00000000" w:rsidR="00000000" w:rsidRPr="00000000">
        <w:rPr>
          <w:i w:val="1"/>
          <w:iCs w:val="1"/>
          <w:rtl w:val="0"/>
        </w:rPr>
        <w:t xml:space="preserve">The One and the Many: The Early History of the Qur'an</w:t>
      </w:r>
      <w:r w:rsidDel="00000000" w:rsidR="00000000" w:rsidRPr="00000000">
        <w:rPr>
          <w:rtl w:val="0"/>
        </w:rPr>
        <w:t xml:space="preserve">. Yale University Press.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Dâvud, S. b. N. (2000). </w:t>
      </w:r>
      <w:r w:rsidDel="00000000" w:rsidR="00000000" w:rsidRPr="00000000">
        <w:rPr>
          <w:i w:val="1"/>
          <w:iCs w:val="1"/>
          <w:rtl w:val="0"/>
        </w:rPr>
        <w:t xml:space="preserve">Muhtasaru't-tebyîn li hecâi't-tenzîl</w:t>
      </w:r>
      <w:r w:rsidDel="00000000" w:rsidR="00000000" w:rsidRPr="00000000">
        <w:rPr>
          <w:rtl w:val="0"/>
        </w:rPr>
        <w:t xml:space="preserve"> (A. b. M. b. M. Şarşâl, Dü.). (Cilt 1). Mecmeu'l-Melik Fehd li-Tıbâati'l-Mushafi'ş-Şerîf.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Ubeyd, el-Kâsım b. S. (1995). </w:t>
      </w:r>
      <w:r w:rsidDel="00000000" w:rsidR="00000000" w:rsidRPr="00000000">
        <w:rPr>
          <w:i w:val="1"/>
          <w:iCs w:val="1"/>
          <w:rtl w:val="0"/>
        </w:rPr>
        <w:t xml:space="preserve">Fedâilü'l-Kur'ân</w:t>
      </w:r>
      <w:r w:rsidDel="00000000" w:rsidR="00000000" w:rsidRPr="00000000">
        <w:rPr>
          <w:rtl w:val="0"/>
        </w:rPr>
        <w:t xml:space="preserve"> (M. Atiyye, Dü.). Dâr İbn Kesîr.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O. b. S. (2010). </w:t>
      </w:r>
      <w:r w:rsidDel="00000000" w:rsidR="00000000" w:rsidRPr="00000000">
        <w:rPr>
          <w:i w:val="1"/>
          <w:iCs w:val="1"/>
          <w:rtl w:val="0"/>
        </w:rPr>
        <w:t xml:space="preserve">el-Mukni‘ fî ma‘rifeti resmi mesâhifi ehli'l-emsâr</w:t>
      </w:r>
      <w:r w:rsidDel="00000000" w:rsidR="00000000" w:rsidRPr="00000000">
        <w:rPr>
          <w:rtl w:val="0"/>
        </w:rPr>
        <w:t xml:space="preserve"> (N. H. F. el-Humeyyed, Dü.). Dâru't-Tedmûriyye.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el-Aʿzamî, M. M. (2003). </w:t>
      </w:r>
      <w:r w:rsidDel="00000000" w:rsidR="00000000" w:rsidRPr="00000000">
        <w:rPr>
          <w:i w:val="1"/>
          <w:iCs w:val="1"/>
          <w:rtl w:val="0"/>
        </w:rPr>
        <w:t xml:space="preserve">The History of the Qur'an Text from Revelation to Compilation: A Comparative Study with the Old and New Testaments</w:t>
      </w:r>
      <w:r w:rsidDel="00000000" w:rsidR="00000000" w:rsidRPr="00000000">
        <w:rPr>
          <w:rtl w:val="0"/>
        </w:rPr>
        <w:t xml:space="preserve">. UK Islamic Academy.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el-Buhârî, E. A. M. b. İ. (2002). </w:t>
      </w:r>
      <w:r w:rsidDel="00000000" w:rsidR="00000000" w:rsidRPr="00000000">
        <w:rPr>
          <w:i w:val="1"/>
          <w:iCs w:val="1"/>
          <w:rtl w:val="0"/>
        </w:rPr>
        <w:t xml:space="preserve">Sahîhu'l-Buhârî</w:t>
      </w:r>
      <w:r w:rsidDel="00000000" w:rsidR="00000000" w:rsidRPr="00000000">
        <w:rPr>
          <w:rtl w:val="0"/>
        </w:rPr>
        <w:t xml:space="preserve">. Dâr İbn Kesîr.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ez-Zerkeşî, B. M. b. A. (1957). </w:t>
      </w:r>
      <w:r w:rsidDel="00000000" w:rsidR="00000000" w:rsidRPr="00000000">
        <w:rPr>
          <w:i w:val="1"/>
          <w:iCs w:val="1"/>
          <w:rtl w:val="0"/>
        </w:rPr>
        <w:t xml:space="preserve">el-Burhân fî ulûmi'l-Kur'ân</w:t>
      </w:r>
      <w:r w:rsidDel="00000000" w:rsidR="00000000" w:rsidRPr="00000000">
        <w:rPr>
          <w:rtl w:val="0"/>
        </w:rPr>
        <w:t xml:space="preserve"> (M. E. F. İbrahim, Dü.). (Cilt 2). Dâru İhyâi'l-Kütübi'l-Arabiyye.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(1996). </w:t>
      </w:r>
      <w:r w:rsidDel="00000000" w:rsidR="00000000" w:rsidRPr="00000000">
        <w:rPr>
          <w:i w:val="1"/>
          <w:iCs w:val="1"/>
          <w:rtl w:val="0"/>
        </w:rPr>
        <w:t xml:space="preserve">Menâhilü'l-irfân fî ulûmi'l-Kur'ân</w:t>
      </w:r>
      <w:r w:rsidDel="00000000" w:rsidR="00000000" w:rsidRPr="00000000">
        <w:rPr>
          <w:rtl w:val="0"/>
        </w:rPr>
        <w:t xml:space="preserve"> (A. Şemsüddin, Dü.). (Cilt 1). Dâru'l-Kütübi'l-İlmiyye.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Ebû Dâvud, E. B. A. b. S. b. el-Eş‘as es-Sicistânî. (2002). </w:t>
      </w:r>
      <w:r w:rsidDel="00000000" w:rsidR="00000000" w:rsidRPr="00000000">
        <w:rPr>
          <w:i w:val="1"/>
          <w:iCs w:val="1"/>
          <w:rtl w:val="0"/>
        </w:rPr>
        <w:t xml:space="preserve">Kitâbu'l-mesâhif</w:t>
      </w:r>
      <w:r w:rsidDel="00000000" w:rsidR="00000000" w:rsidRPr="00000000">
        <w:rPr>
          <w:rtl w:val="0"/>
        </w:rPr>
        <w:t xml:space="preserve"> (M. A. Vâiz, Dü.). (Cilt 1). Dâru'l-Beşâiri'l-İslâmiyye.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A. b. E. B. (1974). </w:t>
      </w:r>
      <w:r w:rsidDel="00000000" w:rsidR="00000000" w:rsidRPr="00000000">
        <w:rPr>
          <w:i w:val="1"/>
          <w:iCs w:val="1"/>
          <w:rtl w:val="0"/>
        </w:rPr>
        <w:t xml:space="preserve">el-İtkân fî ulûmi'l-Kur'ân</w:t>
      </w:r>
      <w:r w:rsidDel="00000000" w:rsidR="00000000" w:rsidRPr="00000000">
        <w:rPr>
          <w:rtl w:val="0"/>
        </w:rPr>
        <w:t xml:space="preserve"> (M. E. F. İbrâhim, Dü.). (Cilt 4). el-Hey'etü'l-Mısriyyetü'l-Âmme li'l-Kitâb.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structured critical analysis of the technical definition, scope, and semantic canvas has been completely finalized, incorporating strict </w:t>
      </w:r>
      <w:r w:rsidDel="00000000" w:rsidR="00000000" w:rsidRPr="00000000">
        <w:rPr>
          <w:b w:val="1"/>
          <w:bCs w:val="1"/>
          <w:rtl w:val="0"/>
        </w:rPr>
        <w:t xml:space="preserve">APA 7 inline references</w:t>
      </w:r>
      <w:r w:rsidDel="00000000" w:rsidR="00000000" w:rsidRPr="00000000">
        <w:rPr>
          <w:rtl w:val="0"/>
        </w:rPr>
        <w:t xml:space="preserve"> and a master bibliography. Shall we now advance to the immediate next analysis section, </w:t>
      </w:r>
      <w:r w:rsidDel="00000000" w:rsidR="00000000" w:rsidRPr="00000000">
        <w:rPr>
          <w:b w:val="1"/>
          <w:bCs w:val="1"/>
          <w:rtl w:val="0"/>
        </w:rPr>
        <w:t xml:space="preserve">"Resm-i Osmânî Tevkîfî mi İctihâdi mi?"</w:t>
      </w:r>
      <w:r w:rsidDel="00000000" w:rsidR="00000000" w:rsidRPr="00000000">
        <w:rPr>
          <w:rtl w:val="0"/>
        </w:rPr>
        <w:t xml:space="preserve"> (The Theoretical Dilemma: Divinely Ordained or Humanly Formulated Orthography)?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