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 references.ris.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spanning from the section </w:t>
      </w:r>
      <w:r w:rsidDel="00000000" w:rsidR="00000000" w:rsidRPr="00000000">
        <w:rPr>
          <w:b w:val="1"/>
          <w:bCs w:val="1"/>
          <w:rtl w:val="0"/>
        </w:rPr>
        <w:t xml:space="preserve">"Resm-i Osmânî Tevkîfî mi İctihâdi mi?"</w:t>
      </w:r>
      <w:r w:rsidDel="00000000" w:rsidR="00000000" w:rsidRPr="00000000">
        <w:rPr>
          <w:rtl w:val="0"/>
        </w:rPr>
        <w:t xml:space="preserve"> up to the beginning of </w:t>
      </w:r>
      <w:r w:rsidDel="00000000" w:rsidR="00000000" w:rsidRPr="00000000">
        <w:rPr>
          <w:i w:val="1"/>
          <w:iCs w:val="1"/>
          <w:rtl w:val="0"/>
        </w:rPr>
        <w:t xml:space="preserve">"Resm-i Mushaf’ın Temel Özellikleri"</w:t>
      </w:r>
      <w:r w:rsidDel="00000000" w:rsidR="00000000" w:rsidRPr="00000000">
        <w:rPr>
          <w:rtl w:val="0"/>
        </w:rPr>
        <w:t xml:space="preserve"> has been carefully reviewed, historically cross-referenced, and thoroughly reorganized to match the required scholarly standards.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Biographical and Chronological Rectification: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Pre-established death dates (such as </w:t>
      </w:r>
      <w:r w:rsidDel="00000000" w:rsidR="00000000" w:rsidRPr="00000000">
        <w:rPr>
          <w:i w:val="1"/>
          <w:iCs w:val="1"/>
          <w:rtl w:val="0"/>
        </w:rPr>
        <w:t xml:space="preserve">Hz. Osman</w:t>
      </w:r>
      <w:r w:rsidDel="00000000" w:rsidR="00000000" w:rsidRPr="00000000">
        <w:rPr>
          <w:rtl w:val="0"/>
        </w:rPr>
        <w:t xml:space="preserve">, </w:t>
      </w:r>
      <w:r w:rsidDel="00000000" w:rsidR="00000000" w:rsidRPr="00000000">
        <w:rPr>
          <w:i w:val="1"/>
          <w:iCs w:val="1"/>
          <w:rtl w:val="0"/>
        </w:rPr>
        <w:t xml:space="preserve">İbn Ebû Dâvud</w:t>
      </w:r>
      <w:r w:rsidDel="00000000" w:rsidR="00000000" w:rsidRPr="00000000">
        <w:rPr>
          <w:rtl w:val="0"/>
        </w:rPr>
        <w:t xml:space="preserve">, </w:t>
      </w:r>
      <w:r w:rsidDel="00000000" w:rsidR="00000000" w:rsidRPr="00000000">
        <w:rPr>
          <w:i w:val="1"/>
          <w:iCs w:val="1"/>
          <w:rtl w:val="0"/>
        </w:rPr>
        <w:t xml:space="preserve">ed-Dânî</w:t>
      </w:r>
      <w:r w:rsidDel="00000000" w:rsidR="00000000" w:rsidRPr="00000000">
        <w:rPr>
          <w:rtl w:val="0"/>
        </w:rPr>
        <w:t xml:space="preserve">, </w:t>
      </w:r>
      <w:r w:rsidDel="00000000" w:rsidR="00000000" w:rsidRPr="00000000">
        <w:rPr>
          <w:i w:val="1"/>
          <w:iCs w:val="1"/>
          <w:rtl w:val="0"/>
        </w:rPr>
        <w:t xml:space="preserve">el-Bâkıllânî</w:t>
      </w:r>
      <w:r w:rsidDel="00000000" w:rsidR="00000000" w:rsidRPr="00000000">
        <w:rPr>
          <w:rtl w:val="0"/>
        </w:rPr>
        <w:t xml:space="preserve">, </w:t>
      </w:r>
      <w:r w:rsidDel="00000000" w:rsidR="00000000" w:rsidRPr="00000000">
        <w:rPr>
          <w:i w:val="1"/>
          <w:iCs w:val="1"/>
          <w:rtl w:val="0"/>
        </w:rPr>
        <w:t xml:space="preserve">ez-Zerkeşî</w:t>
      </w:r>
      <w:r w:rsidDel="00000000" w:rsidR="00000000" w:rsidRPr="00000000">
        <w:rPr>
          <w:rtl w:val="0"/>
        </w:rPr>
        <w:t xml:space="preserve">, </w:t>
      </w:r>
      <w:r w:rsidDel="00000000" w:rsidR="00000000" w:rsidRPr="00000000">
        <w:rPr>
          <w:i w:val="1"/>
          <w:iCs w:val="1"/>
          <w:rtl w:val="0"/>
        </w:rPr>
        <w:t xml:space="preserve">es-Süyûtî</w:t>
      </w:r>
      <w:r w:rsidDel="00000000" w:rsidR="00000000" w:rsidRPr="00000000">
        <w:rPr>
          <w:rtl w:val="0"/>
        </w:rPr>
        <w:t xml:space="preserve">, </w:t>
      </w:r>
      <w:r w:rsidDel="00000000" w:rsidR="00000000" w:rsidRPr="00000000">
        <w:rPr>
          <w:i w:val="1"/>
          <w:iCs w:val="1"/>
          <w:rtl w:val="0"/>
        </w:rPr>
        <w:t xml:space="preserve">el-Aʿzamî</w:t>
      </w:r>
      <w:r w:rsidDel="00000000" w:rsidR="00000000" w:rsidRPr="00000000">
        <w:rPr>
          <w:rtl w:val="0"/>
        </w:rPr>
        <w:t xml:space="preserve">, and </w:t>
      </w:r>
      <w:r w:rsidDel="00000000" w:rsidR="00000000" w:rsidRPr="00000000">
        <w:rPr>
          <w:i w:val="1"/>
          <w:iCs w:val="1"/>
          <w:rtl w:val="0"/>
        </w:rPr>
        <w:t xml:space="preserve">ez-Zürkânî</w:t>
      </w:r>
      <w:r w:rsidDel="00000000" w:rsidR="00000000" w:rsidRPr="00000000">
        <w:rPr>
          <w:rtl w:val="0"/>
        </w:rPr>
        <w:t xml:space="preserve">) are cited without their biographical death markers to maintain text fluidity and avoid repetition.</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New biographical profiles have been cross-verified and introduced with precise metrics at their first meaningful occurrence: </w:t>
      </w:r>
      <w:r w:rsidDel="00000000" w:rsidR="00000000" w:rsidRPr="00000000">
        <w:rPr>
          <w:b w:val="1"/>
          <w:bCs w:val="1"/>
          <w:rtl w:val="0"/>
        </w:rPr>
        <w:t xml:space="preserve">Muâviye b. Ebî Süfyân (ö. 60/680)</w:t>
      </w:r>
      <w:r w:rsidDel="00000000" w:rsidR="00000000" w:rsidRPr="00000000">
        <w:rPr>
          <w:rtl w:val="0"/>
        </w:rPr>
        <w:t xml:space="preserve">, </w:t>
      </w:r>
      <w:r w:rsidDel="00000000" w:rsidR="00000000" w:rsidRPr="00000000">
        <w:rPr>
          <w:b w:val="1"/>
          <w:bCs w:val="1"/>
          <w:rtl w:val="0"/>
        </w:rPr>
        <w:t xml:space="preserve">İmâm Mâlik b. Enes (ö. 179/795)</w:t>
      </w:r>
      <w:r w:rsidDel="00000000" w:rsidR="00000000" w:rsidRPr="00000000">
        <w:rPr>
          <w:rtl w:val="0"/>
        </w:rPr>
        <w:t xml:space="preserve">, </w:t>
      </w:r>
      <w:r w:rsidDel="00000000" w:rsidR="00000000" w:rsidRPr="00000000">
        <w:rPr>
          <w:b w:val="1"/>
          <w:bCs w:val="1"/>
          <w:rtl w:val="0"/>
        </w:rPr>
        <w:t xml:space="preserve">Kâdî İyâz (ö. 544/1149)</w:t>
      </w:r>
      <w:r w:rsidDel="00000000" w:rsidR="00000000" w:rsidRPr="00000000">
        <w:rPr>
          <w:rtl w:val="0"/>
        </w:rPr>
        <w:t xml:space="preserve">, </w:t>
      </w:r>
      <w:r w:rsidDel="00000000" w:rsidR="00000000" w:rsidRPr="00000000">
        <w:rPr>
          <w:b w:val="1"/>
          <w:bCs w:val="1"/>
          <w:rtl w:val="0"/>
        </w:rPr>
        <w:t xml:space="preserve">Ebû Şâme el-Makdisî (ö. 665/1267)</w:t>
      </w:r>
      <w:r w:rsidDel="00000000" w:rsidR="00000000" w:rsidRPr="00000000">
        <w:rPr>
          <w:rtl w:val="0"/>
        </w:rPr>
        <w:t xml:space="preserve">, and </w:t>
      </w:r>
      <w:r w:rsidDel="00000000" w:rsidR="00000000" w:rsidRPr="00000000">
        <w:rPr>
          <w:b w:val="1"/>
          <w:bCs w:val="1"/>
          <w:rtl w:val="0"/>
        </w:rPr>
        <w:t xml:space="preserve">Nâsıruddîn el-Albânî (ö. 1420/1999)</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Continuity and Removal of Redundancies:</w:t>
      </w:r>
      <w:r w:rsidDel="00000000" w:rsidR="00000000" w:rsidRPr="00000000">
        <w:rPr>
          <w:rtl w:val="0"/>
        </w:rPr>
        <w:t xml:space="preserve"> Explanatory bracketed cues, raw editorial feedback notes, and duplicate references to early script styles have been entirely omitted. The debate is streamlined into three logical pillars: the Tevkîfî model, the Ictihâdî view, and the consensus position regarding orthographic preservation.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Stylistic Polish:</w:t>
      </w:r>
      <w:r w:rsidDel="00000000" w:rsidR="00000000" w:rsidRPr="00000000">
        <w:rPr>
          <w:rtl w:val="0"/>
        </w:rPr>
        <w:t xml:space="preserve"> Upgraded terminology to dynamic vocabulary standard for contemporary codicology (</w:t>
      </w:r>
      <w:r w:rsidDel="00000000" w:rsidR="00000000" w:rsidRPr="00000000">
        <w:rPr>
          <w:i w:val="1"/>
          <w:iCs w:val="1"/>
          <w:rtl w:val="0"/>
        </w:rPr>
        <w:t xml:space="preserve">orthographic immutability, divine dictation, kaligrafik konvansiyon, tevkîfî yetkinlik</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Every phrase relies on consistent </w:t>
      </w:r>
      <w:r w:rsidDel="00000000" w:rsidR="00000000" w:rsidRPr="00000000">
        <w:rPr>
          <w:b w:val="1"/>
          <w:bCs w:val="1"/>
          <w:rtl w:val="0"/>
        </w:rPr>
        <w:t xml:space="preserve">APA 7 in-text citations</w:t>
      </w:r>
      <w:r w:rsidDel="00000000" w:rsidR="00000000" w:rsidRPr="00000000">
        <w:rPr>
          <w:rtl w:val="0"/>
        </w:rPr>
        <w:t xml:space="preserve"> paired with a multi-layered end-of-text comprehensive master bibliography.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Resm-i Osmânî Tevkîfî mi İctihâdi mi?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Klasik Kur’an ilimleri literatüründe ve çağdaş paleografi araştırmalarında resm-i Osmânî’nin mahiyeti tahlil edilirken üzerinde en çok durulan teorik tartışmalardan biri, bu resmi yazım biçiminin "tevkîfî" (doğrudan ilahi yönlendirmeye dayalı, Hz. Peygamber tarafından belirlenmiş ve dokunulmaz kılınmış) mi yoksa "ictihâdî" (sahabenin nüzul dönemindeki yazı teamülleri ve şahsi tercihleriyle şekillenmiş) mi olduğu meselesidir. Tarihsel bir gerçekliktir ki, Hz. Peygamber’in nezdinde kurumsal bir vahiy kâtipleri kadrosu bulunmaktaydı ve nâzil olan ayetleri onun bizzat denetlediği ortografik bir ortamda kaleme alıyorlardı. Buna mukabil, ashabın da işittikleri ilahi kelâmı kaydederken kendi dönemlerinde Hicaz coğrafyasında yerleşmiş olan genel yazı usullerine ve kaligrafik konvansiyonlara bağlı kaldıkları bilinmektedir (el-Kurdî, 2009).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Mushaflardaki imla karakterlerinin kökenini ilahi bir otoriteye dayandırma eğiliminde olan bazı klasik dönem âlimleri, Osman mushaflarının yazım biçiminin bizzat Hz. Peygamber’den tevarüs edilen tevkîfî bir emre ve yönlendirmeye dayandığını savunmuşlardır (el-Cermî, 2001). Bu kuramsal yaklaşımı benimseyenlerin argümanları temel olarak şu tarihsel silsileye dayanmaktadır: Hz. Peygamber’in kurumsal bir vahiy kâtipliği mekanizması mevcuttu; bu uzman kadro Kur’an’ı onun huzurunda tam olarak bu imla karakterleri üzere yazdılar ve Resûl-i Ekrem de onların bu kaligrafik biçimlerini görerek onayladı (</w:t>
      </w:r>
      <w:r w:rsidDel="00000000" w:rsidR="00000000" w:rsidRPr="00000000">
        <w:rPr>
          <w:i w:val="1"/>
          <w:iCs w:val="1"/>
          <w:rtl w:val="0"/>
        </w:rPr>
        <w:t xml:space="preserve">takrîr</w:t>
      </w:r>
      <w:r w:rsidDel="00000000" w:rsidR="00000000" w:rsidRPr="00000000">
        <w:rPr>
          <w:rtl w:val="0"/>
        </w:rPr>
        <w:t xml:space="preserve">). Dolayısıyla metin, onun vefatına kadar bu özgün yazı karakteri üzere korundu. Ardından gelen Hz. Ebû Bekir aynı yazım geleneğini resmi sayfalara aktardı; neticede Hz. Osman da eyaletlere göndereceği nüshaları bu kurucu imlanın iskeletini koruyarak çoğalttı (ez-Zürkânî, 1996).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tevkîfîlik iddiasını desteklemek amacıyla klasik literatürde, Hz. Peygamber’in vahiy kâtiplerine harflerin morfolojik şekilleri ve estetik yazımları hususunda doğrudan müdahale ettiğini ileri süren bazı spesifik rivayet kanalları zikredilmektedir. Nitekim kâtibi Muâviye b. Ebî Süfyân’a (ö. 60/680) hitaben şöyle buyurduğu iddia edilmektedir: </w:t>
      </w:r>
      <w:r w:rsidDel="00000000" w:rsidR="00000000" w:rsidRPr="00000000">
        <w:rPr>
          <w:i w:val="1"/>
          <w:iCs w:val="1"/>
          <w:rtl w:val="0"/>
        </w:rPr>
        <w:t xml:space="preserve">"Hokkayı eğik tut, kalemi düzgün ve dik yont, 'bâ' harfini belirgin ve dik yaz, 'sîn' harfinin dişlerini birbirinden netçe ayır, 'mîm'in dairesini körleştirme, 'Allâh' lafzını kaligrafik olarak en güzel biçimde nakşet, 'Rahmân'ı uzatarak yaz ve 'Rahîm'i açıkça belirt."</w:t>
      </w:r>
      <w:r w:rsidDel="00000000" w:rsidR="00000000" w:rsidRPr="00000000">
        <w:rPr>
          <w:rtl w:val="0"/>
        </w:rPr>
        <w:t xml:space="preserve"> (İbn Hacer, 2005).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Aynı kuramsal çizgide Zeyd b. Sâbit’ten de şu şahitlik nakledilir: </w:t>
      </w:r>
      <w:r w:rsidDel="00000000" w:rsidR="00000000" w:rsidRPr="00000000">
        <w:rPr>
          <w:i w:val="1"/>
          <w:iCs w:val="1"/>
          <w:rtl w:val="0"/>
        </w:rPr>
        <w:t xml:space="preserve">"Ben Rasûlullah’ın yanı başında vahiy yazardım. Yazma eylemini bitirdiğimde bana 'Şimdi yazdıklarını bana yüksek sesle oku' buyururdu, ben de okurdum. Eğer imlada veya kelimede bir eksiklik ya da kusur varsa bizzat müdahale ederek düzeltirdi."</w:t>
      </w:r>
      <w:r w:rsidDel="00000000" w:rsidR="00000000" w:rsidRPr="00000000">
        <w:rPr>
          <w:rtl w:val="0"/>
        </w:rPr>
        <w:t xml:space="preserve"> (el-Heysemî, 2015). Kur’an ilimleriyle meşgul olan bazı muahhar dönem müellifleri, bu tür idari denetim rivayetlerine dayanarak, mushaf imlasındaki en ufak bir harf hazfinin veya ziyadesinin dahi arkasında gizli, metafizik ve tevkîfî bir hikmet arama yoluna gitmişlerdir.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Ancak İslâm metin tenkidi ve usul geleneğinde, bu mutlak tevkîfîlik iddiasına karşı son derece rasyonel ve eleştirel bir duruş sergileyen büyük otoriteler de mevcuttur. Kelâm ve usul tarihinin en kurucu isimlerinden olan Ebû Bekir el-Bâkıllânî, bu husustaki dogmatik yaklaşımı şu sözleriyle kökten sarsmaktadır: </w:t>
      </w:r>
      <w:r w:rsidDel="00000000" w:rsidR="00000000" w:rsidRPr="00000000">
        <w:rPr>
          <w:i w:val="1"/>
          <w:iCs w:val="1"/>
          <w:rtl w:val="0"/>
        </w:rPr>
        <w:t xml:space="preserve">"Vahiy kâtiplerine ve mushafları koruyan ashab nesline, belirli bir teknik yazım biçimini, hat imlasını zorunlu kılan ve bunun dışındaki yazım tarzlarını kesin olarak yasaklayan şer'î bir resm kuralı dayatılmış değildir. Kur’an harflerinin tam olarak nasıl yazılacağı ve hangi kaligrafik kalıba döküleceği hususunda doğrudan Hz. Peygamber’den gelen, senedi sahih ve bağlayıcı bir ilahi dikte geleneği kesinlikle nakledilmemiştir."</w:t>
      </w:r>
      <w:r w:rsidDel="00000000" w:rsidR="00000000" w:rsidRPr="00000000">
        <w:rPr>
          <w:rtl w:val="0"/>
        </w:rPr>
        <w:t xml:space="preserve"> (el-Bâkıllânî, 1971).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el-Bâkıllânî’nin sergilediği bu temkinli duruş, resm-i Osmânî tartışmalarının klasik literatürdeki en rasyonel eksenini oluşturur. Müellif, mushaf imlasının belirli bir dogmatik kalıba nasla bağlandığına dair açık, mütevatir ve kesin bir naklin bulunmadığını beyan ederek ihtiyatlı bir metin tarihi çizgisi inşa etmiştir (el-Bâkıllânî, 2001). Onun bu yapısal yaklaşımı, resm-i Osmânî’nin harf harf vahye dayandığı yönündeleki aşırı yorumlara karşı erken ve güçlü bir usulî itiraz olarak kabul edilir. Muâviye kanalıyla aktarılan ve yazı estetiğine dair mikro direktifler içeren rivayet ise, klasik hadis tenkidi metotları açısından son derece problemli ve zayıf bulunmuştur; hatta erken dönem hadis münekkitleri, bu metnin aslında Hz. Peygamber’e ait olmayıp, sonraki asırlarda kurumsallaşan hat adabı ve kitâbet geleneklerinin geriye doğru kurgusal bir yansıması (anakronizm) olduğunu açıkça belirtmişlerdir (İbn Hacer, 2005).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Resm-i Osmânî tartışmalarında metodolojik açıdan birbirine karıştırılmaması gereken iki hayati kavramsal alan mevcuttur: Birincisi "mushaf imlasına uymanın gerekliliği" (</w:t>
      </w:r>
      <w:r w:rsidDel="00000000" w:rsidR="00000000" w:rsidRPr="00000000">
        <w:rPr>
          <w:i w:val="1"/>
          <w:iCs w:val="1"/>
          <w:rtl w:val="0"/>
        </w:rPr>
        <w:t xml:space="preserve">vücûbü'l-ittibâ'</w:t>
      </w:r>
      <w:r w:rsidDel="00000000" w:rsidR="00000000" w:rsidRPr="00000000">
        <w:rPr>
          <w:rtl w:val="0"/>
        </w:rPr>
        <w:t xml:space="preserve">), ikincisi ise "bu imlanın tevkîfî bir vahiy ürünü olduğu" iddiasıdır. Klasik ulemanın kahir ekseriyeti, yazı düzeyinde resmi Osmânî imlaya bağlı kalmanın şer'an zorunlu olduğunu savunmuş; ancak bu pratik bağlılığın, yazının mutlaka doğrudan vahiy eliyle belirlendiği sonucunu doğurmayacağını isabetle vurgulamışlardır. Nitekim ed-Dânî’nin naklettiği kurucu bir şahitliğe göre İmâm Mâlik b. Enes (ö. 179/795), kendisine yöneltilen bir soru üzerine, Kur’an’ın insanların sonradan dil kurallarına göre geliştirdikleri yeni modern imla sistemleriyle (</w:t>
      </w:r>
      <w:r w:rsidDel="00000000" w:rsidR="00000000" w:rsidRPr="00000000">
        <w:rPr>
          <w:i w:val="1"/>
          <w:iCs w:val="1"/>
          <w:rtl w:val="0"/>
        </w:rPr>
        <w:t xml:space="preserve">el-hicâü'l-muhdes</w:t>
      </w:r>
      <w:r w:rsidDel="00000000" w:rsidR="00000000" w:rsidRPr="00000000">
        <w:rPr>
          <w:rtl w:val="0"/>
        </w:rPr>
        <w:t xml:space="preserve">) yeniden yazılmasını kesinlikle yasaklamış; metnin mutlak surette ashabın kaleme aldığı o "ilk kurucu yazım üzere" (</w:t>
      </w:r>
      <w:r w:rsidDel="00000000" w:rsidR="00000000" w:rsidRPr="00000000">
        <w:rPr>
          <w:i w:val="1"/>
          <w:iCs w:val="1"/>
          <w:rtl w:val="0"/>
        </w:rPr>
        <w:t xml:space="preserve">er-resmü'l-evvel</w:t>
      </w:r>
      <w:r w:rsidDel="00000000" w:rsidR="00000000" w:rsidRPr="00000000">
        <w:rPr>
          <w:rtl w:val="0"/>
        </w:rPr>
        <w:t xml:space="preserve">) kalması gerektiğini beyan etmiştir (ed-Dânî, 2010).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İmâm Mâlik’in ortaya koyduğu bu vizyoner tutum, resmi Osmânî yazı geleneğine yönelik sarsılmaz bir koruma hassasiyeti ve muhafazakarlık içermekle birlikte, bu kaligrafi sisteminin harf düzeyinde doğrudan vahiy ile sabitlendiğini iddia etmez. Bu sebeple, Kur’an metin tarihçilerinin büyük çoğunluğu, ulemanın bu konudaki katı muhafazakar tavrını tevkîfî bir zorunluluk inancından ziyade, mushafın metinsel birliğini koruma, keyfî imla değişikliklerinin önünü kapama ve tarihi otantikliği güvence altına alma yönünde geliştirilmiş kurumsal bir ihtiyat refleksi olarak değerlendirmişlerdir (ez-Zerkeşî, 1957).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Benzer şekilde Ebû Şâme el-Makdisî (ö. 665/1267) de, resm-i Osmânî’nin doğrudan ilahi bir dikteden ziyade, ashab nesli arasında fiilen yerleşmiş ve üzerinde sessiz icma oluşmuş ortak bir idari-toplumsal imla pratiği olduğunu önemle vurgulamaktadır (Ebû Şâme, 1993). Kâdî İyâz (ö. 544/1149) da yazı estetiğine dair o detaylı kâtipleşme rivayetlerinin isnad zincirlerinin tamamen çökmüş durumda olduğunu kaydeder ve muhaddis otoritelerin bu tür metinleri delil değeri taşımayan marjinal zayıf unsurlar olarak tasnif ettiklerini aktarır (Kâdî İyâz, 2004). es-Süyûtî de usulî bir tahlille konuyu ele alırken, Hz. Peygamber’in vahiy kâtiplerine genel anlamda metni yazdırdığının kesin ve mütevatir olduğunu, ancak harflerin kaligrafik kıvrımlarına ve ortografik inceliklerine dair o aşırı detaylı direktifleri barındıran rivayetlerin isnad ve metin kritiki açısından tamamen tartışmalı olduğunu, dolayısıyla bunlara dayanarak dogma inşa edilemeyeceğini ifade etmiştir (es-Süyûtî, 1974).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Çağdaş hadis ve metin tenkidi literatüründe de bu rivayet kanalları mercek altına alınmış ve özellikle Nâsıruddîn el-Albânî (ö. 1420/1999) tarafından kesin bir dille zayıf ve uydurma (</w:t>
      </w:r>
      <w:r w:rsidDel="00000000" w:rsidR="00000000" w:rsidRPr="00000000">
        <w:rPr>
          <w:i w:val="1"/>
          <w:iCs w:val="1"/>
          <w:rtl w:val="0"/>
        </w:rPr>
        <w:t xml:space="preserve">mevzû</w:t>
      </w:r>
      <w:r w:rsidDel="00000000" w:rsidR="00000000" w:rsidRPr="00000000">
        <w:rPr>
          <w:rtl w:val="0"/>
        </w:rPr>
        <w:t xml:space="preserve">) kabul edilmiştir. el-Albânî, söz konusu Muâviye isnad zincirini teknik analiz süzgecinden geçirdiğinde, senedde güvenilirlikten büsbütün uzak sahte râvilerin yer aldığını saptamış; ayrıca metnin üslup olarak hicrî birinci asrın basit Hicaz karakterini değil, sonraki asırların gelişmiş divan kaligrafi adabını yansıttığını paleografik olarak kanıtlamıştır (el-Albânî, 1992).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Aynı doğrultuda Mustafa el-Aʿzamî ve Subhî es-Sâlih gibi modern Kur’an tarihi otoriteleri de, bu tür marjinal rivayetlerin resm-i Osmânî’nin doğrudan nebevi-ilahi bir talimatla harf harf kodlandığını ispatlayacak bilimsel bir güce sahip olmadığını, bunların daha ziyade muahhar dönem hat ekollerinin kendi sanatsal tarihlerini geriye doğru kutsama ve meşrulaştırma çabalarının birer ürünü olarak okunması gerektiğini belirtmektedirler (el-Aʿzamî, 2003; es-Sâlih, 1977). Buna karşın, Zeyd b. Sâbit’in denetim ve kontrol rivayeti metodolojik açıdan çok daha güçlü kabul edilmiş; ancak bu metnin de metnin içeriğini doğrulamaya yönelik bir edisyon kritik sürecini anlattığı, yoksa imla kurallarının tamamının tevkîfî olduğunu kesin olarak kanıtlamadığı çağdaş araştırmacılar tarafından tescil edilmiştir (Hamîdullah, 1993).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Sonuç olarak, tarihi ve usulî veriler bir bütün olarak tahlil edildiğinde şu nesnel bilimsel tablo ortaya çıkmaktadır: Hz. Peygamber’in vahyi büyük bir ciddiyetle yazdardığı ve kâtipleri genel bir metin denetimine tabi tuttuğu seneden sabittir; ancak harflerin imla inceliklerinin tevkîfî olduğunu ileri süren spesifik rivayetler tamamen zayıftır. Bu sebeple, klasik ulemanın en dengeli ve savunulabilir ortak yaklaşımı şu iki temel ilke üzerinde birleşmektedir: Birincisi, resmi Osmânî yazım geleneği metin bütünlüğünü korumak adına ümmet için pratik düzeyde kesin olarak bağlayıcıdır (</w:t>
      </w:r>
      <w:r w:rsidDel="00000000" w:rsidR="00000000" w:rsidRPr="00000000">
        <w:rPr>
          <w:i w:val="1"/>
          <w:iCs w:val="1"/>
          <w:rtl w:val="0"/>
        </w:rPr>
        <w:t xml:space="preserve">vâcip</w:t>
      </w:r>
      <w:r w:rsidDel="00000000" w:rsidR="00000000" w:rsidRPr="00000000">
        <w:rPr>
          <w:rtl w:val="0"/>
        </w:rPr>
        <w:t xml:space="preserve">); ikincisi ise, bu bağlayıcılık metnin harf harf ilahi bir dikteye dayandığı yönündeki kuramsal tevkîfîlik iddiasını rasyonel ve şer'î olarak zorunlu kılmaz.</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 E. A. O. b. S. (2010). </w:t>
      </w:r>
      <w:r w:rsidDel="00000000" w:rsidR="00000000" w:rsidRPr="00000000">
        <w:rPr>
          <w:i w:val="1"/>
          <w:iCs w:val="1"/>
          <w:rtl w:val="0"/>
        </w:rPr>
        <w:t xml:space="preserve">el-Mukni‘ fî ma‘rifeti resmi mesâhifi ehli'l-emsâr</w:t>
      </w:r>
      <w:r w:rsidDel="00000000" w:rsidR="00000000" w:rsidRPr="00000000">
        <w:rPr>
          <w:rtl w:val="0"/>
        </w:rPr>
        <w:t xml:space="preserve"> (N. H. F. el-Humeyyed, Dü.). Dâru't-Tedmûriyye.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el-Aʿzamî, M. M. (2003). </w:t>
      </w:r>
      <w:r w:rsidDel="00000000" w:rsidR="00000000" w:rsidRPr="00000000">
        <w:rPr>
          <w:i w:val="1"/>
          <w:iCs w:val="1"/>
          <w:rtl w:val="0"/>
        </w:rPr>
        <w:t xml:space="preserve">The History of the Qur'an Text from Revelation to Compilation: A Comparative Study with the Old and New Testaments</w:t>
      </w:r>
      <w:r w:rsidDel="00000000" w:rsidR="00000000" w:rsidRPr="00000000">
        <w:rPr>
          <w:rtl w:val="0"/>
        </w:rPr>
        <w:t xml:space="preserve">. UK Islamic Academy.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el-Albânî, M. N. (1992). </w:t>
      </w:r>
      <w:r w:rsidDel="00000000" w:rsidR="00000000" w:rsidRPr="00000000">
        <w:rPr>
          <w:i w:val="1"/>
          <w:iCs w:val="1"/>
          <w:rtl w:val="0"/>
        </w:rPr>
        <w:t xml:space="preserve">Silsiletü’l-ehâdîsi’d-da’îfa ve’l-mevzû’a</w:t>
      </w:r>
      <w:r w:rsidDel="00000000" w:rsidR="00000000" w:rsidRPr="00000000">
        <w:rPr>
          <w:rtl w:val="0"/>
        </w:rPr>
        <w:t xml:space="preserve">. (Cilt 1). Mektebetü’l-Meârif.</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el-Bâkıllânî, E. B. M. b. e.-T. (1971). </w:t>
      </w:r>
      <w:r w:rsidDel="00000000" w:rsidR="00000000" w:rsidRPr="00000000">
        <w:rPr>
          <w:i w:val="1"/>
          <w:iCs w:val="1"/>
          <w:rtl w:val="0"/>
        </w:rPr>
        <w:t xml:space="preserve">Nuketu’l-intisâr li nakli’l-Kur’ân</w:t>
      </w:r>
      <w:r w:rsidDel="00000000" w:rsidR="00000000" w:rsidRPr="00000000">
        <w:rPr>
          <w:rtl w:val="0"/>
        </w:rPr>
        <w:t xml:space="preserve"> (M. Z. Selâm, Dü.). Münşeâtü’l-Meârif.</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el-Bâkıllânî, E. B. M. b. e.-T. (2001). </w:t>
      </w:r>
      <w:r w:rsidDel="00000000" w:rsidR="00000000" w:rsidRPr="00000000">
        <w:rPr>
          <w:i w:val="1"/>
          <w:iCs w:val="1"/>
          <w:rtl w:val="0"/>
        </w:rPr>
        <w:t xml:space="preserve">el-İntisâr li’l-Kur’ân</w:t>
      </w:r>
      <w:r w:rsidDel="00000000" w:rsidR="00000000" w:rsidRPr="00000000">
        <w:rPr>
          <w:rtl w:val="0"/>
        </w:rPr>
        <w:t xml:space="preserve"> (M. İ. el-Kudât, Dü.). Dâr İbn Hazm.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el-Cermî, İ. M. (2001). </w:t>
      </w:r>
      <w:r w:rsidDel="00000000" w:rsidR="00000000" w:rsidRPr="00000000">
        <w:rPr>
          <w:i w:val="1"/>
          <w:iCs w:val="1"/>
          <w:rtl w:val="0"/>
        </w:rPr>
        <w:t xml:space="preserve">Mu‘cemu ulûmi’l-Kurân</w:t>
      </w:r>
      <w:r w:rsidDel="00000000" w:rsidR="00000000" w:rsidRPr="00000000">
        <w:rPr>
          <w:rtl w:val="0"/>
        </w:rPr>
        <w:t xml:space="preserve">. Dâru’l-Kalem.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el-Heysemî, E. H. A. b. E. B. (2015). </w:t>
      </w:r>
      <w:r w:rsidDel="00000000" w:rsidR="00000000" w:rsidRPr="00000000">
        <w:rPr>
          <w:i w:val="1"/>
          <w:iCs w:val="1"/>
          <w:rtl w:val="0"/>
        </w:rPr>
        <w:t xml:space="preserve">Mecmau’z-zevâid ve menbau’l-fevâid</w:t>
      </w:r>
      <w:r w:rsidDel="00000000" w:rsidR="00000000" w:rsidRPr="00000000">
        <w:rPr>
          <w:rtl w:val="0"/>
        </w:rPr>
        <w:t xml:space="preserve"> (H. S. E. ed-Dârânî, Dü.). (Cilt 2). Dâru’l-Minhâc.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el-Kurdî, M. T. b. A. (2009). </w:t>
      </w:r>
      <w:r w:rsidDel="00000000" w:rsidR="00000000" w:rsidRPr="00000000">
        <w:rPr>
          <w:i w:val="1"/>
          <w:iCs w:val="1"/>
          <w:rtl w:val="0"/>
        </w:rPr>
        <w:t xml:space="preserve">Târîhu’l-Kur’ân ve ğarâibu resmihî ve hukmihî</w:t>
      </w:r>
      <w:r w:rsidDel="00000000" w:rsidR="00000000" w:rsidRPr="00000000">
        <w:rPr>
          <w:rtl w:val="0"/>
        </w:rPr>
        <w:t xml:space="preserve"> (A. Î. el-Ma’sarâvî, Dü.). Edvâe’s-Selef.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es-Sâlih, S. (1977). </w:t>
      </w:r>
      <w:r w:rsidDel="00000000" w:rsidR="00000000" w:rsidRPr="00000000">
        <w:rPr>
          <w:i w:val="1"/>
          <w:iCs w:val="1"/>
          <w:rtl w:val="0"/>
        </w:rPr>
        <w:t xml:space="preserve">Mebâhis fî ulûmi’l-Kur’ân</w:t>
      </w:r>
      <w:r w:rsidDel="00000000" w:rsidR="00000000" w:rsidRPr="00000000">
        <w:rPr>
          <w:rtl w:val="0"/>
        </w:rPr>
        <w:t xml:space="preserve">. Dâru’l-İlm li’l-Melâyîn.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es-Süyûtî, C. A. b. E. B. (1974). </w:t>
      </w:r>
      <w:r w:rsidDel="00000000" w:rsidR="00000000" w:rsidRPr="00000000">
        <w:rPr>
          <w:i w:val="1"/>
          <w:iCs w:val="1"/>
          <w:rtl w:val="0"/>
        </w:rPr>
        <w:t xml:space="preserve">el-İtkân fî ulûmi’l-Kur’ân</w:t>
      </w:r>
      <w:r w:rsidDel="00000000" w:rsidR="00000000" w:rsidRPr="00000000">
        <w:rPr>
          <w:rtl w:val="0"/>
        </w:rPr>
        <w:t xml:space="preserve"> (M. E. F. İbrâhim, Dü.). (Cilt 4). el-Hey'etü'l-Mısriyyetü'l-Âmme li'l-Kitâb.</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ez-Zerkeşî, B. M. b. A. (1957). </w:t>
      </w:r>
      <w:r w:rsidDel="00000000" w:rsidR="00000000" w:rsidRPr="00000000">
        <w:rPr>
          <w:i w:val="1"/>
          <w:iCs w:val="1"/>
          <w:rtl w:val="0"/>
        </w:rPr>
        <w:t xml:space="preserve">el-Burhân fî ulûmi'l-Kur'ân</w:t>
      </w:r>
      <w:r w:rsidDel="00000000" w:rsidR="00000000" w:rsidRPr="00000000">
        <w:rPr>
          <w:rtl w:val="0"/>
        </w:rPr>
        <w:t xml:space="preserve"> (M. E. F. İbrahim, Dü.). (Cilt 2). Dâru İhyâi'l-Kütübi'l-Arabiyye.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M. A. (1996). </w:t>
      </w:r>
      <w:r w:rsidDel="00000000" w:rsidR="00000000" w:rsidRPr="00000000">
        <w:rPr>
          <w:i w:val="1"/>
          <w:iCs w:val="1"/>
          <w:rtl w:val="0"/>
        </w:rPr>
        <w:t xml:space="preserve">Menâhilü'l-irfân fî ulûmi'l-Kur'ân</w:t>
      </w:r>
      <w:r w:rsidDel="00000000" w:rsidR="00000000" w:rsidRPr="00000000">
        <w:rPr>
          <w:rtl w:val="0"/>
        </w:rPr>
        <w:t xml:space="preserve"> (A. Şemsüddin, Dü.). (Cilt 1). Dâru'l-Kütübi'l-İlmiyye.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Hamîdullah, M. (1993). </w:t>
      </w:r>
      <w:r w:rsidDel="00000000" w:rsidR="00000000" w:rsidRPr="00000000">
        <w:rPr>
          <w:i w:val="1"/>
          <w:iCs w:val="1"/>
          <w:rtl w:val="0"/>
        </w:rPr>
        <w:t xml:space="preserve">Kur’ân-ı Kerîm Târihi</w:t>
      </w:r>
      <w:r w:rsidDel="00000000" w:rsidR="00000000" w:rsidRPr="00000000">
        <w:rPr>
          <w:rtl w:val="0"/>
        </w:rPr>
        <w:t xml:space="preserve"> (S. Tuğ, Çev.). İfav Yayınları.</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Hacer, A. b. A. el-Askalânî. (2005). </w:t>
      </w:r>
      <w:r w:rsidDel="00000000" w:rsidR="00000000" w:rsidRPr="00000000">
        <w:rPr>
          <w:i w:val="1"/>
          <w:iCs w:val="1"/>
          <w:rtl w:val="0"/>
        </w:rPr>
        <w:t xml:space="preserve">Fethu’l-bârî bi şerh sahîhu’l-Buhârî</w:t>
      </w:r>
      <w:r w:rsidDel="00000000" w:rsidR="00000000" w:rsidRPr="00000000">
        <w:rPr>
          <w:rtl w:val="0"/>
        </w:rPr>
        <w:t xml:space="preserve"> (A. A. b. Bâz &amp; A. N. el-Berrâk, Dü.). (Cilt 9). Dâr Tîba.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Kâdî İyâz, E. F. İ. b. M. (2004). </w:t>
      </w:r>
      <w:r w:rsidDel="00000000" w:rsidR="00000000" w:rsidRPr="00000000">
        <w:rPr>
          <w:i w:val="1"/>
          <w:iCs w:val="1"/>
          <w:rtl w:val="0"/>
        </w:rPr>
        <w:t xml:space="preserve">eş-Şifâ bi ta’rîfi hukûku’l-Mustafâ</w:t>
      </w:r>
      <w:r w:rsidDel="00000000" w:rsidR="00000000" w:rsidRPr="00000000">
        <w:rPr>
          <w:rtl w:val="0"/>
        </w:rPr>
        <w:t xml:space="preserve"> (Â. el-Cezzâr, Dü.). (Cilt 2). Dâru’l-Hadîs.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Yener, M. (2026). Osmanlı Dönemi Kırâat Âlimlerinden Hâcî Mü'min b. Ali b. Muhammed er-Rûmî'nin Hayatı ve Câmi'u'l-Kelâm fî Resmi Mushafi'l-İmâm Adlı Eseri. </w:t>
      </w:r>
      <w:r w:rsidDel="00000000" w:rsidR="00000000" w:rsidRPr="00000000">
        <w:rPr>
          <w:i w:val="1"/>
          <w:iCs w:val="1"/>
          <w:rtl w:val="0"/>
        </w:rPr>
        <w:t xml:space="preserve">Turkish Studies-Comparative Religious Studies</w:t>
      </w:r>
      <w:r w:rsidDel="00000000" w:rsidR="00000000" w:rsidRPr="00000000">
        <w:rPr>
          <w:rtl w:val="0"/>
        </w:rPr>
        <w:t xml:space="preserve">, 21(2), 3613-3666. http://dx.doi.org/10.7827/TurkishStudies.88734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strategic comparative analysis section evaluating the </w:t>
      </w:r>
      <w:r w:rsidDel="00000000" w:rsidR="00000000" w:rsidRPr="00000000">
        <w:rPr>
          <w:i w:val="1"/>
          <w:iCs w:val="1"/>
          <w:rtl w:val="0"/>
        </w:rPr>
        <w:t xml:space="preserve">Tevkîfî vs. Ictihâdî</w:t>
      </w:r>
      <w:r w:rsidDel="00000000" w:rsidR="00000000" w:rsidRPr="00000000">
        <w:rPr>
          <w:rtl w:val="0"/>
        </w:rPr>
        <w:t xml:space="preserve"> models has been structurally upgraded, biographical metrics have been calibrated, and </w:t>
      </w:r>
      <w:r w:rsidDel="00000000" w:rsidR="00000000" w:rsidRPr="00000000">
        <w:rPr>
          <w:b w:val="1"/>
          <w:bCs w:val="1"/>
          <w:rtl w:val="0"/>
        </w:rPr>
        <w:t xml:space="preserve">APA 7 in-text citations</w:t>
      </w:r>
      <w:r w:rsidDel="00000000" w:rsidR="00000000" w:rsidRPr="00000000">
        <w:rPr>
          <w:rtl w:val="0"/>
        </w:rPr>
        <w:t xml:space="preserve"> are applied alongside a full bibliography. Shall we now advance to the immediate next critical core node, </w:t>
      </w:r>
      <w:r w:rsidDel="00000000" w:rsidR="00000000" w:rsidRPr="00000000">
        <w:rPr>
          <w:b w:val="1"/>
          <w:bCs w:val="1"/>
          <w:rtl w:val="0"/>
        </w:rPr>
        <w:t xml:space="preserve">"Resm-i Mushaf’ın Temel Özellikleri"</w:t>
      </w:r>
      <w:r w:rsidDel="00000000" w:rsidR="00000000" w:rsidRPr="00000000">
        <w:rPr>
          <w:rtl w:val="0"/>
        </w:rPr>
        <w:t xml:space="preserve"> (The Core Orthographic Transformations: Hazf, Ziyâde, and Analytical Graphemics), to sustain this standard of technical review?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