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 references.ris.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section of Chapter Two, </w:t>
      </w:r>
      <w:r w:rsidDel="00000000" w:rsidR="00000000" w:rsidRPr="00000000">
        <w:rPr>
          <w:b w:val="1"/>
          <w:bCs w:val="1"/>
          <w:rtl w:val="0"/>
        </w:rPr>
        <w:t xml:space="preserve">"Kırâat Kavramı ve Rivâyet Temelli Yapısı"</w:t>
      </w:r>
      <w:r w:rsidDel="00000000" w:rsidR="00000000" w:rsidRPr="00000000">
        <w:rPr>
          <w:rtl w:val="0"/>
        </w:rPr>
        <w:t xml:space="preserve">, has been systematically analyzed, verified against classical and modern authorities, and entirely rewritten to establish an advanced, text-critical academic standard.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Calibration: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Biographical death dates have been verified and integrated upon their first contextually significant entry in this chapter: </w:t>
      </w:r>
      <w:r w:rsidDel="00000000" w:rsidR="00000000" w:rsidRPr="00000000">
        <w:rPr>
          <w:b w:val="1"/>
          <w:bCs w:val="1"/>
          <w:rtl w:val="0"/>
        </w:rPr>
        <w:t xml:space="preserve">Mekkî b. Ebû Tâlib (ö. 437/1045)</w:t>
      </w:r>
      <w:r w:rsidDel="00000000" w:rsidR="00000000" w:rsidRPr="00000000">
        <w:rPr>
          <w:rtl w:val="0"/>
        </w:rPr>
        <w:t xml:space="preserve">, </w:t>
      </w:r>
      <w:r w:rsidDel="00000000" w:rsidR="00000000" w:rsidRPr="00000000">
        <w:rPr>
          <w:b w:val="1"/>
          <w:bCs w:val="1"/>
          <w:rtl w:val="0"/>
        </w:rPr>
        <w:t xml:space="preserve">İbn Abdilberr (ö. 463/1071)</w:t>
      </w:r>
      <w:r w:rsidDel="00000000" w:rsidR="00000000" w:rsidRPr="00000000">
        <w:rPr>
          <w:rtl w:val="0"/>
        </w:rPr>
        <w:t xml:space="preserve">, and </w:t>
      </w:r>
      <w:r w:rsidDel="00000000" w:rsidR="00000000" w:rsidRPr="00000000">
        <w:rPr>
          <w:b w:val="1"/>
          <w:bCs w:val="1"/>
          <w:rtl w:val="0"/>
        </w:rPr>
        <w:t xml:space="preserve">Ebû Bekir b. Mücâhid (ö. 324/936)</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Previously defined biographical entities from Chapter One (</w:t>
      </w:r>
      <w:r w:rsidDel="00000000" w:rsidR="00000000" w:rsidRPr="00000000">
        <w:rPr>
          <w:i w:val="1"/>
          <w:iCs w:val="1"/>
          <w:rtl w:val="0"/>
        </w:rPr>
        <w:t xml:space="preserve">İbnü'l-Cezerî, ez-Zerkeşî, es-Süyûtî, Ebû Ubeyde el-Kâsım b. Sellâm, ez-Zürkânî</w:t>
      </w:r>
      <w:r w:rsidDel="00000000" w:rsidR="00000000" w:rsidRPr="00000000">
        <w:rPr>
          <w:rtl w:val="0"/>
        </w:rPr>
        <w:t xml:space="preserve">) are integrated using clean nominal tags without repetitive death markers, as instructed.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Continuity:</w:t>
      </w:r>
      <w:r w:rsidDel="00000000" w:rsidR="00000000" w:rsidRPr="00000000">
        <w:rPr>
          <w:rtl w:val="0"/>
        </w:rPr>
        <w:t xml:space="preserve"> Permanently expunged internal drafting commentaries, meta-questions, and repetitive explanations of the phonetic list. The structural narrative deepens the analysis of </w:t>
      </w:r>
      <w:r w:rsidDel="00000000" w:rsidR="00000000" w:rsidRPr="00000000">
        <w:rPr>
          <w:i w:val="1"/>
          <w:iCs w:val="1"/>
          <w:rtl w:val="0"/>
        </w:rPr>
        <w:t xml:space="preserve">qirāʾāt</w:t>
      </w:r>
      <w:r w:rsidDel="00000000" w:rsidR="00000000" w:rsidRPr="00000000">
        <w:rPr>
          <w:rtl w:val="0"/>
        </w:rPr>
        <w:t xml:space="preserve"> not merely as "variant readings" but as a rigorous, independent transmission discipline (</w:t>
      </w:r>
      <w:r w:rsidDel="00000000" w:rsidR="00000000" w:rsidRPr="00000000">
        <w:rPr>
          <w:i w:val="1"/>
          <w:iCs w:val="1"/>
          <w:rtl w:val="0"/>
        </w:rPr>
        <w:t xml:space="preserve">epistemolojik havza</w:t>
      </w:r>
      <w:r w:rsidDel="00000000" w:rsidR="00000000" w:rsidRPr="00000000">
        <w:rPr>
          <w:rtl w:val="0"/>
        </w:rPr>
        <w:t xml:space="preserve">) intertwined with early Islamic text-critical filters.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Linguistic Refinement:</w:t>
      </w:r>
      <w:r w:rsidDel="00000000" w:rsidR="00000000" w:rsidRPr="00000000">
        <w:rPr>
          <w:rtl w:val="0"/>
        </w:rPr>
        <w:t xml:space="preserve"> Transited the text toward a formal academic register utilizing technical vocabulary specific to textual criticism, historical linguistics, and manuscript preservation (</w:t>
      </w:r>
      <w:r w:rsidDel="00000000" w:rsidR="00000000" w:rsidRPr="00000000">
        <w:rPr>
          <w:i w:val="1"/>
          <w:iCs w:val="1"/>
          <w:rtl w:val="0"/>
        </w:rPr>
        <w:t xml:space="preserve">morpho-phonetic variant, transmission lineage, canonical codification, şifahî telakki, konsonantal iskelet</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Documented through consistent </w:t>
      </w:r>
      <w:r w:rsidDel="00000000" w:rsidR="00000000" w:rsidRPr="00000000">
        <w:rPr>
          <w:b w:val="1"/>
          <w:bCs w:val="1"/>
          <w:rtl w:val="0"/>
        </w:rPr>
        <w:t xml:space="preserve">APA 7 in-text citations</w:t>
      </w:r>
      <w:r w:rsidDel="00000000" w:rsidR="00000000" w:rsidRPr="00000000">
        <w:rPr>
          <w:rtl w:val="0"/>
        </w:rPr>
        <w:t xml:space="preserve"> and paired with a comprehensive master bibliography at the end of the text.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İKİNCİ BÖLÜM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KIRÂATLERİN RİVÂYET MANTIĞI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Kırâat Kavramı ve Rivâyet Temelli Yapısı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kavramı, İslâm ilimler geleneği ve özellikle Kur’an araştırmaları içerisinde, ilahi vahyin nâzil olduğu ilk andan itibaren şekillenmeye başlayan, metin paleografisi ve tarihiyle doğrudan eklemlenmiş en kurucu epistemolojik havzalardan birini temsil eder. Teknik ve kuramsal bir yaklaşımla kırâat; Kur’an lafızlarının Hz. Peygamber’den tevarüs edilen, kesintisiz ve güvenilir rivayet zincirleriyle nakledilerek dilsel birer norm haline getirilmiş seslendirilme, telaffuz ve edâ biçimleri demektir (Kaysî, 1979). ancak kırâat, yaygın ve sığ algının aksine, sadece kelimelerin keyfî veya yerel lehçelere dayalı "farklı okuma biçimlerinin" rastgele bir envanteri olarak görülemez. Zira kırâat ilmi; Kur’an kelimelerinin morfo-fonetik yapısını, harflerin mahreçlerini ve ses değerlerini, </w:t>
      </w:r>
      <w:r w:rsidDel="00000000" w:rsidR="00000000" w:rsidRPr="00000000">
        <w:rPr>
          <w:i w:val="1"/>
          <w:iCs w:val="1"/>
          <w:rtl w:val="0"/>
        </w:rPr>
        <w:t xml:space="preserve">med</w:t>
      </w:r>
      <w:r w:rsidDel="00000000" w:rsidR="00000000" w:rsidRPr="00000000">
        <w:rPr>
          <w:rtl w:val="0"/>
        </w:rPr>
        <w:t xml:space="preserve"> (uzatma), </w:t>
      </w:r>
      <w:r w:rsidDel="00000000" w:rsidR="00000000" w:rsidRPr="00000000">
        <w:rPr>
          <w:i w:val="1"/>
          <w:iCs w:val="1"/>
          <w:rtl w:val="0"/>
        </w:rPr>
        <w:t xml:space="preserve">kasr</w:t>
      </w:r>
      <w:r w:rsidDel="00000000" w:rsidR="00000000" w:rsidRPr="00000000">
        <w:rPr>
          <w:rtl w:val="0"/>
        </w:rPr>
        <w:t xml:space="preserve"> (kısaltma), </w:t>
      </w:r>
      <w:r w:rsidDel="00000000" w:rsidR="00000000" w:rsidRPr="00000000">
        <w:rPr>
          <w:i w:val="1"/>
          <w:iCs w:val="1"/>
          <w:rtl w:val="0"/>
        </w:rPr>
        <w:t xml:space="preserve">tahfîf</w:t>
      </w:r>
      <w:r w:rsidDel="00000000" w:rsidR="00000000" w:rsidRPr="00000000">
        <w:rPr>
          <w:rtl w:val="0"/>
        </w:rPr>
        <w:t xml:space="preserve"> (hafifletme), </w:t>
      </w:r>
      <w:r w:rsidDel="00000000" w:rsidR="00000000" w:rsidRPr="00000000">
        <w:rPr>
          <w:i w:val="1"/>
          <w:iCs w:val="1"/>
          <w:rtl w:val="0"/>
        </w:rPr>
        <w:t xml:space="preserve">teşdîd</w:t>
      </w:r>
      <w:r w:rsidDel="00000000" w:rsidR="00000000" w:rsidRPr="00000000">
        <w:rPr>
          <w:rtl w:val="0"/>
        </w:rPr>
        <w:t xml:space="preserve"> (şeddeleme), hemzenin telaffuz varyasyonlarını, </w:t>
      </w:r>
      <w:r w:rsidDel="00000000" w:rsidR="00000000" w:rsidRPr="00000000">
        <w:rPr>
          <w:i w:val="1"/>
          <w:iCs w:val="1"/>
          <w:rtl w:val="0"/>
        </w:rPr>
        <w:t xml:space="preserve">imâle</w:t>
      </w:r>
      <w:r w:rsidDel="00000000" w:rsidR="00000000" w:rsidRPr="00000000">
        <w:rPr>
          <w:rtl w:val="0"/>
        </w:rPr>
        <w:t xml:space="preserve"> (ses bükümü), </w:t>
      </w:r>
      <w:r w:rsidDel="00000000" w:rsidR="00000000" w:rsidRPr="00000000">
        <w:rPr>
          <w:i w:val="1"/>
          <w:iCs w:val="1"/>
          <w:rtl w:val="0"/>
        </w:rPr>
        <w:t xml:space="preserve">idgâm</w:t>
      </w:r>
      <w:r w:rsidDel="00000000" w:rsidR="00000000" w:rsidRPr="00000000">
        <w:rPr>
          <w:rtl w:val="0"/>
        </w:rPr>
        <w:t xml:space="preserve"> (harf ulaması), </w:t>
      </w:r>
      <w:r w:rsidDel="00000000" w:rsidR="00000000" w:rsidRPr="00000000">
        <w:rPr>
          <w:i w:val="1"/>
          <w:iCs w:val="1"/>
          <w:rtl w:val="0"/>
        </w:rPr>
        <w:t xml:space="preserve">vakf</w:t>
      </w:r>
      <w:r w:rsidDel="00000000" w:rsidR="00000000" w:rsidRPr="00000000">
        <w:rPr>
          <w:rtl w:val="0"/>
        </w:rPr>
        <w:t xml:space="preserve"> (durma) ve </w:t>
      </w:r>
      <w:r w:rsidDel="00000000" w:rsidR="00000000" w:rsidRPr="00000000">
        <w:rPr>
          <w:i w:val="1"/>
          <w:iCs w:val="1"/>
          <w:rtl w:val="0"/>
        </w:rPr>
        <w:t xml:space="preserve">ibtidâ</w:t>
      </w:r>
      <w:r w:rsidDel="00000000" w:rsidR="00000000" w:rsidRPr="00000000">
        <w:rPr>
          <w:rtl w:val="0"/>
        </w:rPr>
        <w:t xml:space="preserve"> (başlama) gibi tilavetin dilbilimsel ve müzikal tüm teknik boyutlarını bünyesinde barındıran devasa ve muhafazakâr bir disiplindir. Bu yönüyle kırâat, salt fonetik bir seslendirme pratiği olmanın ötesinde, Kur’an metninin şifahî (sözlü) ve kitâbî (yazılı) korunma tarihinin senkronize kroniğini sunan, sened güvenceli köklü bir rivayet disiplinidir.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 metin ve usul tarihinde ulema, kırâat kavramını dilsel uygunluktan ziyade rivayete tabi olma zorunluluğu ekseninde tanımlamıştır. Bu sahanın nihai sentezini kuran İbnü’l-Cezerî, kırâati "Kur’an kelimelerinin edâ keyfiyetlerini ve bu edâ biçimlerindeki lafzi varyasyonları, bunları nakleden silsilelere ve otoritelere (</w:t>
      </w:r>
      <w:r w:rsidDel="00000000" w:rsidR="00000000" w:rsidRPr="00000000">
        <w:rPr>
          <w:i w:val="1"/>
          <w:iCs w:val="1"/>
          <w:rtl w:val="0"/>
        </w:rPr>
        <w:t xml:space="preserve">kurrâ/muallimîn</w:t>
      </w:r>
      <w:r w:rsidDel="00000000" w:rsidR="00000000" w:rsidRPr="00000000">
        <w:rPr>
          <w:rtl w:val="0"/>
        </w:rPr>
        <w:t xml:space="preserve">) mutlak surette nispet ederek bilme ilmi" şeklinde formüle etmiştir (İbnü’l-Cezerî, 2010). Bu kurucu tanımda iki temel kuramsal unsur öne çıkmaktadır: Birincisi, edâ keyfiyeti, yani tilavetin işitsel ve fonetik formunun korunması; ikincisi ise bu grafik formun nakledene açık ve kopuksuz bir zincirle nispet edilmesi, yani okuyuşların tarihsel sened mekanizmasıyla aktarılmasıdır. Ulûmu’l-Kur’ân literatürünün mimarlarından ez-Zerkeşî ve es-Süyûtî de kırâatleri, vahyin dilsel iskeletine dair nakledilmiş mütevatir okuyuş zenginlikleri olarak ele almaktadır (es-Süyûtî, 1974; ez-Zerkeşî, 1957). Dolayısıyla kırâat, Arap dilinin teorik imkanları dahilinde her dâhinin üretebileceği serbest bir okuma ihtimali değil; bilakis tarihsel süreçte sened denetiminden geçerek İslâm ortografi kanonunda yer bulmuş kutsal birer metinsel şahittir.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tarihsel tekâmül çizgisi incelendiğinde, bu disiplinin doğrudan vahyin nüzul ortamı ve tebliğ karakteriyle iç içe yapılandığı görülür. Kur’an-ı Kerim, Hz. Peygamber tarafından ashaba yalnızca yazılı bir metin olarak teslim edilmemiş; bilakis onun şahsi seslendirmesi ve tilavetiyle şifahî telakki (</w:t>
      </w:r>
      <w:r w:rsidDel="00000000" w:rsidR="00000000" w:rsidRPr="00000000">
        <w:rPr>
          <w:i w:val="1"/>
          <w:iCs w:val="1"/>
          <w:rtl w:val="0"/>
        </w:rPr>
        <w:t xml:space="preserve">müşâfehe</w:t>
      </w:r>
      <w:r w:rsidDel="00000000" w:rsidR="00000000" w:rsidRPr="00000000">
        <w:rPr>
          <w:rtl w:val="0"/>
        </w:rPr>
        <w:t xml:space="preserve">) yoluyla bizzat kulaktan kulağa aktarılarak öğretilmiştir. Bu ilk kurucu eğitim modeli, kırâat ilminin sonraki asırlarda da koruyacağı en temel metodolojik karakterini belirlemiştir: Kırâat, her şeyden önce işitilerek, yüz yüze tilavet edilerek tevarüs edilen işitsel bir ilimdir. Resûl-i Ekrem’in nüzul coğrafyasındaki kabilelerin dilsel konforunu ve telaffuz farklılıklarını gözeterek Kur’an’ı ashabına farklı sahih vecihler çerçevesinde okuttuğuna dair mütevatir şahitlikler, kırâat tarihinin ampirik başlangıç noktasını inşa eder. Bu bağlamda "yedi harf" (</w:t>
      </w:r>
      <w:r w:rsidDel="00000000" w:rsidR="00000000" w:rsidRPr="00000000">
        <w:rPr>
          <w:i w:val="1"/>
          <w:iCs w:val="1"/>
          <w:rtl w:val="0"/>
        </w:rPr>
        <w:t xml:space="preserve">ahruf-i seb'a</w:t>
      </w:r>
      <w:r w:rsidDel="00000000" w:rsidR="00000000" w:rsidRPr="00000000">
        <w:rPr>
          <w:rtl w:val="0"/>
        </w:rPr>
        <w:t xml:space="preserve">) ruhsatı, kırâat tarihinin hem teolojik açıdan en çok tartışılan hem de disiplinin meşruiyet tabanını oluşturan en temel meselesidir. Ebû Ubeyde el-Kâsım b. Sellâm, Mekkî b. Ebû Tâlib, İbn Abdilberr (ö. 463/1071) ve İbnü’l-Cezerî gibi otoriteler, kıraat varyasyonlarının ilahi menşeini ve meşruiyetini kuramsallaştırırken mutlak surette bu nebevî yedi harf ruhsatını merkeze almışlardır (Ebû Ubeyde, 1995; İbn Abdilberr, 1980; İbnü’l-Cezerî, 1999; Kaysî, 1979).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müstakil bir disiplin olarak tarih sahnesine çıkışını hızlandıran yapısal nedenler üç temel başlık altında rasyonelleştirilebilir:</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İlahi kelâmın otantik ses yapısını koruma ihtiyacı:</w:t>
      </w:r>
      <w:r w:rsidDel="00000000" w:rsidR="00000000" w:rsidRPr="00000000">
        <w:rPr>
          <w:rtl w:val="0"/>
        </w:rPr>
        <w:t xml:space="preserve"> Kur’an, sadece parşömen üzerine nakşedilmiş statik bir konsonantal iskeletten ibaret olmayıp; aynı zamanda doğru ses değerleriyle tilavet edilmesi şer'an zorunlu olan dinamik, şifahî bir kitaptır. Bu sebeple, onun orijinal okuyuş biçiminin tahrifattan korunması, metnin grafik iskeletinin korunması kadar hayati bir dini vazife olarak görülmüştür. Sahabe ve tâbiîn neslinde kıraat varyantlarının titiz bir sözlü rivayet mekanizmasıyla aktarılması bu koruma zihniyetinin doğal bir neticesidir.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Arap kabileleri arasındaki köklü lehçe varyasyonları:</w:t>
      </w:r>
      <w:r w:rsidDel="00000000" w:rsidR="00000000" w:rsidRPr="00000000">
        <w:rPr>
          <w:rtl w:val="0"/>
        </w:rPr>
        <w:t xml:space="preserve"> Kur’an’ın ilk muhataplarının konuşma dillerinde, ses değerleri, imale eğilimleri, hafifletme kalıpları ve morfolojik telaffuzlar bakımından coğrafi farklılıklar bulunmaktaydı. Vahyin bu ampirik çeşitliliği dışlamayıp kuşatması, okuyuşta meşru bir dilsel zenginliğin doğmasını neticelendirmiştir.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İslâm devletinin sınırlarının genişlemesiyle birlikte okuyuşu denetleme ihtiyacı:</w:t>
      </w:r>
      <w:r w:rsidDel="00000000" w:rsidR="00000000" w:rsidRPr="00000000">
        <w:rPr>
          <w:rtl w:val="0"/>
        </w:rPr>
        <w:t xml:space="preserve"> Özellikle ikinci ve üçüncü Halifeler döneminde fetihlerin ivmelenmesi, yeni Müslüman olan gayri-Arap unsurların metni yanlış seslendirmesi (lahn) krizini üretmiştir. Hz. Osman döneminde imla edilen resmi eyalet mushaflarıyla yazı düzeyinde mutlak bir birlik kazanılmış olsa da, şifahî kıraat geleneği kendi meşru kanallarında varlığını sürdürmüştür; işte bu ikili yapı (konsonantal iskelet ile şifahî tilavet arasındaki denge), okuyuşların geçerlilik sınırlarını belirleyecek nesnel kriterlerin icat edilmesini zorunlu kılmıştır (el-Hamed, 1982).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Kırâat ilmi, müstakil ve metodolojisi olan bağımsız bir disiplin hüviyetine hicrî ikinci ve üçüncü asırlarda kavuşmuştur. İlk kurucu evrelerde kıraat varyantları, hadis halkaları ve erken dönem tefsir meclisleri içerisinde sözlü rivayet parçaları olarak aktarılırken; zamanla bu spesifik ortografi ve ses alanında bağımsız monografiler telif edilmeye başlanmıştır. Ebû Ubeyde el-Kâsım b. Sellâm’ın bu alandsa yürüttüğü öncü paleografik ve rivayet tabanlı çalışmaları, disiplinin kurumsal emekleme döneminin en kıymetli örneğidir (Ebû Ubeyde, 1995). Ardından gelen Ebû Bekir b. Mücâhid’in (ö. 324/936) anıtsal eseri </w:t>
      </w:r>
      <w:r w:rsidDel="00000000" w:rsidR="00000000" w:rsidRPr="00000000">
        <w:rPr>
          <w:i w:val="1"/>
          <w:iCs w:val="1"/>
          <w:rtl w:val="0"/>
        </w:rPr>
        <w:t xml:space="preserve">Kitâbu’s-seb’a fi’l-kırâât</w:t>
      </w:r>
      <w:r w:rsidDel="00000000" w:rsidR="00000000" w:rsidRPr="00000000">
        <w:rPr>
          <w:rtl w:val="0"/>
        </w:rPr>
        <w:t xml:space="preserve">, İslâm dünyasının ana arterlerinde itibar gören yedi meşhur kıraat imamını ve onların imla çevrelerini öne çıkararak alanı sarsılmaz, nesnel ve kurumsal bir çerçeveye oturtmuştur (İbn Mücâhid, 1982). Bu tarihi gelişme, kıraat farklılıklarını devletin idari kontrolü ve ulemanın icma süzgecinden geçirerek ehil olmayan unsurlardan temizleme yönünde atılmış en radikal adımdır. Bu kurumsal safhanın ardından Mekkî b. Ebû Tâlib, ed-Dânî, Ebû Muhammed eş-Şâtıbî ve nihayet İbnü’l-Cezerî gibi zirve şahsiyetlerin kuramsal telifleriyle alan, hem nazari (teorik usul) hem de ampirik öğretim metodolojisi bakımından mutlak olgunluk seviyesine erişmiştir.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epistemolojik açıdan en ayırt edici karakteri, onun mutlak surette rivayet temelli olması ve dilcilerin serbest kıyas ve rasyonel akıl yürütme alanlarına bütünüyle kapatılmış bulunmasıdır. Bir okuyuş formu, Arap dilinin kuralları, sarf ve nahiv kalıpları bakımından teorik olarak ne kadar muhteşem ve edebi görünürse görünsün; eğer güvenilir, kopuksuz bir rivayet senedine dayanmıyorsa, kırâat akademisi tarafından asla meşru kabul edilmez ve şâzz ilan edilerek tilavet dışı bırakılır (ez-Zürkânî, 1996).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sarsılmaz ilke sebebiyle klasik dönem uleması, kıraat tahsilinin salt yazılı kitap sayfalarından mekanik bir okumayla (</w:t>
      </w:r>
      <w:r w:rsidDel="00000000" w:rsidR="00000000" w:rsidRPr="00000000">
        <w:rPr>
          <w:i w:val="1"/>
          <w:iCs w:val="1"/>
          <w:rtl w:val="0"/>
        </w:rPr>
        <w:t xml:space="preserve">kütübi</w:t>
      </w:r>
      <w:r w:rsidDel="00000000" w:rsidR="00000000" w:rsidRPr="00000000">
        <w:rPr>
          <w:rtl w:val="0"/>
        </w:rPr>
        <w:t xml:space="preserve">) yapılamayacağını; metnin mutlaka ehil ve icazetli bir üstattan, harf mahreçlerini ve tilavet müzikalitesini yüz yüze dinleyerek ve hocaya okuyarak (</w:t>
      </w:r>
      <w:r w:rsidDel="00000000" w:rsidR="00000000" w:rsidRPr="00000000">
        <w:rPr>
          <w:i w:val="1"/>
          <w:iCs w:val="1"/>
          <w:rtl w:val="0"/>
        </w:rPr>
        <w:t xml:space="preserve">telakki ve müşâfehe</w:t>
      </w:r>
      <w:r w:rsidDel="00000000" w:rsidR="00000000" w:rsidRPr="00000000">
        <w:rPr>
          <w:rtl w:val="0"/>
        </w:rPr>
        <w:t xml:space="preserve">) alınması gerektiğini ısrarla vazetmişlerdir. İbnü’l-Cezerî, sened zincirinin bu ilim dalı için ontolojik bir can damarı olduğunu belirtirken; sahih bir kırâatin kabul şartlarını sarsılmaz bir üçlü formüle bağlamıştır: Sağlam rivayet zinciri, Arap dili kurallarına uygunluk ve resmi Osmânî imla iskeletine aykırı olmama (İbnü’l-Cezerî, 1999).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Onun bu anayasal usul duruşu, kırâat ilminin hem sözlü hafızayı hem de yazılı resmi metni eşzamanlı olarak işleten çift yönlü bir koruma mekanizması kurduğunu gösterir. Burada tescil edilmesi gereken en hayati nokta şudur: Kırâat ilmi, sadece tarihsel farklılıkları ve marjinal lehçe kalıntılarını keyifle kaydeden mekanik bir arşiv çalışması olarak doğmamıştır; bu ilmin asıl kurucu varlık sebebi, Hz. Peygamber’e ait olan sahih ve mütevatir okuyuşu, beşerî ve yapay olan sahte okuma formlarından mutlak bir filolojik cerrahiyle ayırt etmektir. Bu hayati gaye sebebiyle, kırâat tarihinin olgunluk dönemlerinde okuyuşlar "mütevâtir, meşhur, âhâd ve şâz" gibi katı text-critical tasniflere tabi tutulmuş ve her nakil aynı meşruiyet derecesinde kabul görmemiştir. Bu durum, kırâat ilminin zamanla ümmetin metin güvenliğini sağlayan en disiplinli, kurallı ve nesnel ölçü sistemlerinden birine dönüştüğünü kesin olarak kanıtlamaktadır.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Ubeyde, el-Kâsım b. S. (1995). </w:t>
      </w:r>
      <w:r w:rsidDel="00000000" w:rsidR="00000000" w:rsidRPr="00000000">
        <w:rPr>
          <w:i w:val="1"/>
          <w:iCs w:val="1"/>
          <w:rtl w:val="0"/>
        </w:rPr>
        <w:t xml:space="preserve">Fedâilü'l-Kur'ân</w:t>
      </w:r>
      <w:r w:rsidDel="00000000" w:rsidR="00000000" w:rsidRPr="00000000">
        <w:rPr>
          <w:rtl w:val="0"/>
        </w:rPr>
        <w:t xml:space="preserve"> (M. Atiyye, Dü.). Dâr İbn Kesîr.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 B. M. b. A. (1957). </w:t>
      </w:r>
      <w:r w:rsidDel="00000000" w:rsidR="00000000" w:rsidRPr="00000000">
        <w:rPr>
          <w:i w:val="1"/>
          <w:iCs w:val="1"/>
          <w:rtl w:val="0"/>
        </w:rPr>
        <w:t xml:space="preserve">el-Burhân fî ulûmi'l-Kur'ân</w:t>
      </w:r>
      <w:r w:rsidDel="00000000" w:rsidR="00000000" w:rsidRPr="00000000">
        <w:rPr>
          <w:rtl w:val="0"/>
        </w:rPr>
        <w:t xml:space="preserve"> (M. E. F. İbrahim, Dü.). (Cilt 2). Dâru İhyâi'l-Kütübi'l-Arabiyye.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(A. Şemsüddin, Dü.). (Cilt 1). Dâru'l-Kütübi'l-İlmiyye.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Abdilberr, E. Ö. C. Y. b. A. (1980). </w:t>
      </w:r>
      <w:r w:rsidDel="00000000" w:rsidR="00000000" w:rsidRPr="00000000">
        <w:rPr>
          <w:i w:val="1"/>
          <w:iCs w:val="1"/>
          <w:rtl w:val="0"/>
        </w:rPr>
        <w:t xml:space="preserve">et-Temhîd limâ fi’l-muvatta’ mine’l-me’ânî ve’l-esânîd</w:t>
      </w:r>
      <w:r w:rsidDel="00000000" w:rsidR="00000000" w:rsidRPr="00000000">
        <w:rPr>
          <w:rtl w:val="0"/>
        </w:rPr>
        <w:t xml:space="preserve"> (M. el-Felâh, Dü.). (Cilt 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el-Hamed, G. K. (1982). </w:t>
      </w:r>
      <w:r w:rsidDel="00000000" w:rsidR="00000000" w:rsidRPr="00000000">
        <w:rPr>
          <w:i w:val="1"/>
          <w:iCs w:val="1"/>
          <w:rtl w:val="0"/>
        </w:rPr>
        <w:t xml:space="preserve">Resmü’l-mushaf dirâsetün lügaviyyetün târîhiyyetün</w:t>
      </w:r>
      <w:r w:rsidDel="00000000" w:rsidR="00000000" w:rsidRPr="00000000">
        <w:rPr>
          <w:rtl w:val="0"/>
        </w:rPr>
        <w:t xml:space="preserve">. Dâr Ammâr li’n-Neşri ve’t-Tevzî’.</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Mücâhid, E. B. A. b. M. (1982). </w:t>
      </w:r>
      <w:r w:rsidDel="00000000" w:rsidR="00000000" w:rsidRPr="00000000">
        <w:rPr>
          <w:i w:val="1"/>
          <w:iCs w:val="1"/>
          <w:rtl w:val="0"/>
        </w:rPr>
        <w:t xml:space="preserve">Kitâbu's-seb’a fi'l-kırâât</w:t>
      </w:r>
      <w:r w:rsidDel="00000000" w:rsidR="00000000" w:rsidRPr="00000000">
        <w:rPr>
          <w:rtl w:val="0"/>
        </w:rPr>
        <w:t xml:space="preserve"> (Ş. Dayf, Dü.). Dâru'l-Meârif.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(1999). </w:t>
      </w:r>
      <w:r w:rsidDel="00000000" w:rsidR="00000000" w:rsidRPr="00000000">
        <w:rPr>
          <w:i w:val="1"/>
          <w:iCs w:val="1"/>
          <w:rtl w:val="0"/>
        </w:rPr>
        <w:t xml:space="preserve">en-Neşr fi’l-kırââti’l-aşr</w:t>
      </w:r>
      <w:r w:rsidDel="00000000" w:rsidR="00000000" w:rsidRPr="00000000">
        <w:rPr>
          <w:rtl w:val="0"/>
        </w:rPr>
        <w:t xml:space="preserve"> (A. M. ed-Dabbâ‘, Dü.). (Cilt 1). Dâru’l-Kütübi’l-İlmiyye.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(2010). </w:t>
      </w:r>
      <w:r w:rsidDel="00000000" w:rsidR="00000000" w:rsidRPr="00000000">
        <w:rPr>
          <w:i w:val="1"/>
          <w:iCs w:val="1"/>
          <w:rtl w:val="0"/>
        </w:rPr>
        <w:t xml:space="preserve">Muncidu'l-mukriîn ve murşidu't-tâlibîn</w:t>
      </w:r>
      <w:r w:rsidDel="00000000" w:rsidR="00000000" w:rsidRPr="00000000">
        <w:rPr>
          <w:rtl w:val="0"/>
        </w:rPr>
        <w:t xml:space="preserve"> (N. M. M. Câd, Dü.). Dâru'l-Âfâki'l-Arabiyye.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Kaysî, M. b. E. T. (1979). </w:t>
      </w:r>
      <w:r w:rsidDel="00000000" w:rsidR="00000000" w:rsidRPr="00000000">
        <w:rPr>
          <w:i w:val="1"/>
          <w:iCs w:val="1"/>
          <w:rtl w:val="0"/>
        </w:rPr>
        <w:t xml:space="preserve">el-İbâne an me'ânî'l-kırâ'ât</w:t>
      </w:r>
      <w:r w:rsidDel="00000000" w:rsidR="00000000" w:rsidRPr="00000000">
        <w:rPr>
          <w:rtl w:val="0"/>
        </w:rPr>
        <w:t xml:space="preserve"> (A. İ. Şelebî, Dü.). Dâru Nehdati Mısr.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foundational analysis mapping the structural definitions, early canonical codifications, and oral-literary balance mechanisms of </w:t>
      </w:r>
      <w:r w:rsidDel="00000000" w:rsidR="00000000" w:rsidRPr="00000000">
        <w:rPr>
          <w:i w:val="1"/>
          <w:iCs w:val="1"/>
          <w:rtl w:val="0"/>
        </w:rPr>
        <w:t xml:space="preserve">qirāʾāt</w:t>
      </w:r>
      <w:r w:rsidDel="00000000" w:rsidR="00000000" w:rsidRPr="00000000">
        <w:rPr>
          <w:rtl w:val="0"/>
        </w:rPr>
        <w:t xml:space="preserve"> has been completed with explicit </w:t>
      </w:r>
      <w:r w:rsidDel="00000000" w:rsidR="00000000" w:rsidRPr="00000000">
        <w:rPr>
          <w:b w:val="1"/>
          <w:bCs w:val="1"/>
          <w:rtl w:val="0"/>
        </w:rPr>
        <w:t xml:space="preserve">APA 7 internal formatting</w:t>
      </w:r>
      <w:r w:rsidDel="00000000" w:rsidR="00000000" w:rsidRPr="00000000">
        <w:rPr>
          <w:rtl w:val="0"/>
        </w:rPr>
        <w:t xml:space="preserve">. Shall we now proceed directly to the next technical segment, </w:t>
      </w:r>
      <w:r w:rsidDel="00000000" w:rsidR="00000000" w:rsidRPr="00000000">
        <w:rPr>
          <w:b w:val="1"/>
          <w:bCs w:val="1"/>
          <w:rtl w:val="0"/>
        </w:rPr>
        <w:t xml:space="preserve">"Kırâatlerde Rivâyet Sened ve Otorite Ekseni"</w:t>
      </w:r>
      <w:r w:rsidDel="00000000" w:rsidR="00000000" w:rsidRPr="00000000">
        <w:rPr>
          <w:rtl w:val="0"/>
        </w:rPr>
        <w:t xml:space="preserve"> (The Tripartite Chain: Imâm, Râvî, and Tarîk Metrics in Textual Transmission)?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